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lang w:val="en-US"/>
        </w:rPr>
        <w:t>E-DUCATION AS A POWERFUL TOOL IN STEM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lang w:val="en-US"/>
        </w:rPr>
        <w:t>BEYOND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lang w:val="en-US"/>
        </w:rPr>
        <w:t>Zhussupova A.I., Zhussupova G.E., Alimzhanov E.S.,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lang w:val="en-US"/>
        </w:rPr>
        <w:t xml:space="preserve">Shcherbak V.I., Omirbekova </w:t>
      </w:r>
      <w:proofErr w:type="gramStart"/>
      <w:r w:rsidRPr="00336CBB">
        <w:rPr>
          <w:rFonts w:ascii="TimesNewRomanPS-BoldMT" w:hAnsi="TimesNewRomanPS-BoldMT" w:cs="TimesNewRomanPS-BoldMT"/>
          <w:b/>
          <w:bCs/>
          <w:lang w:val="en-US"/>
        </w:rPr>
        <w:t>N.Zh.,</w:t>
      </w:r>
      <w:proofErr w:type="gramEnd"/>
      <w:r w:rsidRPr="00336CBB">
        <w:rPr>
          <w:rFonts w:ascii="TimesNewRomanPS-BoldMT" w:hAnsi="TimesNewRomanPS-BoldMT" w:cs="TimesNewRomanPS-BoldMT"/>
          <w:b/>
          <w:bCs/>
          <w:lang w:val="en-US"/>
        </w:rPr>
        <w:t xml:space="preserve"> Zhunusbayeva Zh.K.,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lang w:val="en-US"/>
        </w:rPr>
        <w:t>Chunetova Zh.Zh.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lang w:val="en-US"/>
        </w:rPr>
      </w:pPr>
      <w:r w:rsidRPr="00336CBB">
        <w:rPr>
          <w:rFonts w:ascii="TimesNewRomanPS-ItalicMT" w:hAnsi="TimesNewRomanPS-ItalicMT" w:cs="TimesNewRomanPS-ItalicMT"/>
          <w:i/>
          <w:iCs/>
          <w:lang w:val="en-US"/>
        </w:rPr>
        <w:t>Al-Farabi Kazakh National University, Al-Farabi Av.71, 050038,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lang w:val="en-US"/>
        </w:rPr>
      </w:pPr>
      <w:r w:rsidRPr="00336CBB">
        <w:rPr>
          <w:rFonts w:ascii="TimesNewRomanPS-ItalicMT" w:hAnsi="TimesNewRomanPS-ItalicMT" w:cs="TimesNewRomanPS-ItalicMT"/>
          <w:i/>
          <w:iCs/>
          <w:lang w:val="en-US"/>
        </w:rPr>
        <w:t>Almaty, Kazakhstan, Aizhan.Zhussupova@kaznu.kz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 w:hint="eastAsia"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lang w:val="en-US"/>
        </w:rPr>
        <w:t>One of the most important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areas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we can develop as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professionals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is competence in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accessing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and sharing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knowledge</w:t>
      </w:r>
      <w:proofErr w:type="gramEnd"/>
      <w:r w:rsidRPr="00336CBB">
        <w:rPr>
          <w:rFonts w:ascii="TimesNewRomanPSMT" w:eastAsia="TimesNewRomanPSMT" w:hAnsi="TimesNewRomanPS-BoldMT" w:cs="TimesNewRomanPSMT" w:hint="eastAsia"/>
          <w:lang w:val="en-US"/>
        </w:rPr>
        <w:t>”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Connie Malamed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 xml:space="preserve">The word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lang w:val="en-US"/>
        </w:rPr>
        <w:t>school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derives from Greek </w:t>
      </w:r>
      <w:r>
        <w:rPr>
          <w:rFonts w:ascii="TimesNewRomanPSMT" w:eastAsia="TimesNewRomanPSMT" w:hAnsi="TimesNewRomanPS-BoldMT" w:cs="TimesNewRomanPSMT" w:hint="eastAsia"/>
        </w:rPr>
        <w:t>σχολή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(schol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ē</w:t>
      </w:r>
      <w:r w:rsidRPr="00336CBB">
        <w:rPr>
          <w:rFonts w:ascii="TimesNewRomanPSMT" w:eastAsia="TimesNewRomanPSMT" w:hAnsi="TimesNewRomanPS-BoldMT" w:cs="TimesNewRomanPSMT"/>
          <w:lang w:val="en-US"/>
        </w:rPr>
        <w:t>), originally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meaning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lang w:val="en-US"/>
        </w:rPr>
        <w:t>leisure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lang w:val="en-US"/>
        </w:rPr>
        <w:t>, since in ancient Greece education was considered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a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leisure pursuit only available to the privileged few. Society has come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a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long way since then and at present, education in general and higher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education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in particular, is viewed not as an end in itself but as an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investment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in human capital, and a way to secure an adequate income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while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contributing to society's needs. The number of young adults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wishing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to obtain a degree is therefore constantly increasing.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Estimates show that the demand for higher education worldwide will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have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expanded from 97 million students in 2000 to over 262 million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proofErr w:type="gramStart"/>
      <w:r w:rsidRPr="00336CBB">
        <w:rPr>
          <w:rFonts w:ascii="TimesNewRomanPSMT" w:eastAsia="TimesNewRomanPSMT" w:hAnsi="TimesNewRomanPS-BoldMT" w:cs="TimesNewRomanPSMT"/>
          <w:lang w:val="en-US"/>
        </w:rPr>
        <w:t>by</w:t>
      </w:r>
      <w:proofErr w:type="gramEnd"/>
      <w:r w:rsidRPr="00336CBB">
        <w:rPr>
          <w:rFonts w:ascii="TimesNewRomanPSMT" w:eastAsia="TimesNewRomanPSMT" w:hAnsi="TimesNewRomanPS-BoldMT" w:cs="TimesNewRomanPSMT"/>
          <w:lang w:val="en-US"/>
        </w:rPr>
        <w:t xml:space="preserve"> 2025 [1].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Биологиялық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және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медициналық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дисциплиналарды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оқыту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әдістерінің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қазіргі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уақыттағы</w:t>
      </w:r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14"/>
          <w:szCs w:val="14"/>
        </w:rPr>
        <w:t>тенденциялары</w:t>
      </w:r>
      <w:proofErr w:type="gramEnd"/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r>
        <w:rPr>
          <w:rFonts w:ascii="TimesNewRomanPS-BoldMT" w:hAnsi="TimesNewRomanPS-BoldMT" w:cs="TimesNewRomanPS-BoldMT"/>
          <w:b/>
          <w:bCs/>
          <w:sz w:val="14"/>
          <w:szCs w:val="14"/>
        </w:rPr>
        <w:t>3. Современные тенденции методики преподавания биологических и экологических дисциплин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284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In discussions of higher education, academics are typically at the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forefront of conversation, and career and technical education, i.e.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specialized education programs in the skilled trades, health sciences,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applied sciences, modern technologies and other types of career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preparation, such as dental assistant, emergency medical technician,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computer networking, digital media, programming, carpentry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even agricultural sciences, which might help alumni to have an easier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time finding jobs in today's difficult labour market, is often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overlooked. It also might be a more cost-effective way for students to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earn their degree, as it usually does not take as long as completing a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college degree. Another possibility to reduce the amount of money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students must borrow to complete their degrees, question especially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sharp for some of the western countries, for instance in USA, is a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competency-based learning, implied by Re-Inventing schools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coalition, Young Women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lang w:val="en-US"/>
        </w:rPr>
        <w:t>s Leadership Charter School and Western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Governors University, which allows students to move through course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material at their own pace through self-assessment and multisource or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360 feedback. Their exam scores rather than the number of hours spent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in a classroom dictate how quickly students move through course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material. Some institutions that are utilizing competency-based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learning are advertising that students can cut the time it takes to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complete a degree in half, and has appeared to be a successful model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for many residency programs across Canada [2; 3].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The ability to measure innovation is essential to an improvement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strategy in education. Knowing whether, and how much, practices are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lastRenderedPageBreak/>
        <w:t>changing within classrooms and educational organizations, how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teachers develop and use their pedagogical resources, and to what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extent change can be linked to improvements would provide a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substantial increase in the international education knowledge base. As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among the most important questions in nowadays education remain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globalization in education and education reforms and emerging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technologies in learning as well as learning for employment,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emphasizing an inevitable grand role of virtual labs and e-learning,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along with education economics, accreditation, quality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assessment, as could be noticed by looking at the list of leading world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educational conferences like INTED topics.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Биологиялық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және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медициналық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дисциплиналарды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оқыту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әдістерінің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қазіргі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уақыттағы</w:t>
      </w:r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14"/>
          <w:szCs w:val="14"/>
        </w:rPr>
        <w:t>тенденциялары</w:t>
      </w:r>
      <w:proofErr w:type="gramEnd"/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r>
        <w:rPr>
          <w:rFonts w:ascii="TimesNewRomanPS-BoldMT" w:hAnsi="TimesNewRomanPS-BoldMT" w:cs="TimesNewRomanPS-BoldMT"/>
          <w:b/>
          <w:bCs/>
          <w:sz w:val="14"/>
          <w:szCs w:val="14"/>
        </w:rPr>
        <w:t>3. Современные тенденции методики преподавания биологических и экологических дисциплин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285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Students learn well when they take responsibility for their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learning. Learning increasingly takes place in an environment, which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is constantly evolving to respond to the personal needs of each learner.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The emergence of Open Educational Resources and Massive Open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Online Courses (MOOC; now being effectively developed in KazNU)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is expected to offer multiple advantages in terms of increased access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to higher education, reduced costs and flexible timetables, to name just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 few. However, there is little scientific evidence to prove the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efficiency of these new models. Some critics even argue that they may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well be just another attempt to further commercialise higher education.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 xml:space="preserve">Meanwhile, blended learning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–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a combination of traditional training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 xml:space="preserve">with digital online content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–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is seen by many as the best alternative.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Gibbs G. 1981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lang w:val="en-US"/>
        </w:rPr>
        <w:t>s notice is still correct. Awareness and reflection are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not merely symptoms of developments in learners, they bring about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the developments. It is through engaging students in reflecting upon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the process and outcomes of their studying that progress is made [4].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According to Wikipedia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lang w:val="en-US"/>
        </w:rPr>
        <w:t>s definition distance education or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distance learning is a mode of delivering education and instruction,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often on an individual basis, to students who are not physically present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in a traditional setting such as a classroom. Distance learning provides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 w:hint="eastAsia"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lang w:val="en-US"/>
        </w:rPr>
        <w:t>access to learning when the source of information and the learners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are separated by time and distance, or both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lang w:val="en-US"/>
        </w:rPr>
        <w:t>. Distance education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courses that require a physical on-site presence for any reason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(excluding taking examinations) have been referred to as hybrid or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blended courses of study [5; 6]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Michael Scott Cuthbert, Associate Professor of Music (Ph.D.,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2006, Harvard University) is a musicologist who has worked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extensively on music of the fourteenth-century, computational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musicology, and minimalism and other music of the past forty years.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 xml:space="preserve">His article,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lang w:val="en-US"/>
        </w:rPr>
        <w:t>Tipping the Iceberg: Missing Italian Polyphony from the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Age of Schism,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used computer simulations to contradict the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unquestioned assumption that most written medieval music has been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lost. Cuthbert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s research lab has produced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lang w:val="en-US"/>
        </w:rPr>
        <w:t>music21,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an open-source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toolkit for computer-aided musical analysis, which has an installed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 xml:space="preserve">user base in the thousands: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lang w:val="en-US"/>
        </w:rPr>
        <w:t>I think OCW (Massachusetts Institute of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Technology OpenCourseWare Educational Platform) is amazing. One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of the reasons I really love it so much is that, because I studied art,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lastRenderedPageBreak/>
        <w:t xml:space="preserve">3.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Биологиялық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және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медициналық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дисциплиналарды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оқыту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әдістерінің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қазіргі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уақыттағы</w:t>
      </w:r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14"/>
          <w:szCs w:val="14"/>
        </w:rPr>
        <w:t>тенденциялары</w:t>
      </w:r>
      <w:proofErr w:type="gramEnd"/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r>
        <w:rPr>
          <w:rFonts w:ascii="TimesNewRomanPS-BoldMT" w:hAnsi="TimesNewRomanPS-BoldMT" w:cs="TimesNewRomanPS-BoldMT"/>
          <w:b/>
          <w:bCs/>
          <w:sz w:val="14"/>
          <w:szCs w:val="14"/>
        </w:rPr>
        <w:t>3. Современные тенденции методики преподавания биологических и экологических дисциплин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286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there were a lot of topics that I missed in the sciences. So OCW allows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me to really brush up on those topics that really interest me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…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OCW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is obviously great for self-learning. But what I think is sometimes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overlooked is how valuable OCW can be for faculty who are creating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their own courses. It allows anyone get an inside look at how other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professors are organizing and teaching their classes, in a way they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might never have seen. That kind of exposure is invaluable.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He has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recently published his own two MIT courses on OCW (21M.269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Studies in Western Music History: Quantitative and Computational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Approaches to Music History, 21M.262 Modern Music: 1900-1960,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 xml:space="preserve">and 21M.220 Early Music):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lang w:val="en-US"/>
        </w:rPr>
        <w:t>I hope that people find my course useful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 w:hint="eastAsia"/>
          <w:lang w:val="en-US"/>
        </w:rPr>
        <w:t>–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but I also hope they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lang w:val="en-US"/>
        </w:rPr>
        <w:t>ll tell me what they don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lang w:val="en-US"/>
        </w:rPr>
        <w:t>t like about it. At places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 xml:space="preserve">like MIT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–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all over the world, really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–</w:t>
      </w:r>
      <w:r w:rsidRPr="00336CBB">
        <w:rPr>
          <w:rFonts w:ascii="TimesNewRomanPSMT" w:eastAsia="TimesNewRomanPSMT" w:hAnsi="TimesNewRomanPS-BoldMT" w:cs="TimesNewRomanPSMT"/>
          <w:lang w:val="en-US"/>
        </w:rPr>
        <w:t xml:space="preserve"> there are people who are trying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to actually change and evolve knowledge, not just report what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lang w:val="en-US"/>
        </w:rPr>
        <w:t>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already known. Disagreements and feedback are what creates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diversity and new discoveries. That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lang w:val="en-US"/>
        </w:rPr>
        <w:t>s what really interests me most.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”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For the foreseeable future at least, Cuthbert seems to be close enough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to the cutting edge of musical history research, that we can probably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afford to listen and learn from him, rather than disagree.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Good example of online learning destination and MOOC provider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is edX, founded by Harvard University and MIT in 2012, which offers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950+ high-quality courses in subjects such as humanities, math,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computer science from the world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lang w:val="en-US"/>
        </w:rPr>
        <w:t>s best universities and institutions to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learners everywhere with 2,300+ faculty and staff teaching courses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and discussing topics online and 840,000+ certificates proudly earned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by edX students. It has 90 global partners, including: The Laura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John Arnold Foundation, which supported the development of the edX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platform and increase the number of high-quality courses available to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learners; The Gates Foundation, which helps edX to develop courses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as well as partner with community colleges to experiment with the use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 xml:space="preserve">of the courses in a 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lang w:val="en-US"/>
        </w:rPr>
        <w:t>flipped classroom</w:t>
      </w:r>
      <w:r w:rsidRPr="00336CBB">
        <w:rPr>
          <w:rFonts w:ascii="TimesNewRomanPSMT" w:eastAsia="TimesNewRomanPSMT" w:hAnsi="TimesNewRomanPS-BoldMT" w:cs="TimesNewRomanPSMT" w:hint="eastAsia"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lang w:val="en-US"/>
        </w:rPr>
        <w:t>; Modern States, working with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edX to help more students enter or return to the traditional college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system and to make quality education more accessible; LaunchCode,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which creates pathways to economic opportunity and upward mobility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through online learning, apprenticeships and job placement in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lang w:val="en-US"/>
        </w:rPr>
      </w:pPr>
      <w:r w:rsidRPr="00336CBB">
        <w:rPr>
          <w:rFonts w:ascii="TimesNewRomanPSMT" w:eastAsia="TimesNewRomanPSMT" w:hAnsi="TimesNewRomanPS-BoldMT" w:cs="TimesNewRomanPSMT"/>
          <w:lang w:val="en-US"/>
        </w:rPr>
        <w:t>technology.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Биологиялық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және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медициналық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дисциплиналарды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оқыту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әдістерінің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қазіргі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уақыттағы</w:t>
      </w:r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14"/>
          <w:szCs w:val="14"/>
        </w:rPr>
        <w:t>тенденциялары</w:t>
      </w:r>
      <w:proofErr w:type="gramEnd"/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r>
        <w:rPr>
          <w:rFonts w:ascii="TimesNewRomanPS-BoldMT" w:hAnsi="TimesNewRomanPS-BoldMT" w:cs="TimesNewRomanPS-BoldMT"/>
          <w:b/>
          <w:bCs/>
          <w:sz w:val="14"/>
          <w:szCs w:val="14"/>
        </w:rPr>
        <w:t>3. Современные тенденции методики преподавания биологических и экологических дисциплин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287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E-ducation does not just happen. It requires careful planning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implementation. The success of the distance learning throughout the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 xml:space="preserve">semester within the framework of the course </w:t>
      </w:r>
      <w:r w:rsidRPr="00336CBB">
        <w:rPr>
          <w:rFonts w:ascii="TimesNewRomanPSMT" w:eastAsia="TimesNewRomanPSMT" w:hAnsi="TimesNewRomanPS-BoldMT" w:cs="TimesNewRomanPSMT" w:hint="eastAsia"/>
          <w:b/>
          <w:bCs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Organization of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scientific research on creation of naturally based medicines</w:t>
      </w:r>
      <w:r w:rsidRPr="00336CBB">
        <w:rPr>
          <w:rFonts w:ascii="TimesNewRomanPSMT" w:eastAsia="TimesNewRomanPSMT" w:hAnsi="TimesNewRomanPS-BoldMT" w:cs="TimesNewRomanPSMT" w:hint="eastAsia"/>
          <w:b/>
          <w:bCs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 xml:space="preserve"> taught by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Professor Galiya E. Zhussupova to two graduate students (who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currently are at the University of Valencia, Valencia, Spain) was in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providing the complete list of information, including guidelines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recommendations to the study of theoretical material, set of material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for lectures and seminars, including a complete list of normative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lastRenderedPageBreak/>
        <w:t>documents in the form of temporarily administrative normative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documentation, industrial regulations for production of medicines in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the form of substances, ointments, tinctures, syrups, capsules,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suppositories, developed at the Department of Chemistry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Technology of organic substances, natural compounds and polymer of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al-Farabi Kazakh National University. In general, distance learning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technologies at our University are used in the learning process for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students of corresponding department (second higher education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the first higher education on the basis of medium-specific), as well as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for students who went abroad on scientific and language training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programs.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Another example is a set of electronic lectures, including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Polymerase Chain Reaction (PCR) developed in correspondence with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Center for distance education, KazNU. The PCR course is intended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for a full-time study in computer classes and online learning network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(as present on introductory and supplementary level to the general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training or upon becoming a part of a larger on-line course or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electronic manual) and might be useful not only for the students of our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own faculty, School of Biology and Biotechnology (as was shown on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 xml:space="preserve">third year bachelor students specialty </w:t>
      </w:r>
      <w:r w:rsidRPr="00336CBB">
        <w:rPr>
          <w:rFonts w:ascii="TimesNewRomanPSMT" w:eastAsia="TimesNewRomanPSMT" w:hAnsi="TimesNewRomanPS-BoldMT" w:cs="TimesNewRomanPSMT" w:hint="eastAsia"/>
          <w:b/>
          <w:bCs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Biotechnology</w:t>
      </w:r>
      <w:r w:rsidRPr="00336CBB">
        <w:rPr>
          <w:rFonts w:ascii="TimesNewRomanPSMT" w:eastAsia="TimesNewRomanPSMT" w:hAnsi="TimesNewRomanPS-BoldMT" w:cs="TimesNewRomanPSMT" w:hint="eastAsia"/>
          <w:b/>
          <w:bCs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 xml:space="preserve"> during the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 xml:space="preserve">course </w:t>
      </w:r>
      <w:r w:rsidRPr="00336CBB">
        <w:rPr>
          <w:rFonts w:ascii="TimesNewRomanPSMT" w:eastAsia="TimesNewRomanPSMT" w:hAnsi="TimesNewRomanPS-BoldMT" w:cs="TimesNewRomanPSMT" w:hint="eastAsia"/>
          <w:b/>
          <w:bCs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Molecular diagnostics</w:t>
      </w:r>
      <w:r w:rsidRPr="00336CBB">
        <w:rPr>
          <w:rFonts w:ascii="TimesNewRomanPSMT" w:eastAsia="TimesNewRomanPSMT" w:hAnsi="TimesNewRomanPS-BoldMT" w:cs="TimesNewRomanPSMT" w:hint="eastAsia"/>
          <w:b/>
          <w:bCs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), but also during classes with the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students of other specialties (for instance such as law, mathematics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and computer modelling).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International experience valuable for teaching at the Department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of Molecular Biology and Genetics, School of Biology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Biotechnology: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- Own training through local and international programs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Institute for Advanced Studies;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Биологиялық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және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медициналық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дисциплиналарды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оқыту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әдістерінің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қазіргі</w:t>
      </w:r>
      <w:r w:rsidRPr="00336CBB">
        <w:rPr>
          <w:rFonts w:ascii="TimesNewRomanPS-BoldMT" w:hAnsi="TimesNewRomanPS-BoldMT" w:cs="TimesNewRomanPS-BoldMT"/>
          <w:b/>
          <w:bCs/>
          <w:sz w:val="14"/>
          <w:szCs w:val="14"/>
          <w:lang w:val="en-US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>уақыттағы</w:t>
      </w:r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14"/>
          <w:szCs w:val="14"/>
        </w:rPr>
        <w:t>тенденциялары</w:t>
      </w:r>
      <w:proofErr w:type="gramEnd"/>
    </w:p>
    <w:p w:rsid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4"/>
          <w:szCs w:val="14"/>
        </w:rPr>
      </w:pPr>
      <w:r>
        <w:rPr>
          <w:rFonts w:ascii="TimesNewRomanPS-BoldMT" w:hAnsi="TimesNewRomanPS-BoldMT" w:cs="TimesNewRomanPS-BoldMT"/>
          <w:b/>
          <w:bCs/>
          <w:sz w:val="14"/>
          <w:szCs w:val="14"/>
        </w:rPr>
        <w:t>3. Современные тенденции методики преподавания биологических и экологических дисциплин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288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- Involvement of international readers for a year (Prof. Asim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Esen), semester (Dr. D.Utepbergenov), two weeks (international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consultants of PhD candidates) as well as independent experimental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workshop on yeast two hybrid system for bachelor students by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Erasmus+ Program Awardee Prof. Thierry Berges, Uni-Poitiers,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France;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- Teachers and students training abroad through Bolashak and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various international programs (including but not limited to Fulbright,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British Council</w:t>
      </w:r>
      <w:r w:rsidRPr="00336CBB">
        <w:rPr>
          <w:rFonts w:ascii="TimesNewRomanPSMT" w:eastAsia="TimesNewRomanPSMT" w:hAnsi="TimesNewRomanPS-BoldMT" w:cs="TimesNewRomanPSMT" w:hint="eastAsia"/>
          <w:b/>
          <w:bCs/>
          <w:lang w:val="en-US"/>
        </w:rPr>
        <w:t>’</w:t>
      </w: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s Researcher Links, TechWomen, etc.);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- Webinars and other Internet-based resources and courses (like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Coursera, TedX), including Department initiated International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 xml:space="preserve">scientific-practical Internet-based Conference </w:t>
      </w:r>
      <w:r w:rsidRPr="00336CBB">
        <w:rPr>
          <w:rFonts w:ascii="TimesNewRomanPSMT" w:eastAsia="TimesNewRomanPSMT" w:hAnsi="TimesNewRomanPS-BoldMT" w:cs="TimesNewRomanPSMT" w:hint="eastAsia"/>
          <w:b/>
          <w:bCs/>
          <w:lang w:val="en-US"/>
        </w:rPr>
        <w:t>“</w:t>
      </w: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Modern achievements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and perspectives of molecular biology and genetics</w:t>
      </w:r>
      <w:r w:rsidRPr="00336CBB">
        <w:rPr>
          <w:rFonts w:ascii="TimesNewRomanPSMT" w:eastAsia="TimesNewRomanPSMT" w:hAnsi="TimesNewRomanPS-BoldMT" w:cs="TimesNewRomanPSMT" w:hint="eastAsia"/>
          <w:b/>
          <w:bCs/>
          <w:lang w:val="en-US"/>
        </w:rPr>
        <w:t>”</w:t>
      </w: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 xml:space="preserve"> and the recent Gglobal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lang w:val="en-US"/>
        </w:rPr>
        <w:t>conference held with participation of researchers from UK.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  <w:lang w:val="en-US"/>
        </w:rPr>
      </w:pPr>
      <w:r w:rsidRPr="00336CBB">
        <w:rPr>
          <w:rFonts w:ascii="TimesNewRomanPS-BoldMT" w:hAnsi="TimesNewRomanPS-BoldMT" w:cs="TimesNewRomanPS-BoldMT"/>
          <w:b/>
          <w:bCs/>
          <w:sz w:val="18"/>
          <w:szCs w:val="18"/>
          <w:lang w:val="en-US"/>
        </w:rPr>
        <w:t>REFERENCES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  <w:t>1. Bjarnason S. et al. A new dynamic: private higher education. UNESCO, 2009.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  <w:t>2. Neal S. Competency-based education will redefine how future degrees are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  <w:t>attained // Dean and Provost, 2015, Vol. 16, No. 5, P. 8.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  <w:t>3. Charles L. et al. Effectiveness of a core competency-based program on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  <w:t>residents learning and experience // Can Geriatr J., 2016, Vol. 19, No. 2, P. 50-57.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  <w:t>4. Higher education in the EU: Approaches, issues and trends. European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  <w:lastRenderedPageBreak/>
        <w:t>Parliament, 2015.</w:t>
      </w:r>
    </w:p>
    <w:p w:rsidR="00336CBB" w:rsidRPr="00336CBB" w:rsidRDefault="00336CBB" w:rsidP="00336CBB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</w:pPr>
      <w:r w:rsidRPr="00336CBB">
        <w:rPr>
          <w:rFonts w:ascii="TimesNewRomanPSMT" w:eastAsia="TimesNewRomanPSMT" w:hAnsi="TimesNewRomanPS-BoldMT" w:cs="TimesNewRomanPSMT"/>
          <w:b/>
          <w:bCs/>
          <w:sz w:val="18"/>
          <w:szCs w:val="18"/>
          <w:lang w:val="en-US"/>
        </w:rPr>
        <w:t>5. Strategy for Academic Mobility in the Republic of Kazakhstan for 2012-2020.</w:t>
      </w:r>
    </w:p>
    <w:p w:rsidR="00C55134" w:rsidRDefault="00336CBB" w:rsidP="00336CBB">
      <w:proofErr w:type="gramStart"/>
      <w:r>
        <w:rPr>
          <w:rFonts w:ascii="TimesNewRomanPSMT" w:eastAsia="TimesNewRomanPSMT" w:hAnsi="TimesNewRomanPS-BoldMT" w:cs="TimesNewRomanPSMT"/>
          <w:b/>
          <w:bCs/>
          <w:sz w:val="18"/>
          <w:szCs w:val="18"/>
        </w:rPr>
        <w:t>ht</w:t>
      </w:r>
      <w:proofErr w:type="gramEnd"/>
      <w:r>
        <w:rPr>
          <w:rFonts w:ascii="TimesNewRomanPS-BoldMT" w:hAnsi="TimesNewRomanPS-BoldMT" w:cs="TimesNewRomanPS-BoldMT"/>
          <w:sz w:val="20"/>
          <w:szCs w:val="20"/>
        </w:rPr>
        <w:t>__</w:t>
      </w:r>
      <w:bookmarkStart w:id="0" w:name="_GoBack"/>
      <w:bookmarkEnd w:id="0"/>
    </w:p>
    <w:sectPr w:rsidR="00C5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E4"/>
    <w:rsid w:val="002758E4"/>
    <w:rsid w:val="00336CBB"/>
    <w:rsid w:val="00C5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D52D6-108A-4821-AA95-E1CD3FB3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Чунетова Жанар</dc:creator>
  <cp:keywords/>
  <dc:description/>
  <cp:lastModifiedBy>Чунетова Жанар</cp:lastModifiedBy>
  <cp:revision>2</cp:revision>
  <dcterms:created xsi:type="dcterms:W3CDTF">2017-05-02T08:20:00Z</dcterms:created>
  <dcterms:modified xsi:type="dcterms:W3CDTF">2017-05-02T08:20:00Z</dcterms:modified>
</cp:coreProperties>
</file>