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04" w:rsidRDefault="0081758E" w:rsidP="00863D04">
      <w:pPr>
        <w:spacing w:after="0" w:line="240" w:lineRule="auto"/>
        <w:contextualSpacing/>
        <w:jc w:val="center"/>
        <w:rPr>
          <w:rFonts w:ascii="Times New Roman" w:hAnsi="Times New Roman" w:cs="Times New Roman"/>
          <w:b/>
          <w:sz w:val="24"/>
          <w:szCs w:val="24"/>
        </w:rPr>
      </w:pPr>
      <w:bookmarkStart w:id="0" w:name="_GoBack"/>
      <w:r w:rsidRPr="00780FAB">
        <w:rPr>
          <w:rFonts w:ascii="Times New Roman" w:hAnsi="Times New Roman" w:cs="Times New Roman"/>
          <w:b/>
          <w:sz w:val="24"/>
          <w:szCs w:val="24"/>
        </w:rPr>
        <w:t>Стратегическ</w:t>
      </w:r>
      <w:r>
        <w:rPr>
          <w:rFonts w:ascii="Times New Roman" w:hAnsi="Times New Roman" w:cs="Times New Roman"/>
          <w:b/>
          <w:sz w:val="24"/>
          <w:szCs w:val="24"/>
          <w:lang w:val="kk-KZ"/>
        </w:rPr>
        <w:t>ий</w:t>
      </w:r>
      <w:r w:rsidRPr="00780FAB">
        <w:rPr>
          <w:rFonts w:ascii="Times New Roman" w:hAnsi="Times New Roman" w:cs="Times New Roman"/>
          <w:b/>
          <w:sz w:val="24"/>
          <w:szCs w:val="24"/>
        </w:rPr>
        <w:t xml:space="preserve"> </w:t>
      </w:r>
      <w:r w:rsidR="00B85205" w:rsidRPr="00780FAB">
        <w:rPr>
          <w:rFonts w:ascii="Times New Roman" w:hAnsi="Times New Roman" w:cs="Times New Roman"/>
          <w:b/>
          <w:sz w:val="24"/>
          <w:szCs w:val="24"/>
        </w:rPr>
        <w:t xml:space="preserve">анализ </w:t>
      </w:r>
      <w:r w:rsidR="00ED043F" w:rsidRPr="00780FAB">
        <w:rPr>
          <w:rFonts w:ascii="Times New Roman" w:hAnsi="Times New Roman" w:cs="Times New Roman"/>
          <w:b/>
          <w:sz w:val="24"/>
          <w:szCs w:val="24"/>
        </w:rPr>
        <w:t xml:space="preserve">как </w:t>
      </w:r>
      <w:r>
        <w:rPr>
          <w:rFonts w:ascii="Times New Roman" w:hAnsi="Times New Roman" w:cs="Times New Roman"/>
          <w:b/>
          <w:sz w:val="24"/>
          <w:szCs w:val="24"/>
          <w:lang w:val="kk-KZ"/>
        </w:rPr>
        <w:t>инструмент</w:t>
      </w:r>
      <w:r w:rsidR="00ED043F" w:rsidRPr="00780FAB">
        <w:rPr>
          <w:rFonts w:ascii="Times New Roman" w:hAnsi="Times New Roman" w:cs="Times New Roman"/>
          <w:b/>
          <w:sz w:val="24"/>
          <w:szCs w:val="24"/>
        </w:rPr>
        <w:t xml:space="preserve"> </w:t>
      </w:r>
      <w:r w:rsidR="00B85205" w:rsidRPr="00780FAB">
        <w:rPr>
          <w:rFonts w:ascii="Times New Roman" w:hAnsi="Times New Roman" w:cs="Times New Roman"/>
          <w:b/>
          <w:sz w:val="24"/>
          <w:szCs w:val="24"/>
        </w:rPr>
        <w:t>обеспечени</w:t>
      </w:r>
      <w:r w:rsidR="00ED043F" w:rsidRPr="00780FAB">
        <w:rPr>
          <w:rFonts w:ascii="Times New Roman" w:hAnsi="Times New Roman" w:cs="Times New Roman"/>
          <w:b/>
          <w:sz w:val="24"/>
          <w:szCs w:val="24"/>
        </w:rPr>
        <w:t>я</w:t>
      </w:r>
      <w:r w:rsidR="00B85205" w:rsidRPr="00780FAB">
        <w:rPr>
          <w:rFonts w:ascii="Times New Roman" w:hAnsi="Times New Roman" w:cs="Times New Roman"/>
          <w:b/>
          <w:sz w:val="24"/>
          <w:szCs w:val="24"/>
        </w:rPr>
        <w:t xml:space="preserve"> </w:t>
      </w:r>
      <w:r w:rsidR="002D20E5">
        <w:rPr>
          <w:rFonts w:ascii="Times New Roman" w:hAnsi="Times New Roman" w:cs="Times New Roman"/>
          <w:b/>
          <w:sz w:val="24"/>
          <w:szCs w:val="24"/>
          <w:lang w:val="kk-KZ"/>
        </w:rPr>
        <w:t>конкурентоспособности</w:t>
      </w:r>
      <w:r w:rsidR="00B85205" w:rsidRPr="00780FAB">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в управлении </w:t>
      </w:r>
      <w:r w:rsidR="00127085" w:rsidRPr="00780FAB">
        <w:rPr>
          <w:rFonts w:ascii="Times New Roman" w:hAnsi="Times New Roman" w:cs="Times New Roman"/>
          <w:b/>
          <w:sz w:val="24"/>
          <w:szCs w:val="24"/>
        </w:rPr>
        <w:t>предприяти</w:t>
      </w:r>
      <w:r>
        <w:rPr>
          <w:rFonts w:ascii="Times New Roman" w:hAnsi="Times New Roman" w:cs="Times New Roman"/>
          <w:b/>
          <w:sz w:val="24"/>
          <w:szCs w:val="24"/>
          <w:lang w:val="kk-KZ"/>
        </w:rPr>
        <w:t>ем</w:t>
      </w:r>
      <w:r w:rsidR="00780FAB" w:rsidRPr="00780FAB">
        <w:rPr>
          <w:rFonts w:ascii="Times New Roman" w:hAnsi="Times New Roman" w:cs="Times New Roman"/>
          <w:b/>
          <w:sz w:val="24"/>
          <w:szCs w:val="24"/>
          <w:lang w:val="kk-KZ"/>
        </w:rPr>
        <w:t xml:space="preserve"> </w:t>
      </w:r>
      <w:r w:rsidR="00780FAB" w:rsidRPr="00780FAB">
        <w:rPr>
          <w:rFonts w:ascii="Times New Roman" w:hAnsi="Times New Roman" w:cs="Times New Roman"/>
          <w:b/>
          <w:sz w:val="24"/>
          <w:szCs w:val="24"/>
        </w:rPr>
        <w:t>(на примере фармкомпании)</w:t>
      </w:r>
    </w:p>
    <w:bookmarkEnd w:id="0"/>
    <w:p w:rsidR="00FF5277" w:rsidRPr="00780FAB" w:rsidRDefault="00FF5277" w:rsidP="00863D04">
      <w:pPr>
        <w:spacing w:after="0" w:line="240" w:lineRule="auto"/>
        <w:contextualSpacing/>
        <w:jc w:val="center"/>
        <w:rPr>
          <w:rFonts w:ascii="Times New Roman" w:hAnsi="Times New Roman" w:cs="Times New Roman"/>
          <w:b/>
          <w:sz w:val="24"/>
          <w:szCs w:val="24"/>
        </w:rPr>
      </w:pPr>
    </w:p>
    <w:p w:rsidR="00FF5277" w:rsidRDefault="00FF5277" w:rsidP="00FF5277">
      <w:pPr>
        <w:spacing w:after="0" w:line="240" w:lineRule="auto"/>
        <w:contextualSpacing/>
        <w:jc w:val="center"/>
        <w:rPr>
          <w:rFonts w:ascii="Times New Roman" w:hAnsi="Times New Roman" w:cs="Times New Roman"/>
          <w:sz w:val="24"/>
          <w:szCs w:val="24"/>
        </w:rPr>
      </w:pPr>
      <w:r w:rsidRPr="00780FAB">
        <w:rPr>
          <w:rFonts w:ascii="Times New Roman" w:hAnsi="Times New Roman" w:cs="Times New Roman"/>
          <w:sz w:val="24"/>
          <w:szCs w:val="24"/>
          <w:lang w:val="kk-KZ"/>
        </w:rPr>
        <w:t>А</w:t>
      </w:r>
      <w:r w:rsidRPr="00780FAB">
        <w:rPr>
          <w:rFonts w:ascii="Times New Roman" w:hAnsi="Times New Roman" w:cs="Times New Roman"/>
          <w:sz w:val="24"/>
          <w:szCs w:val="24"/>
        </w:rPr>
        <w:t>.М. Байдильдина</w:t>
      </w:r>
      <w:r>
        <w:rPr>
          <w:rFonts w:ascii="Times New Roman" w:hAnsi="Times New Roman" w:cs="Times New Roman"/>
          <w:sz w:val="24"/>
          <w:szCs w:val="24"/>
        </w:rPr>
        <w:t xml:space="preserve">, Г.Е.Жунисова, Ж.К.Купенова </w:t>
      </w:r>
      <w:r w:rsidRPr="00FF5277">
        <w:rPr>
          <w:rFonts w:ascii="Times New Roman" w:hAnsi="Times New Roman" w:cs="Times New Roman"/>
          <w:sz w:val="24"/>
          <w:szCs w:val="24"/>
        </w:rPr>
        <w:t xml:space="preserve"> </w:t>
      </w:r>
    </w:p>
    <w:p w:rsidR="00FF5277" w:rsidRDefault="00FF5277" w:rsidP="00FF5277">
      <w:pPr>
        <w:spacing w:after="0" w:line="240" w:lineRule="auto"/>
        <w:contextualSpacing/>
        <w:jc w:val="center"/>
        <w:rPr>
          <w:rFonts w:ascii="Times New Roman" w:hAnsi="Times New Roman" w:cs="Times New Roman"/>
          <w:sz w:val="24"/>
          <w:szCs w:val="24"/>
        </w:rPr>
      </w:pPr>
    </w:p>
    <w:p w:rsidR="00FF5277" w:rsidRPr="00780FAB" w:rsidRDefault="00FF5277" w:rsidP="00FF5277">
      <w:pPr>
        <w:spacing w:after="0" w:line="240" w:lineRule="auto"/>
        <w:contextualSpacing/>
        <w:jc w:val="center"/>
        <w:rPr>
          <w:rFonts w:ascii="Times New Roman" w:hAnsi="Times New Roman" w:cs="Times New Roman"/>
          <w:sz w:val="24"/>
          <w:szCs w:val="24"/>
        </w:rPr>
      </w:pPr>
      <w:r w:rsidRPr="00780FAB">
        <w:rPr>
          <w:rFonts w:ascii="Times New Roman" w:hAnsi="Times New Roman" w:cs="Times New Roman"/>
          <w:sz w:val="24"/>
          <w:szCs w:val="24"/>
        </w:rPr>
        <w:t>Казахский Национальный Университет имени аль-Фараби, Казахстан, г.</w:t>
      </w:r>
      <w:r w:rsidRPr="00780FAB">
        <w:rPr>
          <w:rFonts w:ascii="Times New Roman" w:hAnsi="Times New Roman" w:cs="Times New Roman"/>
          <w:sz w:val="24"/>
          <w:szCs w:val="24"/>
          <w:lang w:val="kk-KZ"/>
        </w:rPr>
        <w:t xml:space="preserve"> </w:t>
      </w:r>
      <w:r w:rsidRPr="00780FAB">
        <w:rPr>
          <w:rFonts w:ascii="Times New Roman" w:hAnsi="Times New Roman" w:cs="Times New Roman"/>
          <w:sz w:val="24"/>
          <w:szCs w:val="24"/>
        </w:rPr>
        <w:t>Алматы</w:t>
      </w:r>
    </w:p>
    <w:p w:rsidR="00B85205" w:rsidRPr="00780FAB" w:rsidRDefault="00B85205" w:rsidP="00863D04">
      <w:pPr>
        <w:spacing w:after="0" w:line="240" w:lineRule="auto"/>
        <w:contextualSpacing/>
        <w:jc w:val="center"/>
        <w:rPr>
          <w:rFonts w:ascii="Times New Roman" w:hAnsi="Times New Roman" w:cs="Times New Roman"/>
          <w:sz w:val="24"/>
          <w:szCs w:val="24"/>
        </w:rPr>
      </w:pPr>
    </w:p>
    <w:p w:rsidR="00780FAB" w:rsidRPr="007D24AD" w:rsidRDefault="00780FAB" w:rsidP="00780FAB">
      <w:pPr>
        <w:spacing w:after="0" w:line="240" w:lineRule="auto"/>
        <w:ind w:firstLine="426"/>
        <w:contextualSpacing/>
        <w:jc w:val="both"/>
        <w:rPr>
          <w:rFonts w:ascii="Times New Roman" w:hAnsi="Times New Roman" w:cs="Times New Roman"/>
          <w:sz w:val="24"/>
          <w:szCs w:val="24"/>
        </w:rPr>
      </w:pPr>
      <w:r w:rsidRPr="00780FAB">
        <w:rPr>
          <w:rFonts w:ascii="Times New Roman" w:hAnsi="Times New Roman" w:cs="Times New Roman"/>
          <w:b/>
          <w:sz w:val="24"/>
          <w:szCs w:val="24"/>
        </w:rPr>
        <w:t>Аннотация</w:t>
      </w:r>
      <w:r w:rsidRPr="00780FAB">
        <w:rPr>
          <w:rFonts w:ascii="Times New Roman" w:hAnsi="Times New Roman" w:cs="Times New Roman"/>
          <w:sz w:val="24"/>
          <w:szCs w:val="24"/>
        </w:rPr>
        <w:t>.</w:t>
      </w:r>
      <w:r>
        <w:rPr>
          <w:rFonts w:ascii="Times New Roman" w:hAnsi="Times New Roman" w:cs="Times New Roman"/>
          <w:sz w:val="24"/>
          <w:szCs w:val="24"/>
        </w:rPr>
        <w:t xml:space="preserve"> </w:t>
      </w:r>
      <w:r w:rsidRPr="00780FAB">
        <w:rPr>
          <w:rFonts w:ascii="Times New Roman" w:hAnsi="Times New Roman" w:cs="Times New Roman"/>
          <w:sz w:val="24"/>
          <w:szCs w:val="20"/>
        </w:rPr>
        <w:t>В условиях современных реалий казахстанского бизнеса актуальность проблематики стратегического анализа как неотъемлемого инструмента эффективного стратегического управления хозяйствующими субъектами неуклонно возрастает.</w:t>
      </w:r>
      <w:r>
        <w:rPr>
          <w:rFonts w:ascii="Times New Roman" w:hAnsi="Times New Roman" w:cs="Times New Roman"/>
          <w:sz w:val="24"/>
          <w:szCs w:val="20"/>
        </w:rPr>
        <w:t xml:space="preserve"> </w:t>
      </w:r>
      <w:r w:rsidRPr="00780FAB">
        <w:rPr>
          <w:rFonts w:ascii="Times New Roman" w:hAnsi="Times New Roman" w:cs="Times New Roman"/>
          <w:sz w:val="24"/>
          <w:szCs w:val="20"/>
          <w:shd w:val="clear" w:color="auto" w:fill="FFFFFF"/>
        </w:rPr>
        <w:t>Стратегический анализ традиционно рассматривается учеными как функция стратегического управления. Однако стратегический анализ должен быть не столько поверхностным исследованием сильных и слабых сторон деятельности предприятия, сколько глубокой диагностикой стратегических позиций по сравнению с конкурентами и с ориентацией на перспективу.</w:t>
      </w:r>
      <w:r>
        <w:rPr>
          <w:rFonts w:ascii="Times New Roman" w:hAnsi="Times New Roman" w:cs="Times New Roman"/>
          <w:sz w:val="24"/>
          <w:szCs w:val="20"/>
          <w:shd w:val="clear" w:color="auto" w:fill="FFFFFF"/>
        </w:rPr>
        <w:t xml:space="preserve"> В связи с этим, в настоящей статье рассмотрена методология стратегического экономического анализа, в частности были применены модель пяти сил Портера, </w:t>
      </w:r>
      <w:r w:rsidRPr="00780FAB">
        <w:rPr>
          <w:rFonts w:ascii="Times New Roman" w:hAnsi="Times New Roman" w:cs="Times New Roman"/>
          <w:sz w:val="24"/>
          <w:szCs w:val="24"/>
          <w:lang w:val="en-US"/>
        </w:rPr>
        <w:t>SWOT</w:t>
      </w:r>
      <w:r w:rsidRPr="00780FAB">
        <w:rPr>
          <w:rFonts w:ascii="Times New Roman" w:hAnsi="Times New Roman" w:cs="Times New Roman"/>
          <w:sz w:val="24"/>
          <w:szCs w:val="24"/>
        </w:rPr>
        <w:t xml:space="preserve"> – анализ</w:t>
      </w:r>
      <w:r>
        <w:rPr>
          <w:rFonts w:ascii="Times New Roman" w:hAnsi="Times New Roman" w:cs="Times New Roman"/>
          <w:sz w:val="24"/>
          <w:szCs w:val="24"/>
        </w:rPr>
        <w:t xml:space="preserve"> и анализ с</w:t>
      </w:r>
      <w:r>
        <w:rPr>
          <w:rFonts w:ascii="Times New Roman" w:hAnsi="Times New Roman" w:cs="Times New Roman"/>
          <w:color w:val="000000"/>
          <w:sz w:val="24"/>
          <w:szCs w:val="24"/>
        </w:rPr>
        <w:t>тратегической</w:t>
      </w:r>
      <w:r w:rsidRPr="00780FAB">
        <w:rPr>
          <w:rFonts w:ascii="Times New Roman" w:hAnsi="Times New Roman" w:cs="Times New Roman"/>
          <w:color w:val="000000"/>
          <w:sz w:val="24"/>
          <w:szCs w:val="24"/>
        </w:rPr>
        <w:t xml:space="preserve"> групп</w:t>
      </w:r>
      <w:r>
        <w:rPr>
          <w:rFonts w:ascii="Times New Roman" w:hAnsi="Times New Roman" w:cs="Times New Roman"/>
          <w:color w:val="000000"/>
          <w:sz w:val="24"/>
          <w:szCs w:val="24"/>
        </w:rPr>
        <w:t>ы</w:t>
      </w:r>
      <w:r w:rsidRPr="00780FAB">
        <w:rPr>
          <w:rFonts w:ascii="Times New Roman" w:hAnsi="Times New Roman" w:cs="Times New Roman"/>
          <w:color w:val="000000"/>
          <w:sz w:val="24"/>
          <w:szCs w:val="24"/>
        </w:rPr>
        <w:t xml:space="preserve"> конкурентов</w:t>
      </w:r>
      <w:r>
        <w:rPr>
          <w:rFonts w:ascii="Times New Roman" w:hAnsi="Times New Roman" w:cs="Times New Roman"/>
          <w:color w:val="000000"/>
          <w:sz w:val="24"/>
          <w:szCs w:val="24"/>
        </w:rPr>
        <w:t>, на примере фармацевтической индустрии в РК.</w:t>
      </w:r>
      <w:r>
        <w:rPr>
          <w:rFonts w:ascii="Times New Roman" w:hAnsi="Times New Roman" w:cs="Times New Roman"/>
          <w:color w:val="000000"/>
          <w:sz w:val="24"/>
          <w:szCs w:val="24"/>
          <w:lang w:val="kk-KZ"/>
        </w:rPr>
        <w:t xml:space="preserve"> Таким образом, в работе была обоснована значимость стратегического экономического анализа как ключевого фактора в обеспечении устойчивости предприятий.</w:t>
      </w:r>
    </w:p>
    <w:p w:rsidR="00780FAB" w:rsidRPr="00780FAB" w:rsidRDefault="00780FAB" w:rsidP="00780FAB">
      <w:pPr>
        <w:spacing w:after="0" w:line="240" w:lineRule="auto"/>
        <w:contextualSpacing/>
        <w:jc w:val="both"/>
        <w:rPr>
          <w:rFonts w:ascii="Times New Roman" w:hAnsi="Times New Roman" w:cs="Times New Roman"/>
          <w:sz w:val="24"/>
          <w:szCs w:val="24"/>
        </w:rPr>
      </w:pPr>
    </w:p>
    <w:p w:rsidR="00780FAB" w:rsidRPr="00FF5277" w:rsidRDefault="00780FAB" w:rsidP="00780FAB">
      <w:pPr>
        <w:spacing w:after="0" w:line="240" w:lineRule="auto"/>
        <w:ind w:firstLine="426"/>
        <w:contextualSpacing/>
        <w:jc w:val="both"/>
        <w:rPr>
          <w:rFonts w:ascii="Times New Roman" w:hAnsi="Times New Roman" w:cs="Times New Roman"/>
          <w:sz w:val="24"/>
          <w:szCs w:val="20"/>
          <w:shd w:val="clear" w:color="auto" w:fill="FFFFFF"/>
        </w:rPr>
      </w:pPr>
      <w:r w:rsidRPr="00780FAB">
        <w:rPr>
          <w:rFonts w:ascii="Times New Roman" w:hAnsi="Times New Roman" w:cs="Times New Roman"/>
          <w:b/>
          <w:sz w:val="24"/>
          <w:szCs w:val="24"/>
          <w:lang w:val="kk-KZ"/>
        </w:rPr>
        <w:t xml:space="preserve">Андатпа. </w:t>
      </w:r>
      <w:r w:rsidRPr="00FF5277">
        <w:rPr>
          <w:rFonts w:ascii="Times New Roman" w:hAnsi="Times New Roman" w:cs="Times New Roman"/>
          <w:sz w:val="24"/>
          <w:szCs w:val="20"/>
          <w:shd w:val="clear" w:color="auto" w:fill="FFFFFF"/>
        </w:rPr>
        <w:t>Қазақстандық бизнес болмысты тұрғысында кәсіпкерлік субъектілерінің тиімді стратегиялық басқару үшін маңызды құралы ретінде стратегиялық талдаудың өзектілігі қазіргі тұрғысынан тұрақты өсті. Стратегиялық талдау ғалымдармен дәстүрлі стратегиялық басқарудың функциясы ретінде қарастырылады. Алайда, стратегиялық талдау диагностика стратегиялық позиция болашаққа бәсекелестік пен бағдар салыстырғанда толығырақ ретінде емес, сонша компанияның күшті және әлсіз жақтарын үстіртін зерттеу болуы тиіс. бәсекелестердің стратегиялық топтардың талдау және талдау, Қазақстанда фармацевтикалық өнеркәсіпті мысалы. Сондықтан, осы баптың стратегиялық экономикалық талдау әдістемесі, атап айтқанда, Портер бес күштер моделі, SWOT – талдау қолданылған. Осылайша, жұмыс кәсіпорындардың тұрақтылығын қамтамасыз етуде маңызды факторы ретінде стратегиялық экономикалық талдау маңыздылығын дәлелдеді.</w:t>
      </w:r>
    </w:p>
    <w:p w:rsidR="00780FAB" w:rsidRPr="00780FAB" w:rsidRDefault="00780FAB" w:rsidP="00780FAB">
      <w:pPr>
        <w:spacing w:after="0" w:line="240" w:lineRule="auto"/>
        <w:ind w:firstLine="426"/>
        <w:contextualSpacing/>
        <w:jc w:val="both"/>
        <w:rPr>
          <w:rFonts w:ascii="Times New Roman" w:hAnsi="Times New Roman"/>
          <w:b/>
          <w:sz w:val="24"/>
          <w:szCs w:val="24"/>
          <w:lang w:val="en-US"/>
        </w:rPr>
      </w:pPr>
      <w:r w:rsidRPr="00750149">
        <w:rPr>
          <w:rFonts w:ascii="Times New Roman" w:hAnsi="Times New Roman"/>
          <w:b/>
          <w:sz w:val="24"/>
          <w:szCs w:val="24"/>
          <w:lang w:val="kk-KZ"/>
        </w:rPr>
        <w:t>Abstract</w:t>
      </w:r>
      <w:r>
        <w:rPr>
          <w:rFonts w:ascii="Times New Roman" w:hAnsi="Times New Roman"/>
          <w:b/>
          <w:sz w:val="24"/>
          <w:szCs w:val="24"/>
          <w:lang w:val="kk-KZ"/>
        </w:rPr>
        <w:t>.</w:t>
      </w:r>
      <w:r>
        <w:rPr>
          <w:rFonts w:ascii="Times New Roman" w:hAnsi="Times New Roman"/>
          <w:b/>
          <w:sz w:val="24"/>
          <w:szCs w:val="24"/>
          <w:lang w:val="en-US"/>
        </w:rPr>
        <w:t xml:space="preserve"> </w:t>
      </w:r>
      <w:r w:rsidRPr="00780FAB">
        <w:rPr>
          <w:rFonts w:ascii="Times New Roman" w:hAnsi="Times New Roman"/>
          <w:sz w:val="24"/>
          <w:szCs w:val="24"/>
          <w:lang w:val="en-US"/>
        </w:rPr>
        <w:t xml:space="preserve">In the context of contemporary realities of the Kazakhstan business relevance perspective of strategic analysis as an essential tool for effective strategic management of business entities has increased steadily. Strategic analysis has been regarded by scientists as a </w:t>
      </w:r>
      <w:r>
        <w:rPr>
          <w:rFonts w:ascii="Times New Roman" w:hAnsi="Times New Roman"/>
          <w:sz w:val="24"/>
          <w:szCs w:val="24"/>
          <w:lang w:val="en-US"/>
        </w:rPr>
        <w:t>traditional</w:t>
      </w:r>
      <w:r w:rsidRPr="00780FAB">
        <w:rPr>
          <w:rFonts w:ascii="Times New Roman" w:hAnsi="Times New Roman"/>
          <w:sz w:val="24"/>
          <w:szCs w:val="24"/>
          <w:lang w:val="en-US"/>
        </w:rPr>
        <w:t xml:space="preserve"> function of strategic management. However, strategic analysis must be not so much a superficial study of the strengths and weaknesses of the company, as detailed diagnostics strategic position compared to the competition and the orientation for the future. Therefore, in this article the methodology of strategic economic analysis</w:t>
      </w:r>
      <w:r>
        <w:rPr>
          <w:rFonts w:ascii="Times New Roman" w:hAnsi="Times New Roman"/>
          <w:sz w:val="24"/>
          <w:szCs w:val="24"/>
          <w:lang w:val="en-US"/>
        </w:rPr>
        <w:t xml:space="preserve"> </w:t>
      </w:r>
      <w:r w:rsidRPr="00780FAB">
        <w:rPr>
          <w:rFonts w:ascii="Times New Roman" w:hAnsi="Times New Roman"/>
          <w:sz w:val="24"/>
          <w:szCs w:val="24"/>
          <w:lang w:val="en-US"/>
        </w:rPr>
        <w:t>was considered, in particular, Porter five forces model, SWOT - analysis and analysis of strategic groups of competitors</w:t>
      </w:r>
      <w:r>
        <w:rPr>
          <w:rFonts w:ascii="Times New Roman" w:hAnsi="Times New Roman"/>
          <w:sz w:val="24"/>
          <w:szCs w:val="24"/>
          <w:lang w:val="en-US"/>
        </w:rPr>
        <w:t xml:space="preserve"> </w:t>
      </w:r>
      <w:r w:rsidRPr="00780FAB">
        <w:rPr>
          <w:rFonts w:ascii="Times New Roman" w:hAnsi="Times New Roman"/>
          <w:sz w:val="24"/>
          <w:szCs w:val="24"/>
          <w:lang w:val="en-US"/>
        </w:rPr>
        <w:t>have been applied</w:t>
      </w:r>
      <w:r>
        <w:rPr>
          <w:rFonts w:ascii="Times New Roman" w:hAnsi="Times New Roman"/>
          <w:sz w:val="24"/>
          <w:szCs w:val="24"/>
          <w:lang w:val="kk-KZ"/>
        </w:rPr>
        <w:t xml:space="preserve"> </w:t>
      </w:r>
      <w:r>
        <w:rPr>
          <w:rFonts w:ascii="Times New Roman" w:hAnsi="Times New Roman"/>
          <w:sz w:val="24"/>
          <w:szCs w:val="24"/>
          <w:lang w:val="en-US"/>
        </w:rPr>
        <w:t>on</w:t>
      </w:r>
      <w:r w:rsidRPr="00780FAB">
        <w:rPr>
          <w:rFonts w:ascii="Times New Roman" w:hAnsi="Times New Roman"/>
          <w:sz w:val="24"/>
          <w:szCs w:val="24"/>
          <w:lang w:val="en-US"/>
        </w:rPr>
        <w:t xml:space="preserve"> the example of the pharmaceutical industry in Kazakhstan. Thus, the work has proved the importance of the strategic economic analysis as a key factor in ensuring the sustainability of enterprises.</w:t>
      </w:r>
    </w:p>
    <w:p w:rsidR="00780FAB" w:rsidRPr="00780FAB" w:rsidRDefault="00780FAB" w:rsidP="00780FAB">
      <w:pPr>
        <w:spacing w:after="0" w:line="240" w:lineRule="auto"/>
        <w:contextualSpacing/>
        <w:jc w:val="both"/>
        <w:rPr>
          <w:rFonts w:ascii="Times New Roman" w:hAnsi="Times New Roman" w:cs="Times New Roman"/>
          <w:sz w:val="24"/>
          <w:szCs w:val="24"/>
          <w:lang w:val="en-US"/>
        </w:rPr>
      </w:pPr>
    </w:p>
    <w:p w:rsidR="00E3333B" w:rsidRPr="00780FAB" w:rsidRDefault="00DF2775" w:rsidP="00E3333B">
      <w:pPr>
        <w:spacing w:after="0" w:line="240" w:lineRule="auto"/>
        <w:contextualSpacing/>
        <w:jc w:val="right"/>
        <w:rPr>
          <w:rFonts w:ascii="Times New Roman" w:hAnsi="Times New Roman" w:cs="Times New Roman"/>
          <w:i/>
          <w:sz w:val="24"/>
          <w:szCs w:val="24"/>
        </w:rPr>
      </w:pPr>
      <w:r w:rsidRPr="00780FAB">
        <w:rPr>
          <w:rFonts w:ascii="Times New Roman" w:hAnsi="Times New Roman" w:cs="Times New Roman"/>
          <w:i/>
          <w:sz w:val="24"/>
          <w:szCs w:val="24"/>
        </w:rPr>
        <w:t>Анализ – это исходный пункт разработки стратегии.</w:t>
      </w:r>
    </w:p>
    <w:p w:rsidR="00DF2775" w:rsidRPr="00780FAB" w:rsidRDefault="00DF2775" w:rsidP="00E3333B">
      <w:pPr>
        <w:spacing w:after="0" w:line="240" w:lineRule="auto"/>
        <w:contextualSpacing/>
        <w:jc w:val="right"/>
        <w:rPr>
          <w:rFonts w:ascii="Times New Roman" w:hAnsi="Times New Roman" w:cs="Times New Roman"/>
          <w:i/>
          <w:sz w:val="24"/>
          <w:szCs w:val="24"/>
        </w:rPr>
      </w:pPr>
      <w:r w:rsidRPr="00780FAB">
        <w:rPr>
          <w:rFonts w:ascii="Times New Roman" w:hAnsi="Times New Roman" w:cs="Times New Roman"/>
          <w:i/>
          <w:sz w:val="24"/>
          <w:szCs w:val="24"/>
        </w:rPr>
        <w:t>Кениши Омэ</w:t>
      </w:r>
    </w:p>
    <w:p w:rsidR="007D24AD" w:rsidRPr="007D24AD" w:rsidRDefault="007D24AD" w:rsidP="007D24AD">
      <w:pPr>
        <w:spacing w:after="0" w:line="240" w:lineRule="auto"/>
        <w:ind w:firstLine="426"/>
        <w:contextualSpacing/>
        <w:jc w:val="both"/>
        <w:rPr>
          <w:rFonts w:ascii="Times New Roman" w:hAnsi="Times New Roman" w:cs="Times New Roman"/>
          <w:sz w:val="24"/>
          <w:szCs w:val="24"/>
        </w:rPr>
      </w:pPr>
      <w:r w:rsidRPr="007D24AD">
        <w:rPr>
          <w:rFonts w:ascii="Times New Roman" w:hAnsi="Times New Roman" w:cs="Times New Roman"/>
          <w:sz w:val="24"/>
          <w:szCs w:val="24"/>
        </w:rPr>
        <w:t>Стратегический анализ хозяйственной деятельности организаций в рыночных условиях является стержневым элементом стратегического менеджмента, базисом выбора и реализации стратегических управленческих решений, адекватных условиям и требованиям окружающей бизнес-среды. Ему принадлежит важнейшая роль в своевременной диагностике тенденций, разработке антикризисных мероприятий, предупреждении несостоятельности, и таким образом – в обеспечении стратегической устойчивости бизнеса.</w:t>
      </w:r>
    </w:p>
    <w:p w:rsidR="00B85205" w:rsidRPr="00780FAB" w:rsidRDefault="00B85205" w:rsidP="00602691">
      <w:pPr>
        <w:spacing w:after="0" w:line="240" w:lineRule="auto"/>
        <w:ind w:firstLine="567"/>
        <w:contextualSpacing/>
        <w:jc w:val="both"/>
        <w:rPr>
          <w:rFonts w:ascii="Times New Roman" w:hAnsi="Times New Roman" w:cs="Times New Roman"/>
          <w:sz w:val="24"/>
          <w:szCs w:val="24"/>
        </w:rPr>
      </w:pPr>
      <w:r w:rsidRPr="00780FAB">
        <w:rPr>
          <w:rFonts w:ascii="Times New Roman" w:hAnsi="Times New Roman" w:cs="Times New Roman"/>
          <w:sz w:val="24"/>
          <w:szCs w:val="24"/>
        </w:rPr>
        <w:t xml:space="preserve">По мнению Р.Гранта, Дж.Тиса, Р.Санчеса, Дж.Барни, Г.Хэмела, К.К.Прахалада и других исследователей в области стратегического управления, когда внешняя среда постоянно </w:t>
      </w:r>
      <w:r w:rsidRPr="00780FAB">
        <w:rPr>
          <w:rFonts w:ascii="Times New Roman" w:hAnsi="Times New Roman" w:cs="Times New Roman"/>
          <w:sz w:val="24"/>
          <w:szCs w:val="24"/>
        </w:rPr>
        <w:lastRenderedPageBreak/>
        <w:t>изменяется (а высокий динамизм внешней среды, обусловленный в том числе развитием новой экономики и глобализацией, наблюдается в последние годы почти на всех рынках), специфические активы и компетенции компании могут являться куда более стабильной основой для ее самоидентификации. Таким образом, определение бизнеса в терминах того, что организация в состоянии делать, может дать более прочную базу для ее стратегии, чем основанное на потребностях, которые бизнес стремится удовлетворить</w:t>
      </w:r>
      <w:r w:rsidR="00B62C9D" w:rsidRPr="00780FAB">
        <w:rPr>
          <w:rFonts w:ascii="Times New Roman" w:hAnsi="Times New Roman" w:cs="Times New Roman"/>
          <w:sz w:val="24"/>
          <w:szCs w:val="24"/>
        </w:rPr>
        <w:t xml:space="preserve"> [1]</w:t>
      </w:r>
      <w:r w:rsidRPr="00780FAB">
        <w:rPr>
          <w:rFonts w:ascii="Times New Roman" w:hAnsi="Times New Roman" w:cs="Times New Roman"/>
          <w:sz w:val="24"/>
          <w:szCs w:val="24"/>
        </w:rPr>
        <w:t>.</w:t>
      </w:r>
    </w:p>
    <w:p w:rsidR="00D62D6E" w:rsidRPr="00780FAB" w:rsidRDefault="00D62D6E" w:rsidP="00D62D6E">
      <w:pPr>
        <w:spacing w:after="0" w:line="240" w:lineRule="auto"/>
        <w:ind w:firstLine="567"/>
        <w:contextualSpacing/>
        <w:jc w:val="both"/>
        <w:rPr>
          <w:rFonts w:ascii="Times New Roman" w:hAnsi="Times New Roman" w:cs="Times New Roman"/>
          <w:sz w:val="24"/>
          <w:szCs w:val="24"/>
        </w:rPr>
      </w:pPr>
      <w:r w:rsidRPr="00780FAB">
        <w:rPr>
          <w:rFonts w:ascii="Times New Roman" w:hAnsi="Times New Roman" w:cs="Times New Roman"/>
          <w:sz w:val="24"/>
          <w:szCs w:val="24"/>
        </w:rPr>
        <w:t xml:space="preserve">Методология и методы анализа стратегического положения компании, в результате относительного единства состояния внутренних и внешних ресурсов, должны быть разработаны на </w:t>
      </w:r>
      <w:r w:rsidR="004337EB" w:rsidRPr="00780FAB">
        <w:rPr>
          <w:rFonts w:ascii="Times New Roman" w:hAnsi="Times New Roman" w:cs="Times New Roman"/>
          <w:sz w:val="24"/>
          <w:szCs w:val="24"/>
        </w:rPr>
        <w:t xml:space="preserve">основе </w:t>
      </w:r>
      <w:r w:rsidRPr="00780FAB">
        <w:rPr>
          <w:rFonts w:ascii="Times New Roman" w:hAnsi="Times New Roman" w:cs="Times New Roman"/>
          <w:sz w:val="24"/>
          <w:szCs w:val="24"/>
        </w:rPr>
        <w:t>экономических и финансовых показател</w:t>
      </w:r>
      <w:r w:rsidR="004337EB" w:rsidRPr="00780FAB">
        <w:rPr>
          <w:rFonts w:ascii="Times New Roman" w:hAnsi="Times New Roman" w:cs="Times New Roman"/>
          <w:sz w:val="24"/>
          <w:szCs w:val="24"/>
        </w:rPr>
        <w:t>ей, чтобы позволить качественно</w:t>
      </w:r>
      <w:r w:rsidRPr="00780FAB">
        <w:rPr>
          <w:rFonts w:ascii="Times New Roman" w:hAnsi="Times New Roman" w:cs="Times New Roman"/>
          <w:sz w:val="24"/>
          <w:szCs w:val="24"/>
        </w:rPr>
        <w:t xml:space="preserve"> равномерн</w:t>
      </w:r>
      <w:r w:rsidR="004337EB" w:rsidRPr="00780FAB">
        <w:rPr>
          <w:rFonts w:ascii="Times New Roman" w:hAnsi="Times New Roman" w:cs="Times New Roman"/>
          <w:sz w:val="24"/>
          <w:szCs w:val="24"/>
        </w:rPr>
        <w:t>ую</w:t>
      </w:r>
      <w:r w:rsidRPr="00780FAB">
        <w:rPr>
          <w:rFonts w:ascii="Times New Roman" w:hAnsi="Times New Roman" w:cs="Times New Roman"/>
          <w:sz w:val="24"/>
          <w:szCs w:val="24"/>
        </w:rPr>
        <w:t xml:space="preserve"> активизаци</w:t>
      </w:r>
      <w:r w:rsidR="004337EB" w:rsidRPr="00780FAB">
        <w:rPr>
          <w:rFonts w:ascii="Times New Roman" w:hAnsi="Times New Roman" w:cs="Times New Roman"/>
          <w:sz w:val="24"/>
          <w:szCs w:val="24"/>
        </w:rPr>
        <w:t>ю</w:t>
      </w:r>
      <w:r w:rsidRPr="00780FAB">
        <w:rPr>
          <w:rFonts w:ascii="Times New Roman" w:hAnsi="Times New Roman" w:cs="Times New Roman"/>
          <w:sz w:val="24"/>
          <w:szCs w:val="24"/>
        </w:rPr>
        <w:t xml:space="preserve"> работы по анализу:</w:t>
      </w:r>
    </w:p>
    <w:p w:rsidR="00D62D6E" w:rsidRPr="00780FAB" w:rsidRDefault="00780FAB" w:rsidP="00D62D6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w:t>
      </w:r>
      <w:r w:rsidR="00D62D6E" w:rsidRPr="00780FAB">
        <w:rPr>
          <w:rFonts w:ascii="Times New Roman" w:hAnsi="Times New Roman" w:cs="Times New Roman"/>
          <w:sz w:val="24"/>
          <w:szCs w:val="24"/>
        </w:rPr>
        <w:t>внутренн</w:t>
      </w:r>
      <w:r w:rsidR="004337EB" w:rsidRPr="00780FAB">
        <w:rPr>
          <w:rFonts w:ascii="Times New Roman" w:hAnsi="Times New Roman" w:cs="Times New Roman"/>
          <w:sz w:val="24"/>
          <w:szCs w:val="24"/>
        </w:rPr>
        <w:t>яя среда:</w:t>
      </w:r>
      <w:r w:rsidR="00D62D6E" w:rsidRPr="00780FAB">
        <w:rPr>
          <w:rFonts w:ascii="Times New Roman" w:hAnsi="Times New Roman" w:cs="Times New Roman"/>
          <w:sz w:val="24"/>
          <w:szCs w:val="24"/>
        </w:rPr>
        <w:t xml:space="preserve"> анализ сильных и слабых сторон каждого отдельного экономическ</w:t>
      </w:r>
      <w:r w:rsidR="004337EB" w:rsidRPr="00780FAB">
        <w:rPr>
          <w:rFonts w:ascii="Times New Roman" w:hAnsi="Times New Roman" w:cs="Times New Roman"/>
          <w:sz w:val="24"/>
          <w:szCs w:val="24"/>
        </w:rPr>
        <w:t>ого</w:t>
      </w:r>
      <w:r w:rsidR="00D62D6E" w:rsidRPr="00780FAB">
        <w:rPr>
          <w:rFonts w:ascii="Times New Roman" w:hAnsi="Times New Roman" w:cs="Times New Roman"/>
          <w:sz w:val="24"/>
          <w:szCs w:val="24"/>
        </w:rPr>
        <w:t xml:space="preserve"> </w:t>
      </w:r>
      <w:r w:rsidR="004337EB" w:rsidRPr="00780FAB">
        <w:rPr>
          <w:rFonts w:ascii="Times New Roman" w:hAnsi="Times New Roman" w:cs="Times New Roman"/>
          <w:sz w:val="24"/>
          <w:szCs w:val="24"/>
        </w:rPr>
        <w:t>бизнес-</w:t>
      </w:r>
      <w:r w:rsidR="00D62D6E" w:rsidRPr="00780FAB">
        <w:rPr>
          <w:rFonts w:ascii="Times New Roman" w:hAnsi="Times New Roman" w:cs="Times New Roman"/>
          <w:sz w:val="24"/>
          <w:szCs w:val="24"/>
        </w:rPr>
        <w:t>процесс</w:t>
      </w:r>
      <w:r w:rsidR="004337EB" w:rsidRPr="00780FAB">
        <w:rPr>
          <w:rFonts w:ascii="Times New Roman" w:hAnsi="Times New Roman" w:cs="Times New Roman"/>
          <w:sz w:val="24"/>
          <w:szCs w:val="24"/>
        </w:rPr>
        <w:t>а</w:t>
      </w:r>
      <w:r w:rsidR="00D62D6E" w:rsidRPr="00780FAB">
        <w:rPr>
          <w:rFonts w:ascii="Times New Roman" w:hAnsi="Times New Roman" w:cs="Times New Roman"/>
          <w:sz w:val="24"/>
          <w:szCs w:val="24"/>
        </w:rPr>
        <w:t xml:space="preserve"> компании, как на этапе установления стратегии (анализ стратегических позиций), а также в рабочей фазе операц</w:t>
      </w:r>
      <w:r w:rsidR="004337EB" w:rsidRPr="00780FAB">
        <w:rPr>
          <w:rFonts w:ascii="Times New Roman" w:hAnsi="Times New Roman" w:cs="Times New Roman"/>
          <w:sz w:val="24"/>
          <w:szCs w:val="24"/>
        </w:rPr>
        <w:t xml:space="preserve">ии (должной осмотрительности); </w:t>
      </w:r>
    </w:p>
    <w:p w:rsidR="00D62D6E" w:rsidRPr="00780FAB" w:rsidRDefault="00780FAB" w:rsidP="00D62D6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w:t>
      </w:r>
      <w:r w:rsidR="00D62D6E" w:rsidRPr="00780FAB">
        <w:rPr>
          <w:rFonts w:ascii="Times New Roman" w:hAnsi="Times New Roman" w:cs="Times New Roman"/>
          <w:sz w:val="24"/>
          <w:szCs w:val="24"/>
        </w:rPr>
        <w:t>внешн</w:t>
      </w:r>
      <w:r w:rsidR="004337EB" w:rsidRPr="00780FAB">
        <w:rPr>
          <w:rFonts w:ascii="Times New Roman" w:hAnsi="Times New Roman" w:cs="Times New Roman"/>
          <w:sz w:val="24"/>
          <w:szCs w:val="24"/>
        </w:rPr>
        <w:t>яя среда:</w:t>
      </w:r>
      <w:r w:rsidR="00D62D6E" w:rsidRPr="00780FAB">
        <w:rPr>
          <w:rFonts w:ascii="Times New Roman" w:hAnsi="Times New Roman" w:cs="Times New Roman"/>
          <w:sz w:val="24"/>
          <w:szCs w:val="24"/>
        </w:rPr>
        <w:t xml:space="preserve"> анализ возможностей и угроз для каждого отдельного процесса, бизнес</w:t>
      </w:r>
      <w:r w:rsidR="004337EB" w:rsidRPr="00780FAB">
        <w:rPr>
          <w:rFonts w:ascii="Times New Roman" w:hAnsi="Times New Roman" w:cs="Times New Roman"/>
          <w:sz w:val="24"/>
          <w:szCs w:val="24"/>
        </w:rPr>
        <w:t>а</w:t>
      </w:r>
      <w:r w:rsidR="00D62D6E" w:rsidRPr="00780FAB">
        <w:rPr>
          <w:rFonts w:ascii="Times New Roman" w:hAnsi="Times New Roman" w:cs="Times New Roman"/>
          <w:sz w:val="24"/>
          <w:szCs w:val="24"/>
        </w:rPr>
        <w:t xml:space="preserve"> компании в регионе, как на стадии установления стратегии (анализ стратегических позиций), </w:t>
      </w:r>
      <w:r w:rsidR="004337EB" w:rsidRPr="00780FAB">
        <w:rPr>
          <w:rFonts w:ascii="Times New Roman" w:hAnsi="Times New Roman" w:cs="Times New Roman"/>
          <w:sz w:val="24"/>
          <w:szCs w:val="24"/>
        </w:rPr>
        <w:t xml:space="preserve">так </w:t>
      </w:r>
      <w:r w:rsidR="00D62D6E" w:rsidRPr="00780FAB">
        <w:rPr>
          <w:rFonts w:ascii="Times New Roman" w:hAnsi="Times New Roman" w:cs="Times New Roman"/>
          <w:sz w:val="24"/>
          <w:szCs w:val="24"/>
        </w:rPr>
        <w:t xml:space="preserve">и </w:t>
      </w:r>
      <w:r w:rsidR="004337EB" w:rsidRPr="00780FAB">
        <w:rPr>
          <w:rFonts w:ascii="Times New Roman" w:hAnsi="Times New Roman" w:cs="Times New Roman"/>
          <w:sz w:val="24"/>
          <w:szCs w:val="24"/>
        </w:rPr>
        <w:t xml:space="preserve">на </w:t>
      </w:r>
      <w:r w:rsidR="00D62D6E" w:rsidRPr="00780FAB">
        <w:rPr>
          <w:rFonts w:ascii="Times New Roman" w:hAnsi="Times New Roman" w:cs="Times New Roman"/>
          <w:sz w:val="24"/>
          <w:szCs w:val="24"/>
        </w:rPr>
        <w:t>этап</w:t>
      </w:r>
      <w:r w:rsidR="004337EB" w:rsidRPr="00780FAB">
        <w:rPr>
          <w:rFonts w:ascii="Times New Roman" w:hAnsi="Times New Roman" w:cs="Times New Roman"/>
          <w:sz w:val="24"/>
          <w:szCs w:val="24"/>
        </w:rPr>
        <w:t>е</w:t>
      </w:r>
      <w:r w:rsidR="00D62D6E" w:rsidRPr="00780FAB">
        <w:rPr>
          <w:rFonts w:ascii="Times New Roman" w:hAnsi="Times New Roman" w:cs="Times New Roman"/>
          <w:sz w:val="24"/>
          <w:szCs w:val="24"/>
        </w:rPr>
        <w:t xml:space="preserve"> реализации стратегии.</w:t>
      </w:r>
    </w:p>
    <w:p w:rsidR="001C40A8" w:rsidRPr="00780FAB" w:rsidRDefault="00D62D6E" w:rsidP="001C3A49">
      <w:pPr>
        <w:spacing w:after="0" w:line="240" w:lineRule="auto"/>
        <w:ind w:firstLine="567"/>
        <w:contextualSpacing/>
        <w:jc w:val="both"/>
        <w:rPr>
          <w:rFonts w:ascii="Times New Roman" w:hAnsi="Times New Roman" w:cs="Times New Roman"/>
          <w:sz w:val="24"/>
          <w:szCs w:val="24"/>
        </w:rPr>
      </w:pPr>
      <w:r w:rsidRPr="00780FAB">
        <w:rPr>
          <w:rFonts w:ascii="Times New Roman" w:hAnsi="Times New Roman" w:cs="Times New Roman"/>
          <w:sz w:val="24"/>
          <w:szCs w:val="24"/>
        </w:rPr>
        <w:t>Для того</w:t>
      </w:r>
      <w:r w:rsidR="00F3513A" w:rsidRPr="00780FAB">
        <w:rPr>
          <w:rFonts w:ascii="Times New Roman" w:hAnsi="Times New Roman" w:cs="Times New Roman"/>
          <w:sz w:val="24"/>
          <w:szCs w:val="24"/>
        </w:rPr>
        <w:t xml:space="preserve"> чтобы более актуально и достоверно получить</w:t>
      </w:r>
      <w:r w:rsidRPr="00780FAB">
        <w:rPr>
          <w:rFonts w:ascii="Times New Roman" w:hAnsi="Times New Roman" w:cs="Times New Roman"/>
          <w:sz w:val="24"/>
          <w:szCs w:val="24"/>
        </w:rPr>
        <w:t xml:space="preserve"> </w:t>
      </w:r>
      <w:r w:rsidR="00F3513A" w:rsidRPr="00780FAB">
        <w:rPr>
          <w:rFonts w:ascii="Times New Roman" w:hAnsi="Times New Roman" w:cs="Times New Roman"/>
          <w:sz w:val="24"/>
          <w:szCs w:val="24"/>
        </w:rPr>
        <w:t xml:space="preserve">данные </w:t>
      </w:r>
      <w:r w:rsidR="00255806" w:rsidRPr="00780FAB">
        <w:rPr>
          <w:rFonts w:ascii="Times New Roman" w:hAnsi="Times New Roman" w:cs="Times New Roman"/>
          <w:sz w:val="24"/>
          <w:szCs w:val="24"/>
        </w:rPr>
        <w:t>о финансовых</w:t>
      </w:r>
      <w:r w:rsidRPr="00780FAB">
        <w:rPr>
          <w:rFonts w:ascii="Times New Roman" w:hAnsi="Times New Roman" w:cs="Times New Roman"/>
          <w:sz w:val="24"/>
          <w:szCs w:val="24"/>
        </w:rPr>
        <w:t xml:space="preserve"> показател</w:t>
      </w:r>
      <w:r w:rsidR="00F3513A" w:rsidRPr="00780FAB">
        <w:rPr>
          <w:rFonts w:ascii="Times New Roman" w:hAnsi="Times New Roman" w:cs="Times New Roman"/>
          <w:sz w:val="24"/>
          <w:szCs w:val="24"/>
        </w:rPr>
        <w:t>ях</w:t>
      </w:r>
      <w:r w:rsidRPr="00780FAB">
        <w:rPr>
          <w:rFonts w:ascii="Times New Roman" w:hAnsi="Times New Roman" w:cs="Times New Roman"/>
          <w:sz w:val="24"/>
          <w:szCs w:val="24"/>
        </w:rPr>
        <w:t xml:space="preserve"> и конкурентоспособности предприяти</w:t>
      </w:r>
      <w:r w:rsidR="00F3513A" w:rsidRPr="00780FAB">
        <w:rPr>
          <w:rFonts w:ascii="Times New Roman" w:hAnsi="Times New Roman" w:cs="Times New Roman"/>
          <w:sz w:val="24"/>
          <w:szCs w:val="24"/>
        </w:rPr>
        <w:t>я</w:t>
      </w:r>
      <w:r w:rsidRPr="00780FAB">
        <w:rPr>
          <w:rFonts w:ascii="Times New Roman" w:hAnsi="Times New Roman" w:cs="Times New Roman"/>
          <w:sz w:val="24"/>
          <w:szCs w:val="24"/>
        </w:rPr>
        <w:t xml:space="preserve"> </w:t>
      </w:r>
      <w:r w:rsidR="00F3513A" w:rsidRPr="00780FAB">
        <w:rPr>
          <w:rFonts w:ascii="Times New Roman" w:hAnsi="Times New Roman" w:cs="Times New Roman"/>
          <w:sz w:val="24"/>
          <w:szCs w:val="24"/>
        </w:rPr>
        <w:t>необходимо провести</w:t>
      </w:r>
      <w:r w:rsidRPr="00780FAB">
        <w:rPr>
          <w:rFonts w:ascii="Times New Roman" w:hAnsi="Times New Roman" w:cs="Times New Roman"/>
          <w:sz w:val="24"/>
          <w:szCs w:val="24"/>
        </w:rPr>
        <w:t xml:space="preserve"> сравнительный анализ </w:t>
      </w:r>
      <w:r w:rsidR="00F3513A" w:rsidRPr="00780FAB">
        <w:rPr>
          <w:rFonts w:ascii="Times New Roman" w:hAnsi="Times New Roman" w:cs="Times New Roman"/>
          <w:sz w:val="24"/>
          <w:szCs w:val="24"/>
        </w:rPr>
        <w:t>взаимосвязи</w:t>
      </w:r>
      <w:r w:rsidRPr="00780FAB">
        <w:rPr>
          <w:rFonts w:ascii="Times New Roman" w:hAnsi="Times New Roman" w:cs="Times New Roman"/>
          <w:sz w:val="24"/>
          <w:szCs w:val="24"/>
        </w:rPr>
        <w:t xml:space="preserve"> между компаниями </w:t>
      </w:r>
      <w:r w:rsidR="00F3513A" w:rsidRPr="00780FAB">
        <w:rPr>
          <w:rFonts w:ascii="Times New Roman" w:hAnsi="Times New Roman" w:cs="Times New Roman"/>
          <w:sz w:val="24"/>
          <w:szCs w:val="24"/>
        </w:rPr>
        <w:t xml:space="preserve">и </w:t>
      </w:r>
      <w:r w:rsidR="00255806" w:rsidRPr="00780FAB">
        <w:rPr>
          <w:rFonts w:ascii="Times New Roman" w:hAnsi="Times New Roman" w:cs="Times New Roman"/>
          <w:sz w:val="24"/>
          <w:szCs w:val="24"/>
        </w:rPr>
        <w:t>их окружающей</w:t>
      </w:r>
      <w:r w:rsidRPr="00780FAB">
        <w:rPr>
          <w:rFonts w:ascii="Times New Roman" w:hAnsi="Times New Roman" w:cs="Times New Roman"/>
          <w:sz w:val="24"/>
          <w:szCs w:val="24"/>
        </w:rPr>
        <w:t xml:space="preserve"> сред</w:t>
      </w:r>
      <w:r w:rsidR="00F3513A" w:rsidRPr="00780FAB">
        <w:rPr>
          <w:rFonts w:ascii="Times New Roman" w:hAnsi="Times New Roman" w:cs="Times New Roman"/>
          <w:sz w:val="24"/>
          <w:szCs w:val="24"/>
        </w:rPr>
        <w:t>ой</w:t>
      </w:r>
      <w:r w:rsidRPr="00780FAB">
        <w:rPr>
          <w:rFonts w:ascii="Times New Roman" w:hAnsi="Times New Roman" w:cs="Times New Roman"/>
          <w:sz w:val="24"/>
          <w:szCs w:val="24"/>
        </w:rPr>
        <w:t xml:space="preserve">. </w:t>
      </w:r>
      <w:r w:rsidR="00F5790F" w:rsidRPr="00780FAB">
        <w:rPr>
          <w:rFonts w:ascii="Times New Roman" w:hAnsi="Times New Roman" w:cs="Times New Roman"/>
          <w:sz w:val="24"/>
          <w:szCs w:val="24"/>
        </w:rPr>
        <w:t>Э</w:t>
      </w:r>
      <w:r w:rsidRPr="00780FAB">
        <w:rPr>
          <w:rFonts w:ascii="Times New Roman" w:hAnsi="Times New Roman" w:cs="Times New Roman"/>
          <w:sz w:val="24"/>
          <w:szCs w:val="24"/>
        </w:rPr>
        <w:t>ффективн</w:t>
      </w:r>
      <w:r w:rsidR="00F5790F" w:rsidRPr="00780FAB">
        <w:rPr>
          <w:rFonts w:ascii="Times New Roman" w:hAnsi="Times New Roman" w:cs="Times New Roman"/>
          <w:sz w:val="24"/>
          <w:szCs w:val="24"/>
        </w:rPr>
        <w:t>ых</w:t>
      </w:r>
      <w:r w:rsidRPr="00780FAB">
        <w:rPr>
          <w:rFonts w:ascii="Times New Roman" w:hAnsi="Times New Roman" w:cs="Times New Roman"/>
          <w:sz w:val="24"/>
          <w:szCs w:val="24"/>
        </w:rPr>
        <w:t xml:space="preserve"> метод</w:t>
      </w:r>
      <w:r w:rsidR="00F5790F" w:rsidRPr="00780FAB">
        <w:rPr>
          <w:rFonts w:ascii="Times New Roman" w:hAnsi="Times New Roman" w:cs="Times New Roman"/>
          <w:sz w:val="24"/>
          <w:szCs w:val="24"/>
        </w:rPr>
        <w:t>ов</w:t>
      </w:r>
      <w:r w:rsidRPr="00780FAB">
        <w:rPr>
          <w:rFonts w:ascii="Times New Roman" w:hAnsi="Times New Roman" w:cs="Times New Roman"/>
          <w:sz w:val="24"/>
          <w:szCs w:val="24"/>
        </w:rPr>
        <w:t>, используемы</w:t>
      </w:r>
      <w:r w:rsidR="00F5790F" w:rsidRPr="00780FAB">
        <w:rPr>
          <w:rFonts w:ascii="Times New Roman" w:hAnsi="Times New Roman" w:cs="Times New Roman"/>
          <w:sz w:val="24"/>
          <w:szCs w:val="24"/>
        </w:rPr>
        <w:t>х</w:t>
      </w:r>
      <w:r w:rsidRPr="00780FAB">
        <w:rPr>
          <w:rFonts w:ascii="Times New Roman" w:hAnsi="Times New Roman" w:cs="Times New Roman"/>
          <w:sz w:val="24"/>
          <w:szCs w:val="24"/>
        </w:rPr>
        <w:t xml:space="preserve"> для внешнего сравнительного анализа между</w:t>
      </w:r>
      <w:r w:rsidR="00F5790F" w:rsidRPr="00780FAB">
        <w:rPr>
          <w:rFonts w:ascii="Times New Roman" w:hAnsi="Times New Roman" w:cs="Times New Roman"/>
          <w:sz w:val="24"/>
          <w:szCs w:val="24"/>
        </w:rPr>
        <w:t xml:space="preserve"> </w:t>
      </w:r>
      <w:r w:rsidRPr="00780FAB">
        <w:rPr>
          <w:rFonts w:ascii="Times New Roman" w:hAnsi="Times New Roman" w:cs="Times New Roman"/>
          <w:sz w:val="24"/>
          <w:szCs w:val="24"/>
        </w:rPr>
        <w:t>компани</w:t>
      </w:r>
      <w:r w:rsidR="00F5790F" w:rsidRPr="00780FAB">
        <w:rPr>
          <w:rFonts w:ascii="Times New Roman" w:hAnsi="Times New Roman" w:cs="Times New Roman"/>
          <w:sz w:val="24"/>
          <w:szCs w:val="24"/>
        </w:rPr>
        <w:t>ей и</w:t>
      </w:r>
      <w:r w:rsidRPr="00780FAB">
        <w:rPr>
          <w:rFonts w:ascii="Times New Roman" w:hAnsi="Times New Roman" w:cs="Times New Roman"/>
          <w:sz w:val="24"/>
          <w:szCs w:val="24"/>
        </w:rPr>
        <w:t xml:space="preserve"> сред</w:t>
      </w:r>
      <w:r w:rsidR="00F5790F" w:rsidRPr="00780FAB">
        <w:rPr>
          <w:rFonts w:ascii="Times New Roman" w:hAnsi="Times New Roman" w:cs="Times New Roman"/>
          <w:sz w:val="24"/>
          <w:szCs w:val="24"/>
        </w:rPr>
        <w:t>ой</w:t>
      </w:r>
      <w:r w:rsidRPr="00780FAB">
        <w:rPr>
          <w:rFonts w:ascii="Times New Roman" w:hAnsi="Times New Roman" w:cs="Times New Roman"/>
          <w:sz w:val="24"/>
          <w:szCs w:val="24"/>
        </w:rPr>
        <w:t>, упомина</w:t>
      </w:r>
      <w:r w:rsidR="00F5790F" w:rsidRPr="00780FAB">
        <w:rPr>
          <w:rFonts w:ascii="Times New Roman" w:hAnsi="Times New Roman" w:cs="Times New Roman"/>
          <w:sz w:val="24"/>
          <w:szCs w:val="24"/>
        </w:rPr>
        <w:t>е</w:t>
      </w:r>
      <w:r w:rsidRPr="00780FAB">
        <w:rPr>
          <w:rFonts w:ascii="Times New Roman" w:hAnsi="Times New Roman" w:cs="Times New Roman"/>
          <w:sz w:val="24"/>
          <w:szCs w:val="24"/>
        </w:rPr>
        <w:t xml:space="preserve">тся в </w:t>
      </w:r>
      <w:r w:rsidR="00F5790F" w:rsidRPr="00780FAB">
        <w:rPr>
          <w:rFonts w:ascii="Times New Roman" w:hAnsi="Times New Roman" w:cs="Times New Roman"/>
          <w:sz w:val="24"/>
          <w:szCs w:val="24"/>
        </w:rPr>
        <w:t xml:space="preserve">экономической </w:t>
      </w:r>
      <w:r w:rsidRPr="00780FAB">
        <w:rPr>
          <w:rFonts w:ascii="Times New Roman" w:hAnsi="Times New Roman" w:cs="Times New Roman"/>
          <w:sz w:val="24"/>
          <w:szCs w:val="24"/>
        </w:rPr>
        <w:t>литературе о</w:t>
      </w:r>
      <w:r w:rsidR="00F3513A" w:rsidRPr="00780FAB">
        <w:rPr>
          <w:rFonts w:ascii="Times New Roman" w:hAnsi="Times New Roman" w:cs="Times New Roman"/>
          <w:sz w:val="24"/>
          <w:szCs w:val="24"/>
        </w:rPr>
        <w:t>коло</w:t>
      </w:r>
      <w:r w:rsidRPr="00780FAB">
        <w:rPr>
          <w:rFonts w:ascii="Times New Roman" w:hAnsi="Times New Roman" w:cs="Times New Roman"/>
          <w:sz w:val="24"/>
          <w:szCs w:val="24"/>
        </w:rPr>
        <w:t xml:space="preserve"> 100 (сравнительн</w:t>
      </w:r>
      <w:r w:rsidR="00F5790F" w:rsidRPr="00780FAB">
        <w:rPr>
          <w:rFonts w:ascii="Times New Roman" w:hAnsi="Times New Roman" w:cs="Times New Roman"/>
          <w:sz w:val="24"/>
          <w:szCs w:val="24"/>
        </w:rPr>
        <w:t>ый</w:t>
      </w:r>
      <w:r w:rsidRPr="00780FAB">
        <w:rPr>
          <w:rFonts w:ascii="Times New Roman" w:hAnsi="Times New Roman" w:cs="Times New Roman"/>
          <w:sz w:val="24"/>
          <w:szCs w:val="24"/>
        </w:rPr>
        <w:t xml:space="preserve"> анализ, SWOT</w:t>
      </w:r>
      <w:r w:rsidR="00F5790F" w:rsidRPr="00780FAB">
        <w:rPr>
          <w:rFonts w:ascii="Times New Roman" w:hAnsi="Times New Roman" w:cs="Times New Roman"/>
          <w:sz w:val="24"/>
          <w:szCs w:val="24"/>
        </w:rPr>
        <w:t>-</w:t>
      </w:r>
      <w:r w:rsidRPr="00780FAB">
        <w:rPr>
          <w:rFonts w:ascii="Times New Roman" w:hAnsi="Times New Roman" w:cs="Times New Roman"/>
          <w:sz w:val="24"/>
          <w:szCs w:val="24"/>
        </w:rPr>
        <w:t>анализ, анализ пространственной матрицы</w:t>
      </w:r>
      <w:r w:rsidR="00F5790F" w:rsidRPr="00780FAB">
        <w:rPr>
          <w:rFonts w:ascii="Times New Roman" w:hAnsi="Times New Roman" w:cs="Times New Roman"/>
          <w:sz w:val="24"/>
          <w:szCs w:val="24"/>
        </w:rPr>
        <w:t>, модель Портера и т.д.</w:t>
      </w:r>
      <w:r w:rsidRPr="00780FAB">
        <w:rPr>
          <w:rFonts w:ascii="Times New Roman" w:hAnsi="Times New Roman" w:cs="Times New Roman"/>
          <w:sz w:val="24"/>
          <w:szCs w:val="24"/>
        </w:rPr>
        <w:t xml:space="preserve">), некоторые из которых были разработаны </w:t>
      </w:r>
      <w:r w:rsidR="00D54FCA" w:rsidRPr="00780FAB">
        <w:rPr>
          <w:rFonts w:ascii="Times New Roman" w:hAnsi="Times New Roman" w:cs="Times New Roman"/>
          <w:sz w:val="24"/>
          <w:szCs w:val="24"/>
        </w:rPr>
        <w:t>на</w:t>
      </w:r>
      <w:r w:rsidRPr="00780FAB">
        <w:rPr>
          <w:rFonts w:ascii="Times New Roman" w:hAnsi="Times New Roman" w:cs="Times New Roman"/>
          <w:sz w:val="24"/>
          <w:szCs w:val="24"/>
        </w:rPr>
        <w:t xml:space="preserve"> практике и объяснен</w:t>
      </w:r>
      <w:r w:rsidR="00D54FCA" w:rsidRPr="00780FAB">
        <w:rPr>
          <w:rFonts w:ascii="Times New Roman" w:hAnsi="Times New Roman" w:cs="Times New Roman"/>
          <w:sz w:val="24"/>
          <w:szCs w:val="24"/>
        </w:rPr>
        <w:t>ы</w:t>
      </w:r>
      <w:r w:rsidRPr="00780FAB">
        <w:rPr>
          <w:rFonts w:ascii="Times New Roman" w:hAnsi="Times New Roman" w:cs="Times New Roman"/>
          <w:sz w:val="24"/>
          <w:szCs w:val="24"/>
        </w:rPr>
        <w:t xml:space="preserve"> в теории, </w:t>
      </w:r>
      <w:r w:rsidR="00D54FCA" w:rsidRPr="00780FAB">
        <w:rPr>
          <w:rFonts w:ascii="Times New Roman" w:hAnsi="Times New Roman" w:cs="Times New Roman"/>
          <w:sz w:val="24"/>
          <w:szCs w:val="24"/>
        </w:rPr>
        <w:t>а</w:t>
      </w:r>
      <w:r w:rsidRPr="00780FAB">
        <w:rPr>
          <w:rFonts w:ascii="Times New Roman" w:hAnsi="Times New Roman" w:cs="Times New Roman"/>
          <w:sz w:val="24"/>
          <w:szCs w:val="24"/>
        </w:rPr>
        <w:t xml:space="preserve"> некоторые </w:t>
      </w:r>
      <w:r w:rsidR="00D54FCA" w:rsidRPr="00780FAB">
        <w:rPr>
          <w:rFonts w:ascii="Times New Roman" w:hAnsi="Times New Roman" w:cs="Times New Roman"/>
          <w:sz w:val="24"/>
          <w:szCs w:val="24"/>
        </w:rPr>
        <w:t xml:space="preserve">из них </w:t>
      </w:r>
      <w:r w:rsidRPr="00780FAB">
        <w:rPr>
          <w:rFonts w:ascii="Times New Roman" w:hAnsi="Times New Roman" w:cs="Times New Roman"/>
          <w:sz w:val="24"/>
          <w:szCs w:val="24"/>
        </w:rPr>
        <w:t>п</w:t>
      </w:r>
      <w:r w:rsidR="00D54FCA" w:rsidRPr="00780FAB">
        <w:rPr>
          <w:rFonts w:ascii="Times New Roman" w:hAnsi="Times New Roman" w:cs="Times New Roman"/>
          <w:sz w:val="24"/>
          <w:szCs w:val="24"/>
        </w:rPr>
        <w:t>олучили</w:t>
      </w:r>
      <w:r w:rsidRPr="00780FAB">
        <w:rPr>
          <w:rFonts w:ascii="Times New Roman" w:hAnsi="Times New Roman" w:cs="Times New Roman"/>
          <w:sz w:val="24"/>
          <w:szCs w:val="24"/>
        </w:rPr>
        <w:t xml:space="preserve"> хорошую аналитическую практику.</w:t>
      </w:r>
      <w:r w:rsidR="00264802" w:rsidRPr="00780FAB">
        <w:rPr>
          <w:rFonts w:ascii="Times New Roman" w:hAnsi="Times New Roman" w:cs="Times New Roman"/>
          <w:sz w:val="24"/>
          <w:szCs w:val="24"/>
        </w:rPr>
        <w:t xml:space="preserve"> [2]</w:t>
      </w:r>
    </w:p>
    <w:p w:rsidR="00D54FCA" w:rsidRPr="00780FAB" w:rsidRDefault="00D54FCA" w:rsidP="00D54FCA">
      <w:pPr>
        <w:spacing w:after="0" w:line="240" w:lineRule="auto"/>
        <w:ind w:firstLine="567"/>
        <w:contextualSpacing/>
        <w:jc w:val="both"/>
        <w:rPr>
          <w:rFonts w:ascii="Times New Roman" w:hAnsi="Times New Roman" w:cs="Times New Roman"/>
          <w:sz w:val="24"/>
          <w:szCs w:val="24"/>
        </w:rPr>
      </w:pPr>
      <w:r w:rsidRPr="00780FAB">
        <w:rPr>
          <w:rFonts w:ascii="Times New Roman" w:hAnsi="Times New Roman" w:cs="Times New Roman"/>
          <w:sz w:val="24"/>
          <w:szCs w:val="24"/>
        </w:rPr>
        <w:t xml:space="preserve">Фармацевтическая индустрия, </w:t>
      </w:r>
      <w:r w:rsidR="00D62D6E" w:rsidRPr="00780FAB">
        <w:rPr>
          <w:rFonts w:ascii="Times New Roman" w:hAnsi="Times New Roman" w:cs="Times New Roman"/>
          <w:sz w:val="24"/>
          <w:szCs w:val="24"/>
        </w:rPr>
        <w:t xml:space="preserve">которая является предметом </w:t>
      </w:r>
      <w:r w:rsidR="009A6FC0" w:rsidRPr="00780FAB">
        <w:rPr>
          <w:rFonts w:ascii="Times New Roman" w:hAnsi="Times New Roman" w:cs="Times New Roman"/>
          <w:sz w:val="24"/>
          <w:szCs w:val="24"/>
        </w:rPr>
        <w:t xml:space="preserve">исследования </w:t>
      </w:r>
      <w:r w:rsidR="00D62D6E" w:rsidRPr="00780FAB">
        <w:rPr>
          <w:rFonts w:ascii="Times New Roman" w:hAnsi="Times New Roman" w:cs="Times New Roman"/>
          <w:sz w:val="24"/>
          <w:szCs w:val="24"/>
        </w:rPr>
        <w:t>данной работы</w:t>
      </w:r>
      <w:r w:rsidRPr="00780FAB">
        <w:rPr>
          <w:rFonts w:ascii="Times New Roman" w:hAnsi="Times New Roman" w:cs="Times New Roman"/>
          <w:sz w:val="24"/>
          <w:szCs w:val="24"/>
        </w:rPr>
        <w:t>,</w:t>
      </w:r>
      <w:r w:rsidR="00D62D6E" w:rsidRPr="00780FAB">
        <w:rPr>
          <w:rFonts w:ascii="Times New Roman" w:hAnsi="Times New Roman" w:cs="Times New Roman"/>
          <w:sz w:val="24"/>
          <w:szCs w:val="24"/>
        </w:rPr>
        <w:t xml:space="preserve"> </w:t>
      </w:r>
      <w:r w:rsidR="009A6FC0" w:rsidRPr="00780FAB">
        <w:rPr>
          <w:rFonts w:ascii="Times New Roman" w:hAnsi="Times New Roman" w:cs="Times New Roman"/>
          <w:sz w:val="24"/>
          <w:szCs w:val="24"/>
        </w:rPr>
        <w:t>представляет собой</w:t>
      </w:r>
      <w:r w:rsidRPr="00780FAB">
        <w:rPr>
          <w:rFonts w:ascii="Times New Roman" w:hAnsi="Times New Roman" w:cs="Times New Roman"/>
          <w:sz w:val="24"/>
          <w:szCs w:val="24"/>
        </w:rPr>
        <w:t xml:space="preserve"> сегодня все еще од</w:t>
      </w:r>
      <w:r w:rsidR="009A6FC0" w:rsidRPr="00780FAB">
        <w:rPr>
          <w:rFonts w:ascii="Times New Roman" w:hAnsi="Times New Roman" w:cs="Times New Roman"/>
          <w:sz w:val="24"/>
          <w:szCs w:val="24"/>
        </w:rPr>
        <w:t>ну</w:t>
      </w:r>
      <w:r w:rsidRPr="00780FAB">
        <w:rPr>
          <w:rFonts w:ascii="Times New Roman" w:hAnsi="Times New Roman" w:cs="Times New Roman"/>
          <w:sz w:val="24"/>
          <w:szCs w:val="24"/>
        </w:rPr>
        <w:t xml:space="preserve"> из самых изобретательных, инновационных и прибыльных</w:t>
      </w:r>
      <w:r w:rsidR="009A6FC0" w:rsidRPr="00780FAB">
        <w:rPr>
          <w:rFonts w:ascii="Times New Roman" w:hAnsi="Times New Roman" w:cs="Times New Roman"/>
          <w:sz w:val="24"/>
          <w:szCs w:val="24"/>
        </w:rPr>
        <w:t>,</w:t>
      </w:r>
      <w:r w:rsidRPr="00780FAB">
        <w:rPr>
          <w:rFonts w:ascii="Times New Roman" w:hAnsi="Times New Roman" w:cs="Times New Roman"/>
          <w:sz w:val="24"/>
          <w:szCs w:val="24"/>
        </w:rPr>
        <w:t xml:space="preserve"> так называемых «высокотехнологичных» отраслей промышленности; однако, мы можем сказать, что фармацевтическая промышленность приспосабливала себя все больше к стратегическим тенденциям рынка и рыночному спросу. </w:t>
      </w:r>
      <w:r w:rsidR="009A6FC0" w:rsidRPr="00780FAB">
        <w:rPr>
          <w:rFonts w:ascii="Times New Roman" w:hAnsi="Times New Roman" w:cs="Times New Roman"/>
          <w:sz w:val="24"/>
          <w:szCs w:val="24"/>
        </w:rPr>
        <w:t xml:space="preserve">На сегодняшний день, фармацевтическая </w:t>
      </w:r>
      <w:r w:rsidRPr="00780FAB">
        <w:rPr>
          <w:rFonts w:ascii="Times New Roman" w:hAnsi="Times New Roman" w:cs="Times New Roman"/>
          <w:sz w:val="24"/>
          <w:szCs w:val="24"/>
        </w:rPr>
        <w:t xml:space="preserve">промышленность, без сомнения, объединяет один из самых больших потенциалов всего человечества. </w:t>
      </w:r>
    </w:p>
    <w:p w:rsidR="00D62D6E" w:rsidRPr="00780FAB" w:rsidRDefault="00D62D6E" w:rsidP="00D54FCA">
      <w:pPr>
        <w:spacing w:after="0" w:line="240" w:lineRule="auto"/>
        <w:ind w:firstLine="567"/>
        <w:contextualSpacing/>
        <w:jc w:val="both"/>
        <w:rPr>
          <w:rFonts w:ascii="Times New Roman" w:hAnsi="Times New Roman" w:cs="Times New Roman"/>
          <w:sz w:val="24"/>
          <w:szCs w:val="24"/>
        </w:rPr>
      </w:pPr>
      <w:r w:rsidRPr="00780FAB">
        <w:rPr>
          <w:rFonts w:ascii="Times New Roman" w:hAnsi="Times New Roman" w:cs="Times New Roman"/>
          <w:sz w:val="24"/>
          <w:szCs w:val="24"/>
        </w:rPr>
        <w:t xml:space="preserve"> При анализе конкурентной позиции</w:t>
      </w:r>
      <w:r w:rsidR="00D54FCA" w:rsidRPr="00780FAB">
        <w:rPr>
          <w:rFonts w:ascii="Times New Roman" w:hAnsi="Times New Roman" w:cs="Times New Roman"/>
          <w:sz w:val="24"/>
          <w:szCs w:val="24"/>
        </w:rPr>
        <w:t xml:space="preserve"> предприятия можно использовать модел</w:t>
      </w:r>
      <w:r w:rsidR="009A6FC0" w:rsidRPr="00780FAB">
        <w:rPr>
          <w:rFonts w:ascii="Times New Roman" w:hAnsi="Times New Roman" w:cs="Times New Roman"/>
          <w:sz w:val="24"/>
          <w:szCs w:val="24"/>
        </w:rPr>
        <w:t>ь</w:t>
      </w:r>
      <w:r w:rsidRPr="00780FAB">
        <w:rPr>
          <w:rFonts w:ascii="Times New Roman" w:hAnsi="Times New Roman" w:cs="Times New Roman"/>
          <w:sz w:val="24"/>
          <w:szCs w:val="24"/>
        </w:rPr>
        <w:t xml:space="preserve"> </w:t>
      </w:r>
      <w:r w:rsidR="00D54FCA" w:rsidRPr="00780FAB">
        <w:rPr>
          <w:rFonts w:ascii="Times New Roman" w:hAnsi="Times New Roman" w:cs="Times New Roman"/>
          <w:sz w:val="24"/>
          <w:szCs w:val="24"/>
        </w:rPr>
        <w:t>«</w:t>
      </w:r>
      <w:r w:rsidRPr="00780FAB">
        <w:rPr>
          <w:rFonts w:ascii="Times New Roman" w:hAnsi="Times New Roman" w:cs="Times New Roman"/>
          <w:sz w:val="24"/>
          <w:szCs w:val="24"/>
        </w:rPr>
        <w:t>пяти сил</w:t>
      </w:r>
      <w:r w:rsidR="00D54FCA" w:rsidRPr="00780FAB">
        <w:rPr>
          <w:rFonts w:ascii="Times New Roman" w:hAnsi="Times New Roman" w:cs="Times New Roman"/>
          <w:sz w:val="24"/>
          <w:szCs w:val="24"/>
        </w:rPr>
        <w:t xml:space="preserve"> Портера</w:t>
      </w:r>
      <w:r w:rsidRPr="00780FAB">
        <w:rPr>
          <w:rFonts w:ascii="Times New Roman" w:hAnsi="Times New Roman" w:cs="Times New Roman"/>
          <w:sz w:val="24"/>
          <w:szCs w:val="24"/>
        </w:rPr>
        <w:t xml:space="preserve">» (англ. </w:t>
      </w:r>
      <w:r w:rsidR="00D54FCA" w:rsidRPr="00780FAB">
        <w:rPr>
          <w:rFonts w:ascii="Times New Roman" w:hAnsi="Times New Roman" w:cs="Times New Roman"/>
          <w:bCs/>
          <w:sz w:val="24"/>
          <w:szCs w:val="24"/>
          <w:shd w:val="clear" w:color="auto" w:fill="FFFFFF"/>
        </w:rPr>
        <w:t>Porter</w:t>
      </w:r>
      <w:r w:rsidR="00D54FCA" w:rsidRPr="00780FAB">
        <w:rPr>
          <w:rStyle w:val="apple-converted-space"/>
          <w:rFonts w:ascii="Times New Roman" w:hAnsi="Times New Roman" w:cs="Times New Roman"/>
          <w:sz w:val="24"/>
          <w:szCs w:val="24"/>
          <w:shd w:val="clear" w:color="auto" w:fill="FFFFFF"/>
        </w:rPr>
        <w:t> </w:t>
      </w:r>
      <w:r w:rsidR="00D54FCA" w:rsidRPr="00780FAB">
        <w:rPr>
          <w:rFonts w:ascii="Times New Roman" w:hAnsi="Times New Roman" w:cs="Times New Roman"/>
          <w:sz w:val="24"/>
          <w:szCs w:val="24"/>
          <w:shd w:val="clear" w:color="auto" w:fill="FFFFFF"/>
        </w:rPr>
        <w:t>five forces analysis</w:t>
      </w:r>
      <w:r w:rsidRPr="00780FAB">
        <w:rPr>
          <w:rFonts w:ascii="Times New Roman" w:hAnsi="Times New Roman" w:cs="Times New Roman"/>
          <w:sz w:val="24"/>
          <w:szCs w:val="24"/>
        </w:rPr>
        <w:t>), котор</w:t>
      </w:r>
      <w:r w:rsidR="00780FAB">
        <w:rPr>
          <w:rFonts w:ascii="Times New Roman" w:hAnsi="Times New Roman" w:cs="Times New Roman"/>
          <w:sz w:val="24"/>
          <w:szCs w:val="24"/>
        </w:rPr>
        <w:t>ая</w:t>
      </w:r>
      <w:r w:rsidRPr="00780FAB">
        <w:rPr>
          <w:rFonts w:ascii="Times New Roman" w:hAnsi="Times New Roman" w:cs="Times New Roman"/>
          <w:sz w:val="24"/>
          <w:szCs w:val="24"/>
        </w:rPr>
        <w:t xml:space="preserve"> является одним из самых ценных вклад</w:t>
      </w:r>
      <w:r w:rsidR="00D54FCA" w:rsidRPr="00780FAB">
        <w:rPr>
          <w:rFonts w:ascii="Times New Roman" w:hAnsi="Times New Roman" w:cs="Times New Roman"/>
          <w:sz w:val="24"/>
          <w:szCs w:val="24"/>
        </w:rPr>
        <w:t>ов</w:t>
      </w:r>
      <w:r w:rsidRPr="00780FAB">
        <w:rPr>
          <w:rFonts w:ascii="Times New Roman" w:hAnsi="Times New Roman" w:cs="Times New Roman"/>
          <w:sz w:val="24"/>
          <w:szCs w:val="24"/>
        </w:rPr>
        <w:t xml:space="preserve"> в теорию конкуренции и конкурентных преимуществ. После определения кажд</w:t>
      </w:r>
      <w:r w:rsidR="00B20CB5" w:rsidRPr="00780FAB">
        <w:rPr>
          <w:rFonts w:ascii="Times New Roman" w:hAnsi="Times New Roman" w:cs="Times New Roman"/>
          <w:sz w:val="24"/>
          <w:szCs w:val="24"/>
        </w:rPr>
        <w:t>о</w:t>
      </w:r>
      <w:r w:rsidRPr="00780FAB">
        <w:rPr>
          <w:rFonts w:ascii="Times New Roman" w:hAnsi="Times New Roman" w:cs="Times New Roman"/>
          <w:sz w:val="24"/>
          <w:szCs w:val="24"/>
        </w:rPr>
        <w:t>й из пяти сил, действующих на люб</w:t>
      </w:r>
      <w:r w:rsidR="00D54FCA" w:rsidRPr="00780FAB">
        <w:rPr>
          <w:rFonts w:ascii="Times New Roman" w:hAnsi="Times New Roman" w:cs="Times New Roman"/>
          <w:sz w:val="24"/>
          <w:szCs w:val="24"/>
        </w:rPr>
        <w:t>ую</w:t>
      </w:r>
      <w:r w:rsidRPr="00780FAB">
        <w:rPr>
          <w:rFonts w:ascii="Times New Roman" w:hAnsi="Times New Roman" w:cs="Times New Roman"/>
          <w:sz w:val="24"/>
          <w:szCs w:val="24"/>
        </w:rPr>
        <w:t xml:space="preserve"> компани</w:t>
      </w:r>
      <w:r w:rsidR="00D54FCA" w:rsidRPr="00780FAB">
        <w:rPr>
          <w:rFonts w:ascii="Times New Roman" w:hAnsi="Times New Roman" w:cs="Times New Roman"/>
          <w:sz w:val="24"/>
          <w:szCs w:val="24"/>
        </w:rPr>
        <w:t>ю</w:t>
      </w:r>
      <w:r w:rsidRPr="00780FAB">
        <w:rPr>
          <w:rFonts w:ascii="Times New Roman" w:hAnsi="Times New Roman" w:cs="Times New Roman"/>
          <w:sz w:val="24"/>
          <w:szCs w:val="24"/>
        </w:rPr>
        <w:t xml:space="preserve"> положительно или отрицательно, можно определить положение компании с учетом положительного или отрицательного влияния этих сил</w:t>
      </w:r>
      <w:r w:rsidR="00B20CB5" w:rsidRPr="00780FAB">
        <w:rPr>
          <w:rFonts w:ascii="Times New Roman" w:hAnsi="Times New Roman" w:cs="Times New Roman"/>
          <w:sz w:val="24"/>
          <w:szCs w:val="24"/>
        </w:rPr>
        <w:t xml:space="preserve">. Модель анализа можно представить </w:t>
      </w:r>
      <w:r w:rsidRPr="00780FAB">
        <w:rPr>
          <w:rFonts w:ascii="Times New Roman" w:hAnsi="Times New Roman" w:cs="Times New Roman"/>
          <w:sz w:val="24"/>
          <w:szCs w:val="24"/>
        </w:rPr>
        <w:t>следующим образом</w:t>
      </w:r>
      <w:r w:rsidR="00FF5277">
        <w:rPr>
          <w:rFonts w:ascii="Times New Roman" w:hAnsi="Times New Roman" w:cs="Times New Roman"/>
          <w:sz w:val="24"/>
          <w:szCs w:val="24"/>
        </w:rPr>
        <w:t xml:space="preserve"> (Рис.1)</w:t>
      </w:r>
      <w:r w:rsidR="00B20CB5" w:rsidRPr="00780FAB">
        <w:rPr>
          <w:rFonts w:ascii="Times New Roman" w:hAnsi="Times New Roman" w:cs="Times New Roman"/>
          <w:sz w:val="24"/>
          <w:szCs w:val="24"/>
        </w:rPr>
        <w:t>.</w:t>
      </w:r>
    </w:p>
    <w:p w:rsidR="00FF5277" w:rsidRPr="00780FAB" w:rsidRDefault="00FF5277" w:rsidP="00FF5277">
      <w:pPr>
        <w:pStyle w:val="a7"/>
        <w:shd w:val="clear" w:color="auto" w:fill="FFFFFF"/>
        <w:spacing w:before="0" w:beforeAutospacing="0" w:after="0" w:afterAutospacing="0"/>
        <w:ind w:firstLine="567"/>
        <w:contextualSpacing/>
        <w:jc w:val="both"/>
        <w:rPr>
          <w:lang w:val="kk-KZ"/>
        </w:rPr>
      </w:pPr>
      <w:r>
        <w:rPr>
          <w:lang w:val="kk-KZ"/>
        </w:rPr>
        <w:t xml:space="preserve">Таким образом, получили следующие данные: </w:t>
      </w:r>
    </w:p>
    <w:p w:rsidR="00FF5277" w:rsidRPr="00780FAB" w:rsidRDefault="00FF5277" w:rsidP="00FF5277">
      <w:pPr>
        <w:pStyle w:val="a7"/>
        <w:shd w:val="clear" w:color="auto" w:fill="FFFFFF"/>
        <w:spacing w:before="0" w:beforeAutospacing="0" w:after="0" w:afterAutospacing="0"/>
        <w:ind w:firstLine="426"/>
        <w:contextualSpacing/>
        <w:jc w:val="both"/>
      </w:pPr>
      <w:r w:rsidRPr="00780FAB">
        <w:t xml:space="preserve">1) </w:t>
      </w:r>
      <w:r w:rsidRPr="00780FAB">
        <w:rPr>
          <w:b/>
          <w:i/>
        </w:rPr>
        <w:t>Угроза вторжения новых участников</w:t>
      </w:r>
      <w:r w:rsidRPr="00780FAB">
        <w:t>. Зависит от высоты входных барьеров в отрасль. Входными барьерами для фармацевтической отрасли в РК являются:</w:t>
      </w:r>
    </w:p>
    <w:p w:rsidR="00FF5277" w:rsidRPr="00780FAB" w:rsidRDefault="00FF5277" w:rsidP="00FF5277">
      <w:pPr>
        <w:pStyle w:val="a7"/>
        <w:shd w:val="clear" w:color="auto" w:fill="FFFFFF"/>
        <w:spacing w:before="0" w:beforeAutospacing="0" w:after="0" w:afterAutospacing="0"/>
        <w:ind w:firstLine="426"/>
        <w:contextualSpacing/>
        <w:jc w:val="both"/>
      </w:pPr>
      <w:r w:rsidRPr="00780FAB">
        <w:t>а) государственное регулирование (Ограничивают возможность вхождения на рынок с помощью необходимой агрессивной рекламной кампанией для новых участников и законы "О рекламе", "О лекарственных средствах");</w:t>
      </w:r>
    </w:p>
    <w:p w:rsidR="00FF5277" w:rsidRPr="00780FAB" w:rsidRDefault="00FF5277" w:rsidP="00FF5277">
      <w:pPr>
        <w:pStyle w:val="a7"/>
        <w:shd w:val="clear" w:color="auto" w:fill="FFFFFF"/>
        <w:spacing w:before="0" w:beforeAutospacing="0" w:after="0" w:afterAutospacing="0"/>
        <w:ind w:firstLine="426"/>
        <w:contextualSpacing/>
        <w:jc w:val="both"/>
      </w:pPr>
      <w:r w:rsidRPr="00780FAB">
        <w:t>б) доступ к каналам распределения (с вступлением в силу новых законов усиливается роль врачей и медицинских консультантов как каналов распределения, которые в силу субъективного мышления привержены определенным поставщикам, и новым участникам рынка придется потратить немалые усилия на презентацию своей продукции);</w:t>
      </w:r>
    </w:p>
    <w:p w:rsidR="00FF5277" w:rsidRPr="00780FAB" w:rsidRDefault="00FF5277" w:rsidP="00FF5277">
      <w:pPr>
        <w:pStyle w:val="a7"/>
        <w:shd w:val="clear" w:color="auto" w:fill="FFFFFF"/>
        <w:spacing w:before="0" w:beforeAutospacing="0" w:after="0" w:afterAutospacing="0"/>
        <w:ind w:firstLine="426"/>
        <w:contextualSpacing/>
        <w:jc w:val="both"/>
      </w:pPr>
      <w:r w:rsidRPr="00780FAB">
        <w:t>в) потребности в капитале (дорогостоящий процесс создания новых структур фармацевтического бизнеса может стоить сотни миллионов долларов и может растянуться по времени на несколько лет).</w:t>
      </w:r>
    </w:p>
    <w:p w:rsidR="00FF5277" w:rsidRPr="00780FAB" w:rsidRDefault="00FF5277" w:rsidP="00FF5277">
      <w:pPr>
        <w:pStyle w:val="a7"/>
        <w:shd w:val="clear" w:color="auto" w:fill="FFFFFF"/>
        <w:spacing w:before="0" w:beforeAutospacing="0" w:after="0" w:afterAutospacing="0"/>
        <w:ind w:firstLine="426"/>
        <w:contextualSpacing/>
        <w:jc w:val="both"/>
      </w:pPr>
      <w:r w:rsidRPr="00780FAB">
        <w:lastRenderedPageBreak/>
        <w:t xml:space="preserve">2) </w:t>
      </w:r>
      <w:r w:rsidRPr="00780FAB">
        <w:rPr>
          <w:b/>
          <w:i/>
        </w:rPr>
        <w:t>Соперничество в отрасли</w:t>
      </w:r>
      <w:r w:rsidRPr="00780FAB">
        <w:t xml:space="preserve">. Характеризуя отрасль с помощью кривой жизненного цикла, можно отметить, что отрасль находится на стадии роста. Спрос в отрасли растет, прибыль компаний растет. Прибыль возможна даже для относительно неэффективных фирм. </w:t>
      </w:r>
    </w:p>
    <w:p w:rsidR="00FF5277" w:rsidRPr="00780FAB" w:rsidRDefault="00FF5277" w:rsidP="00FF5277">
      <w:pPr>
        <w:pStyle w:val="a7"/>
        <w:shd w:val="clear" w:color="auto" w:fill="FFFFFF"/>
        <w:spacing w:before="0" w:beforeAutospacing="0" w:after="0" w:afterAutospacing="0"/>
        <w:ind w:firstLine="426"/>
        <w:contextualSpacing/>
        <w:jc w:val="both"/>
      </w:pPr>
      <w:r w:rsidRPr="00780FAB">
        <w:t xml:space="preserve">3) </w:t>
      </w:r>
      <w:r w:rsidRPr="00780FAB">
        <w:rPr>
          <w:b/>
          <w:i/>
        </w:rPr>
        <w:t>Рыночная власть покупателей.</w:t>
      </w:r>
      <w:r w:rsidRPr="00780FAB">
        <w:t xml:space="preserve"> В фармацевтической отрасли ни один из источников покупательской - концентрация, хорошая информированность или возможность обратной интеграции - как свидетельствует из анализа отрасли активно никогда не работал. В данной отрасли для многих </w:t>
      </w:r>
      <w:r>
        <w:t>лекарственных средств</w:t>
      </w:r>
      <w:r w:rsidRPr="00780FAB">
        <w:t xml:space="preserve">, по-прежнему защищенных патентами, полноценных субститутов не существует. Еще один фактор, действующий на потребителя, - "риск неудачи", связанный с конкретным продуктом. У пациентов не хватает информации оценить соперничающие </w:t>
      </w:r>
      <w:r>
        <w:t>лекарственные средства</w:t>
      </w:r>
      <w:r w:rsidRPr="00780FAB">
        <w:t>. Соответственно они не могут определить затраты, возникающие у них в результате неудачного использования лекарства-субститута. Также исторически сложилось, что у многих врачей и пациентов нет стимулов требовать более дешевых аналогов, полагая, что здоровье дороже.</w:t>
      </w:r>
    </w:p>
    <w:p w:rsidR="00ED043F" w:rsidRPr="00780FAB" w:rsidRDefault="00ED043F" w:rsidP="00D54FCA">
      <w:pPr>
        <w:spacing w:after="0" w:line="240" w:lineRule="auto"/>
        <w:ind w:firstLine="567"/>
        <w:contextualSpacing/>
        <w:jc w:val="both"/>
        <w:rPr>
          <w:rFonts w:ascii="Times New Roman" w:hAnsi="Times New Roman" w:cs="Times New Roman"/>
          <w:sz w:val="24"/>
          <w:szCs w:val="24"/>
        </w:rPr>
      </w:pPr>
    </w:p>
    <w:p w:rsidR="00ED043F" w:rsidRPr="00780FAB" w:rsidRDefault="00ED043F" w:rsidP="00D54FCA">
      <w:pPr>
        <w:spacing w:after="0" w:line="240" w:lineRule="auto"/>
        <w:ind w:firstLine="567"/>
        <w:contextualSpacing/>
        <w:jc w:val="both"/>
        <w:rPr>
          <w:rFonts w:ascii="Times New Roman" w:hAnsi="Times New Roman" w:cs="Times New Roman"/>
          <w:sz w:val="24"/>
          <w:szCs w:val="24"/>
        </w:rPr>
      </w:pPr>
      <w:r w:rsidRPr="00780FAB">
        <w:rPr>
          <w:rFonts w:ascii="Times New Roman" w:hAnsi="Times New Roman" w:cs="Times New Roman"/>
          <w:noProof/>
          <w:sz w:val="24"/>
          <w:szCs w:val="24"/>
          <w:lang w:eastAsia="ru-RU"/>
        </w:rPr>
        <w:drawing>
          <wp:inline distT="0" distB="0" distL="0" distR="0">
            <wp:extent cx="5181600" cy="3371850"/>
            <wp:effectExtent l="0" t="76200" r="0" b="2286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D043F" w:rsidRPr="00780FAB" w:rsidRDefault="00ED043F" w:rsidP="00ED043F">
      <w:pPr>
        <w:pStyle w:val="a7"/>
        <w:shd w:val="clear" w:color="auto" w:fill="FFFFFF"/>
        <w:spacing w:before="0" w:beforeAutospacing="0" w:after="0" w:afterAutospacing="0"/>
        <w:ind w:firstLine="567"/>
        <w:contextualSpacing/>
        <w:jc w:val="center"/>
      </w:pPr>
    </w:p>
    <w:p w:rsidR="00ED043F" w:rsidRDefault="00ED043F" w:rsidP="00ED043F">
      <w:pPr>
        <w:pStyle w:val="a7"/>
        <w:shd w:val="clear" w:color="auto" w:fill="FFFFFF"/>
        <w:spacing w:before="0" w:beforeAutospacing="0" w:after="0" w:afterAutospacing="0"/>
        <w:ind w:firstLine="567"/>
        <w:contextualSpacing/>
        <w:jc w:val="center"/>
        <w:rPr>
          <w:lang w:val="kk-KZ"/>
        </w:rPr>
      </w:pPr>
      <w:r w:rsidRPr="00780FAB">
        <w:t>Рис.1. Модель пяти сил Портера, влияющих на предприятие</w:t>
      </w:r>
    </w:p>
    <w:p w:rsidR="00780FAB" w:rsidRPr="00780FAB" w:rsidRDefault="00780FAB" w:rsidP="00ED043F">
      <w:pPr>
        <w:pStyle w:val="a7"/>
        <w:shd w:val="clear" w:color="auto" w:fill="FFFFFF"/>
        <w:spacing w:before="0" w:beforeAutospacing="0" w:after="0" w:afterAutospacing="0"/>
        <w:ind w:firstLine="567"/>
        <w:contextualSpacing/>
        <w:jc w:val="center"/>
        <w:rPr>
          <w:i/>
          <w:sz w:val="22"/>
        </w:rPr>
      </w:pPr>
      <w:r w:rsidRPr="00780FAB">
        <w:rPr>
          <w:i/>
          <w:sz w:val="22"/>
        </w:rPr>
        <w:t>Составлено автором</w:t>
      </w:r>
    </w:p>
    <w:p w:rsidR="00780FAB" w:rsidRDefault="00780FAB" w:rsidP="00780FAB">
      <w:pPr>
        <w:pStyle w:val="a7"/>
        <w:shd w:val="clear" w:color="auto" w:fill="FFFFFF"/>
        <w:spacing w:before="0" w:beforeAutospacing="0" w:after="0" w:afterAutospacing="0"/>
        <w:ind w:firstLine="567"/>
        <w:contextualSpacing/>
        <w:jc w:val="both"/>
        <w:rPr>
          <w:lang w:val="kk-KZ"/>
        </w:rPr>
      </w:pPr>
    </w:p>
    <w:p w:rsidR="00EB0053" w:rsidRPr="00780FAB" w:rsidRDefault="00EB0053" w:rsidP="00780FAB">
      <w:pPr>
        <w:pStyle w:val="a7"/>
        <w:shd w:val="clear" w:color="auto" w:fill="FFFFFF"/>
        <w:spacing w:before="0" w:beforeAutospacing="0" w:after="0" w:afterAutospacing="0"/>
        <w:ind w:firstLine="426"/>
        <w:contextualSpacing/>
        <w:jc w:val="both"/>
      </w:pPr>
      <w:r w:rsidRPr="00780FAB">
        <w:t xml:space="preserve">4) </w:t>
      </w:r>
      <w:r w:rsidRPr="00780FAB">
        <w:rPr>
          <w:b/>
          <w:i/>
        </w:rPr>
        <w:t>Рыночная власть поставщиков.</w:t>
      </w:r>
      <w:r w:rsidR="00F4282D" w:rsidRPr="00780FAB">
        <w:t xml:space="preserve"> </w:t>
      </w:r>
      <w:r w:rsidRPr="00780FAB">
        <w:t xml:space="preserve">Рыночная власть поставщиков на фармацевтическом рынке достаточно велика. Это объясняется следующим. Доля иностранных производителей в их общем объеме очень большая. Заменителей у многих импортируемых патентованных ЛС нет. Продукция, поставляемая поставщиками, очень дифференцирована. Большое число иностранных производителей начали активно осваивать производственный потенциал </w:t>
      </w:r>
      <w:r w:rsidR="00CC6B4A" w:rsidRPr="00780FAB">
        <w:t>Казахстана</w:t>
      </w:r>
      <w:r w:rsidRPr="00780FAB">
        <w:t>, открывая или арендуя производственные площади. Практически все лидеры рынка подписывают договоры с отечественными производствами или сами строят производственные мощности.</w:t>
      </w:r>
    </w:p>
    <w:p w:rsidR="00EB0053" w:rsidRPr="00780FAB" w:rsidRDefault="00EB0053" w:rsidP="00780FAB">
      <w:pPr>
        <w:pStyle w:val="a7"/>
        <w:shd w:val="clear" w:color="auto" w:fill="FFFFFF"/>
        <w:spacing w:before="0" w:beforeAutospacing="0" w:after="0" w:afterAutospacing="0"/>
        <w:ind w:firstLine="426"/>
        <w:contextualSpacing/>
        <w:jc w:val="both"/>
      </w:pPr>
      <w:r w:rsidRPr="00780FAB">
        <w:t xml:space="preserve">5) </w:t>
      </w:r>
      <w:r w:rsidRPr="00780FAB">
        <w:rPr>
          <w:b/>
          <w:i/>
        </w:rPr>
        <w:t>Заменители.</w:t>
      </w:r>
      <w:r w:rsidR="00F4282D" w:rsidRPr="00780FAB">
        <w:rPr>
          <w:b/>
          <w:i/>
        </w:rPr>
        <w:t xml:space="preserve"> </w:t>
      </w:r>
      <w:r w:rsidRPr="00780FAB">
        <w:t xml:space="preserve">Любой анализ угрозы заменителей должен учитывать все продукты, выполняющие аналогичные функции для потребителей, а не ограничиваться сравнением между собой лишь физически однородных продуктов. В связи с этим субститутами для фармацевтической продукции, если их рассматривать широко, могут стать средства оздоровления превентивного характера, госпитализация людей, БАД и народные средства. </w:t>
      </w:r>
      <w:r w:rsidRPr="00780FAB">
        <w:lastRenderedPageBreak/>
        <w:t xml:space="preserve">Однако, фармацевтическая отрасль исходит из </w:t>
      </w:r>
      <w:r w:rsidR="00F4282D" w:rsidRPr="00780FAB">
        <w:t>пред</w:t>
      </w:r>
      <w:r w:rsidRPr="00780FAB">
        <w:t xml:space="preserve">посылки, что одна из основных причин, объясняющих ее рентабельность и рост, - то, что в большинстве случаев фармацевтика представляет более эффективную с точки зрения затрат форму сохранения здоровья, чем госпитализация и народные методы. Что касается БАД, то за 10 лет их присутствия на казахстанском рынке они все чаще применяются вместе с лекарственными препаратами для лечения и профилактики различных заболеваний. </w:t>
      </w:r>
      <w:r w:rsidR="008569CC" w:rsidRPr="00780FAB">
        <w:t>[3]</w:t>
      </w:r>
    </w:p>
    <w:p w:rsidR="00EB0053" w:rsidRPr="00780FAB" w:rsidRDefault="00EB0053" w:rsidP="00780FAB">
      <w:pPr>
        <w:autoSpaceDE w:val="0"/>
        <w:autoSpaceDN w:val="0"/>
        <w:adjustRightInd w:val="0"/>
        <w:spacing w:after="0" w:line="240" w:lineRule="auto"/>
        <w:ind w:firstLine="426"/>
        <w:jc w:val="both"/>
        <w:rPr>
          <w:rFonts w:ascii="Times New Roman" w:hAnsi="Times New Roman" w:cs="Times New Roman"/>
          <w:sz w:val="24"/>
          <w:szCs w:val="24"/>
        </w:rPr>
      </w:pPr>
      <w:r w:rsidRPr="00780FAB">
        <w:rPr>
          <w:rFonts w:ascii="Times New Roman" w:hAnsi="Times New Roman" w:cs="Times New Roman"/>
          <w:sz w:val="24"/>
          <w:szCs w:val="24"/>
        </w:rPr>
        <w:t xml:space="preserve">Казахстанская фармацевтическая промышленность представлена более чем 80 фирмами. Однако в первой десятке поставщиков на рынке РК только одно локальное предприятие – «Химфарм». На долю пяти наиболее крупных компаний приходится более 88% всех выпускаемых в Казахстане лекарств в денежном выражении. «Химфарм», «Нобел», «Глобал Фарм», ФК «Ромат» и «Досфарм» представляют собой предприятия полного цикла, включая разработку и внедрение технологических процессов, производство готовых лекарственных форм, реализацию лечебным учреждениям и потребителям через дистрибьюторскую и аптечную сети. </w:t>
      </w:r>
      <w:r w:rsidR="008569CC" w:rsidRPr="00780FAB">
        <w:rPr>
          <w:rFonts w:ascii="Times New Roman" w:hAnsi="Times New Roman" w:cs="Times New Roman"/>
          <w:sz w:val="24"/>
          <w:szCs w:val="24"/>
        </w:rPr>
        <w:t>[4]</w:t>
      </w:r>
    </w:p>
    <w:p w:rsidR="00780FAB" w:rsidRDefault="00780FAB" w:rsidP="00780FAB">
      <w:pPr>
        <w:spacing w:after="0" w:line="240" w:lineRule="auto"/>
        <w:ind w:firstLine="426"/>
        <w:contextualSpacing/>
        <w:jc w:val="both"/>
        <w:rPr>
          <w:rFonts w:ascii="Times New Roman" w:hAnsi="Times New Roman" w:cs="Times New Roman"/>
          <w:sz w:val="24"/>
          <w:szCs w:val="24"/>
        </w:rPr>
      </w:pPr>
      <w:r w:rsidRPr="00780FAB">
        <w:rPr>
          <w:rFonts w:ascii="Times New Roman" w:hAnsi="Times New Roman" w:cs="Times New Roman"/>
          <w:sz w:val="24"/>
          <w:szCs w:val="24"/>
        </w:rPr>
        <w:t xml:space="preserve">В настоящее время </w:t>
      </w:r>
      <w:r w:rsidRPr="00780FAB">
        <w:rPr>
          <w:rFonts w:ascii="Times New Roman" w:hAnsi="Times New Roman" w:cs="Times New Roman"/>
          <w:sz w:val="24"/>
          <w:szCs w:val="24"/>
          <w:lang w:val="en-US"/>
        </w:rPr>
        <w:t>SWOT</w:t>
      </w:r>
      <w:r w:rsidRPr="00780FAB">
        <w:rPr>
          <w:rFonts w:ascii="Times New Roman" w:hAnsi="Times New Roman" w:cs="Times New Roman"/>
          <w:sz w:val="24"/>
          <w:szCs w:val="24"/>
        </w:rPr>
        <w:t xml:space="preserve"> – анализ </w:t>
      </w:r>
      <w:r>
        <w:rPr>
          <w:rFonts w:ascii="Times New Roman" w:hAnsi="Times New Roman" w:cs="Times New Roman"/>
          <w:sz w:val="24"/>
          <w:szCs w:val="24"/>
        </w:rPr>
        <w:t>достаточно широко применяет</w:t>
      </w:r>
      <w:r w:rsidRPr="00780FAB">
        <w:rPr>
          <w:rFonts w:ascii="Times New Roman" w:hAnsi="Times New Roman" w:cs="Times New Roman"/>
          <w:sz w:val="24"/>
          <w:szCs w:val="24"/>
        </w:rPr>
        <w:t xml:space="preserve">ся в ряде различных областей. Любой вид бизнеса может использовать его, так что </w:t>
      </w:r>
      <w:r>
        <w:rPr>
          <w:rFonts w:ascii="Times New Roman" w:hAnsi="Times New Roman" w:cs="Times New Roman"/>
          <w:sz w:val="24"/>
          <w:szCs w:val="24"/>
        </w:rPr>
        <w:t xml:space="preserve">для </w:t>
      </w:r>
      <w:r w:rsidRPr="00780FAB">
        <w:rPr>
          <w:rFonts w:ascii="Times New Roman" w:hAnsi="Times New Roman" w:cs="Times New Roman"/>
          <w:sz w:val="24"/>
          <w:szCs w:val="24"/>
        </w:rPr>
        <w:t>большинств</w:t>
      </w:r>
      <w:r>
        <w:rPr>
          <w:rFonts w:ascii="Times New Roman" w:hAnsi="Times New Roman" w:cs="Times New Roman"/>
          <w:sz w:val="24"/>
          <w:szCs w:val="24"/>
        </w:rPr>
        <w:t>а</w:t>
      </w:r>
      <w:r w:rsidRPr="00780FAB">
        <w:rPr>
          <w:rFonts w:ascii="Times New Roman" w:hAnsi="Times New Roman" w:cs="Times New Roman"/>
          <w:sz w:val="24"/>
          <w:szCs w:val="24"/>
        </w:rPr>
        <w:t xml:space="preserve"> </w:t>
      </w:r>
      <w:r>
        <w:rPr>
          <w:rFonts w:ascii="Times New Roman" w:hAnsi="Times New Roman" w:cs="Times New Roman"/>
          <w:sz w:val="24"/>
          <w:szCs w:val="24"/>
        </w:rPr>
        <w:t>руководителей</w:t>
      </w:r>
      <w:r w:rsidRPr="00780FAB">
        <w:rPr>
          <w:rFonts w:ascii="Times New Roman" w:hAnsi="Times New Roman" w:cs="Times New Roman"/>
          <w:sz w:val="24"/>
          <w:szCs w:val="24"/>
        </w:rPr>
        <w:t xml:space="preserve"> </w:t>
      </w:r>
      <w:r w:rsidRPr="00780FAB">
        <w:rPr>
          <w:rFonts w:ascii="Times New Roman" w:hAnsi="Times New Roman" w:cs="Times New Roman"/>
          <w:sz w:val="24"/>
          <w:szCs w:val="24"/>
          <w:lang w:val="en-US"/>
        </w:rPr>
        <w:t>SWOT</w:t>
      </w:r>
      <w:r>
        <w:rPr>
          <w:rFonts w:ascii="Times New Roman" w:hAnsi="Times New Roman" w:cs="Times New Roman"/>
          <w:sz w:val="24"/>
          <w:szCs w:val="24"/>
        </w:rPr>
        <w:t xml:space="preserve"> - </w:t>
      </w:r>
      <w:r w:rsidRPr="00780FAB">
        <w:rPr>
          <w:rFonts w:ascii="Times New Roman" w:hAnsi="Times New Roman" w:cs="Times New Roman"/>
          <w:sz w:val="24"/>
          <w:szCs w:val="24"/>
        </w:rPr>
        <w:t xml:space="preserve">анализ является необходимым инструментом стратегического планирования </w:t>
      </w:r>
      <w:r>
        <w:rPr>
          <w:rFonts w:ascii="Times New Roman" w:hAnsi="Times New Roman" w:cs="Times New Roman"/>
          <w:sz w:val="24"/>
          <w:szCs w:val="24"/>
        </w:rPr>
        <w:t xml:space="preserve">и управления. </w:t>
      </w:r>
    </w:p>
    <w:p w:rsidR="00EB0053" w:rsidRDefault="00780FAB" w:rsidP="00780FAB">
      <w:pPr>
        <w:spacing w:after="0" w:line="240" w:lineRule="auto"/>
        <w:ind w:firstLine="426"/>
        <w:contextualSpacing/>
        <w:jc w:val="both"/>
        <w:rPr>
          <w:rFonts w:ascii="Times New Roman" w:hAnsi="Times New Roman" w:cs="Times New Roman"/>
          <w:sz w:val="24"/>
          <w:szCs w:val="24"/>
        </w:rPr>
      </w:pPr>
      <w:r w:rsidRPr="00780FAB">
        <w:rPr>
          <w:rFonts w:ascii="Times New Roman" w:hAnsi="Times New Roman" w:cs="Times New Roman"/>
          <w:sz w:val="24"/>
          <w:szCs w:val="24"/>
        </w:rPr>
        <w:t xml:space="preserve">SWOT </w:t>
      </w:r>
      <w:r>
        <w:rPr>
          <w:rFonts w:ascii="Times New Roman" w:hAnsi="Times New Roman" w:cs="Times New Roman"/>
          <w:sz w:val="24"/>
          <w:szCs w:val="24"/>
        </w:rPr>
        <w:t xml:space="preserve">- </w:t>
      </w:r>
      <w:r w:rsidRPr="00780FAB">
        <w:rPr>
          <w:rFonts w:ascii="Times New Roman" w:hAnsi="Times New Roman" w:cs="Times New Roman"/>
          <w:sz w:val="24"/>
          <w:szCs w:val="24"/>
        </w:rPr>
        <w:t xml:space="preserve">анализ позволяет </w:t>
      </w:r>
      <w:r>
        <w:rPr>
          <w:rFonts w:ascii="Times New Roman" w:hAnsi="Times New Roman" w:cs="Times New Roman"/>
          <w:sz w:val="24"/>
          <w:szCs w:val="24"/>
        </w:rPr>
        <w:t>создавать план</w:t>
      </w:r>
      <w:r w:rsidRPr="00780FAB">
        <w:rPr>
          <w:rFonts w:ascii="Times New Roman" w:hAnsi="Times New Roman" w:cs="Times New Roman"/>
          <w:sz w:val="24"/>
          <w:szCs w:val="24"/>
        </w:rPr>
        <w:t xml:space="preserve"> действий, необходимых для использования сильны</w:t>
      </w:r>
      <w:r>
        <w:rPr>
          <w:rFonts w:ascii="Times New Roman" w:hAnsi="Times New Roman" w:cs="Times New Roman"/>
          <w:sz w:val="24"/>
          <w:szCs w:val="24"/>
        </w:rPr>
        <w:t>х</w:t>
      </w:r>
      <w:r w:rsidRPr="00780FAB">
        <w:rPr>
          <w:rFonts w:ascii="Times New Roman" w:hAnsi="Times New Roman" w:cs="Times New Roman"/>
          <w:sz w:val="24"/>
          <w:szCs w:val="24"/>
        </w:rPr>
        <w:t xml:space="preserve"> сторон компании и для минимизации влияния его слабост</w:t>
      </w:r>
      <w:r>
        <w:rPr>
          <w:rFonts w:ascii="Times New Roman" w:hAnsi="Times New Roman" w:cs="Times New Roman"/>
          <w:sz w:val="24"/>
          <w:szCs w:val="24"/>
        </w:rPr>
        <w:t>ей</w:t>
      </w:r>
      <w:r w:rsidRPr="00780FAB">
        <w:rPr>
          <w:rFonts w:ascii="Times New Roman" w:hAnsi="Times New Roman" w:cs="Times New Roman"/>
          <w:sz w:val="24"/>
          <w:szCs w:val="24"/>
        </w:rPr>
        <w:t xml:space="preserve"> в целях расшире</w:t>
      </w:r>
      <w:r>
        <w:rPr>
          <w:rFonts w:ascii="Times New Roman" w:hAnsi="Times New Roman" w:cs="Times New Roman"/>
          <w:sz w:val="24"/>
          <w:szCs w:val="24"/>
        </w:rPr>
        <w:t>ния возможностей компании и снижения</w:t>
      </w:r>
      <w:r w:rsidRPr="00780FAB">
        <w:rPr>
          <w:rFonts w:ascii="Times New Roman" w:hAnsi="Times New Roman" w:cs="Times New Roman"/>
          <w:sz w:val="24"/>
          <w:szCs w:val="24"/>
        </w:rPr>
        <w:t xml:space="preserve"> риск</w:t>
      </w:r>
      <w:r>
        <w:rPr>
          <w:rFonts w:ascii="Times New Roman" w:hAnsi="Times New Roman" w:cs="Times New Roman"/>
          <w:sz w:val="24"/>
          <w:szCs w:val="24"/>
        </w:rPr>
        <w:t>а</w:t>
      </w:r>
      <w:r w:rsidRPr="00780FAB">
        <w:rPr>
          <w:rFonts w:ascii="Times New Roman" w:hAnsi="Times New Roman" w:cs="Times New Roman"/>
          <w:sz w:val="24"/>
          <w:szCs w:val="24"/>
        </w:rPr>
        <w:t xml:space="preserve"> угроз.</w:t>
      </w:r>
      <w:r>
        <w:rPr>
          <w:rFonts w:ascii="Times New Roman" w:hAnsi="Times New Roman" w:cs="Times New Roman"/>
          <w:sz w:val="24"/>
          <w:szCs w:val="24"/>
        </w:rPr>
        <w:t xml:space="preserve"> Анализ фармацевтической индустрии в РК представлена в таблице 1.</w:t>
      </w:r>
    </w:p>
    <w:p w:rsidR="00780FAB" w:rsidRPr="00780FAB" w:rsidRDefault="00780FAB" w:rsidP="00780FAB">
      <w:pPr>
        <w:spacing w:after="0" w:line="240" w:lineRule="auto"/>
        <w:ind w:firstLine="426"/>
        <w:contextualSpacing/>
        <w:jc w:val="both"/>
        <w:rPr>
          <w:rFonts w:ascii="Times New Roman" w:hAnsi="Times New Roman" w:cs="Times New Roman"/>
          <w:sz w:val="24"/>
          <w:szCs w:val="24"/>
        </w:rPr>
      </w:pPr>
    </w:p>
    <w:p w:rsidR="000F00E8" w:rsidRPr="00780FAB" w:rsidRDefault="00B20CB5" w:rsidP="000F00E8">
      <w:pPr>
        <w:spacing w:after="0" w:line="240" w:lineRule="auto"/>
        <w:ind w:firstLine="567"/>
        <w:contextualSpacing/>
        <w:rPr>
          <w:rFonts w:ascii="Times New Roman" w:hAnsi="Times New Roman" w:cs="Times New Roman"/>
          <w:sz w:val="24"/>
          <w:szCs w:val="24"/>
        </w:rPr>
      </w:pPr>
      <w:r w:rsidRPr="00780FAB">
        <w:rPr>
          <w:rFonts w:ascii="Times New Roman" w:hAnsi="Times New Roman" w:cs="Times New Roman"/>
          <w:sz w:val="24"/>
          <w:szCs w:val="24"/>
        </w:rPr>
        <w:t xml:space="preserve">Таблица </w:t>
      </w:r>
      <w:r w:rsidR="009A6FC0" w:rsidRPr="00780FAB">
        <w:rPr>
          <w:rFonts w:ascii="Times New Roman" w:hAnsi="Times New Roman" w:cs="Times New Roman"/>
          <w:sz w:val="24"/>
          <w:szCs w:val="24"/>
        </w:rPr>
        <w:t>1</w:t>
      </w:r>
      <w:r w:rsidRPr="00780FAB">
        <w:rPr>
          <w:rFonts w:ascii="Times New Roman" w:hAnsi="Times New Roman" w:cs="Times New Roman"/>
          <w:sz w:val="24"/>
          <w:szCs w:val="24"/>
        </w:rPr>
        <w:t xml:space="preserve">. </w:t>
      </w:r>
      <w:r w:rsidRPr="00780FAB">
        <w:rPr>
          <w:rFonts w:ascii="Times New Roman" w:hAnsi="Times New Roman" w:cs="Times New Roman"/>
          <w:sz w:val="24"/>
          <w:szCs w:val="24"/>
          <w:lang w:val="en-US"/>
        </w:rPr>
        <w:t>SWOT</w:t>
      </w:r>
      <w:r w:rsidRPr="00780FAB">
        <w:rPr>
          <w:rFonts w:ascii="Times New Roman" w:hAnsi="Times New Roman" w:cs="Times New Roman"/>
          <w:sz w:val="24"/>
          <w:szCs w:val="24"/>
        </w:rPr>
        <w:t xml:space="preserve"> – анализ фармацевтической индустрии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3"/>
        <w:gridCol w:w="4428"/>
      </w:tblGrid>
      <w:tr w:rsidR="001C40A8" w:rsidRPr="00780FAB" w:rsidTr="00F4282D">
        <w:tc>
          <w:tcPr>
            <w:tcW w:w="4943" w:type="dxa"/>
            <w:tcBorders>
              <w:top w:val="outset" w:sz="6" w:space="0" w:color="auto"/>
              <w:left w:val="outset" w:sz="6" w:space="0" w:color="auto"/>
              <w:bottom w:val="outset" w:sz="6" w:space="0" w:color="auto"/>
              <w:right w:val="outset" w:sz="6" w:space="0" w:color="auto"/>
            </w:tcBorders>
            <w:hideMark/>
          </w:tcPr>
          <w:p w:rsidR="001C40A8" w:rsidRPr="00780FAB" w:rsidRDefault="001C40A8" w:rsidP="00797776">
            <w:pPr>
              <w:spacing w:after="0" w:line="270" w:lineRule="atLeast"/>
              <w:jc w:val="center"/>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b/>
                <w:bCs/>
                <w:color w:val="1B1B1B"/>
                <w:sz w:val="24"/>
                <w:szCs w:val="24"/>
                <w:lang w:eastAsia="ru-RU"/>
              </w:rPr>
              <w:t>Слабые стороны:</w:t>
            </w:r>
          </w:p>
        </w:tc>
        <w:tc>
          <w:tcPr>
            <w:tcW w:w="4428" w:type="dxa"/>
            <w:tcBorders>
              <w:top w:val="outset" w:sz="6" w:space="0" w:color="auto"/>
              <w:left w:val="outset" w:sz="6" w:space="0" w:color="auto"/>
              <w:bottom w:val="outset" w:sz="6" w:space="0" w:color="auto"/>
              <w:right w:val="outset" w:sz="6" w:space="0" w:color="auto"/>
            </w:tcBorders>
            <w:hideMark/>
          </w:tcPr>
          <w:p w:rsidR="001C40A8" w:rsidRPr="00780FAB" w:rsidRDefault="001C40A8" w:rsidP="00797776">
            <w:pPr>
              <w:spacing w:after="0" w:line="270" w:lineRule="atLeast"/>
              <w:jc w:val="center"/>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b/>
                <w:bCs/>
                <w:color w:val="1B1B1B"/>
                <w:sz w:val="24"/>
                <w:szCs w:val="24"/>
                <w:lang w:eastAsia="ru-RU"/>
              </w:rPr>
              <w:t>Сильные стороны:</w:t>
            </w:r>
          </w:p>
        </w:tc>
      </w:tr>
      <w:tr w:rsidR="001C40A8" w:rsidRPr="00780FAB" w:rsidTr="00F4282D">
        <w:tc>
          <w:tcPr>
            <w:tcW w:w="4943" w:type="dxa"/>
            <w:tcBorders>
              <w:top w:val="outset" w:sz="6" w:space="0" w:color="auto"/>
              <w:left w:val="outset" w:sz="6" w:space="0" w:color="auto"/>
              <w:bottom w:val="outset" w:sz="6" w:space="0" w:color="auto"/>
              <w:right w:val="outset" w:sz="6" w:space="0" w:color="auto"/>
            </w:tcBorders>
            <w:hideMark/>
          </w:tcPr>
          <w:p w:rsidR="001C40A8" w:rsidRPr="00780FAB" w:rsidRDefault="001C40A8" w:rsidP="001C40A8">
            <w:pPr>
              <w:pStyle w:val="a5"/>
              <w:numPr>
                <w:ilvl w:val="0"/>
                <w:numId w:val="7"/>
              </w:numPr>
              <w:tabs>
                <w:tab w:val="left" w:pos="434"/>
              </w:tabs>
              <w:spacing w:after="285" w:line="270" w:lineRule="atLeast"/>
              <w:ind w:left="292" w:hanging="3"/>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 xml:space="preserve">Зависимость от поставщиков; </w:t>
            </w:r>
          </w:p>
          <w:p w:rsidR="001C40A8" w:rsidRPr="00780FAB" w:rsidRDefault="00F4282D" w:rsidP="001C40A8">
            <w:pPr>
              <w:pStyle w:val="a5"/>
              <w:numPr>
                <w:ilvl w:val="0"/>
                <w:numId w:val="7"/>
              </w:numPr>
              <w:tabs>
                <w:tab w:val="left" w:pos="434"/>
              </w:tabs>
              <w:spacing w:after="285" w:line="270" w:lineRule="atLeast"/>
              <w:ind w:left="292" w:hanging="3"/>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Б</w:t>
            </w:r>
            <w:r w:rsidR="001C40A8" w:rsidRPr="00780FAB">
              <w:rPr>
                <w:rFonts w:ascii="Times New Roman" w:eastAsia="Times New Roman" w:hAnsi="Times New Roman" w:cs="Times New Roman"/>
                <w:color w:val="1B1B1B"/>
                <w:sz w:val="24"/>
                <w:szCs w:val="24"/>
                <w:lang w:eastAsia="ru-RU"/>
              </w:rPr>
              <w:t>ыстрый износ оборудовани</w:t>
            </w:r>
            <w:r w:rsidRPr="00780FAB">
              <w:rPr>
                <w:rFonts w:ascii="Times New Roman" w:eastAsia="Times New Roman" w:hAnsi="Times New Roman" w:cs="Times New Roman"/>
                <w:color w:val="1B1B1B"/>
                <w:sz w:val="24"/>
                <w:szCs w:val="24"/>
                <w:lang w:eastAsia="ru-RU"/>
              </w:rPr>
              <w:t>я</w:t>
            </w:r>
            <w:r w:rsidR="001C40A8" w:rsidRPr="00780FAB">
              <w:rPr>
                <w:rFonts w:ascii="Times New Roman" w:eastAsia="Times New Roman" w:hAnsi="Times New Roman" w:cs="Times New Roman"/>
                <w:color w:val="1B1B1B"/>
                <w:sz w:val="24"/>
                <w:szCs w:val="24"/>
                <w:lang w:eastAsia="ru-RU"/>
              </w:rPr>
              <w:t>;</w:t>
            </w:r>
          </w:p>
          <w:p w:rsidR="001C40A8" w:rsidRPr="00780FAB" w:rsidRDefault="00F4282D" w:rsidP="001C40A8">
            <w:pPr>
              <w:pStyle w:val="a5"/>
              <w:numPr>
                <w:ilvl w:val="0"/>
                <w:numId w:val="7"/>
              </w:numPr>
              <w:tabs>
                <w:tab w:val="left" w:pos="434"/>
              </w:tabs>
              <w:spacing w:after="285" w:line="270" w:lineRule="atLeast"/>
              <w:ind w:left="292" w:hanging="3"/>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У</w:t>
            </w:r>
            <w:r w:rsidR="001C40A8" w:rsidRPr="00780FAB">
              <w:rPr>
                <w:rFonts w:ascii="Times New Roman" w:eastAsia="Times New Roman" w:hAnsi="Times New Roman" w:cs="Times New Roman"/>
                <w:color w:val="1B1B1B"/>
                <w:sz w:val="24"/>
                <w:szCs w:val="24"/>
                <w:lang w:eastAsia="ru-RU"/>
              </w:rPr>
              <w:t xml:space="preserve">меньшенная доходность из-за быстрого роста затрат; </w:t>
            </w:r>
          </w:p>
          <w:p w:rsidR="001C40A8" w:rsidRPr="00780FAB" w:rsidRDefault="00F4282D" w:rsidP="001C40A8">
            <w:pPr>
              <w:pStyle w:val="a5"/>
              <w:numPr>
                <w:ilvl w:val="0"/>
                <w:numId w:val="7"/>
              </w:numPr>
              <w:tabs>
                <w:tab w:val="left" w:pos="434"/>
              </w:tabs>
              <w:spacing w:after="285" w:line="270" w:lineRule="atLeast"/>
              <w:ind w:left="292" w:hanging="3"/>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Н</w:t>
            </w:r>
            <w:r w:rsidR="001C40A8" w:rsidRPr="00780FAB">
              <w:rPr>
                <w:rFonts w:ascii="Times New Roman" w:eastAsia="Times New Roman" w:hAnsi="Times New Roman" w:cs="Times New Roman"/>
                <w:color w:val="1B1B1B"/>
                <w:sz w:val="24"/>
                <w:szCs w:val="24"/>
                <w:lang w:eastAsia="ru-RU"/>
              </w:rPr>
              <w:t>еэффективное использование ресурсов</w:t>
            </w:r>
            <w:r w:rsidRPr="00780FAB">
              <w:rPr>
                <w:rFonts w:ascii="Times New Roman" w:eastAsia="Times New Roman" w:hAnsi="Times New Roman" w:cs="Times New Roman"/>
                <w:color w:val="1B1B1B"/>
                <w:sz w:val="24"/>
                <w:szCs w:val="24"/>
                <w:lang w:eastAsia="ru-RU"/>
              </w:rPr>
              <w:t>;</w:t>
            </w:r>
          </w:p>
          <w:p w:rsidR="001C40A8" w:rsidRPr="00780FAB" w:rsidRDefault="001C40A8" w:rsidP="001C40A8">
            <w:pPr>
              <w:pStyle w:val="a5"/>
              <w:numPr>
                <w:ilvl w:val="0"/>
                <w:numId w:val="7"/>
              </w:numPr>
              <w:tabs>
                <w:tab w:val="left" w:pos="434"/>
              </w:tabs>
              <w:spacing w:after="285" w:line="270" w:lineRule="atLeast"/>
              <w:ind w:left="292" w:hanging="3"/>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Доминирующее положение фармацевтических компаний из третьих на рынке РК</w:t>
            </w:r>
            <w:r w:rsidR="00F4282D" w:rsidRPr="00780FAB">
              <w:rPr>
                <w:rFonts w:ascii="Times New Roman" w:eastAsia="Times New Roman" w:hAnsi="Times New Roman" w:cs="Times New Roman"/>
                <w:color w:val="1B1B1B"/>
                <w:sz w:val="24"/>
                <w:szCs w:val="24"/>
                <w:lang w:eastAsia="ru-RU"/>
              </w:rPr>
              <w:t>;</w:t>
            </w:r>
          </w:p>
          <w:p w:rsidR="001C40A8" w:rsidRPr="00780FAB" w:rsidRDefault="001C40A8" w:rsidP="001C40A8">
            <w:pPr>
              <w:pStyle w:val="a5"/>
              <w:numPr>
                <w:ilvl w:val="0"/>
                <w:numId w:val="7"/>
              </w:numPr>
              <w:tabs>
                <w:tab w:val="left" w:pos="434"/>
              </w:tabs>
              <w:spacing w:after="285" w:line="270" w:lineRule="atLeast"/>
              <w:ind w:left="292" w:hanging="3"/>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Дефицит квалифицированных кадров</w:t>
            </w:r>
            <w:r w:rsidR="00F4282D" w:rsidRPr="00780FAB">
              <w:rPr>
                <w:rFonts w:ascii="Times New Roman" w:eastAsia="Times New Roman" w:hAnsi="Times New Roman" w:cs="Times New Roman"/>
                <w:color w:val="1B1B1B"/>
                <w:sz w:val="24"/>
                <w:szCs w:val="24"/>
                <w:lang w:eastAsia="ru-RU"/>
              </w:rPr>
              <w:t>;</w:t>
            </w:r>
          </w:p>
          <w:p w:rsidR="001C40A8" w:rsidRPr="00780FAB" w:rsidRDefault="001C40A8" w:rsidP="001C40A8">
            <w:pPr>
              <w:pStyle w:val="a5"/>
              <w:numPr>
                <w:ilvl w:val="0"/>
                <w:numId w:val="7"/>
              </w:numPr>
              <w:tabs>
                <w:tab w:val="left" w:pos="434"/>
              </w:tabs>
              <w:spacing w:after="285" w:line="270" w:lineRule="atLeast"/>
              <w:ind w:left="292" w:hanging="3"/>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 xml:space="preserve">Длительная процедура </w:t>
            </w:r>
            <w:r w:rsidR="00255806" w:rsidRPr="00780FAB">
              <w:rPr>
                <w:rFonts w:ascii="Times New Roman" w:eastAsia="Times New Roman" w:hAnsi="Times New Roman" w:cs="Times New Roman"/>
                <w:color w:val="1B1B1B"/>
                <w:sz w:val="24"/>
                <w:szCs w:val="24"/>
                <w:lang w:eastAsia="ru-RU"/>
              </w:rPr>
              <w:t>регистрации более</w:t>
            </w:r>
            <w:r w:rsidRPr="00780FAB">
              <w:rPr>
                <w:rFonts w:ascii="Times New Roman" w:eastAsia="Times New Roman" w:hAnsi="Times New Roman" w:cs="Times New Roman"/>
                <w:color w:val="1B1B1B"/>
                <w:sz w:val="24"/>
                <w:szCs w:val="24"/>
                <w:lang w:eastAsia="ru-RU"/>
              </w:rPr>
              <w:t xml:space="preserve"> 8 мес.</w:t>
            </w:r>
          </w:p>
        </w:tc>
        <w:tc>
          <w:tcPr>
            <w:tcW w:w="4428" w:type="dxa"/>
            <w:tcBorders>
              <w:top w:val="outset" w:sz="6" w:space="0" w:color="auto"/>
              <w:left w:val="outset" w:sz="6" w:space="0" w:color="auto"/>
              <w:bottom w:val="outset" w:sz="6" w:space="0" w:color="auto"/>
              <w:right w:val="outset" w:sz="6" w:space="0" w:color="auto"/>
            </w:tcBorders>
            <w:hideMark/>
          </w:tcPr>
          <w:p w:rsidR="001C40A8" w:rsidRPr="00780FAB" w:rsidRDefault="001C40A8" w:rsidP="00F4282D">
            <w:pPr>
              <w:pStyle w:val="a5"/>
              <w:numPr>
                <w:ilvl w:val="0"/>
                <w:numId w:val="7"/>
              </w:numPr>
              <w:tabs>
                <w:tab w:val="left" w:pos="452"/>
              </w:tabs>
              <w:spacing w:after="285" w:line="270" w:lineRule="atLeast"/>
              <w:ind w:left="184" w:firstLine="20"/>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Широкий ассортимент продуктов;</w:t>
            </w:r>
          </w:p>
          <w:p w:rsidR="001C40A8" w:rsidRPr="00780FAB" w:rsidRDefault="00F4282D" w:rsidP="001C40A8">
            <w:pPr>
              <w:pStyle w:val="a5"/>
              <w:numPr>
                <w:ilvl w:val="0"/>
                <w:numId w:val="7"/>
              </w:numPr>
              <w:tabs>
                <w:tab w:val="left" w:pos="452"/>
              </w:tabs>
              <w:spacing w:after="285" w:line="270" w:lineRule="atLeast"/>
              <w:ind w:left="184" w:firstLine="20"/>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Р</w:t>
            </w:r>
            <w:r w:rsidR="001C40A8" w:rsidRPr="00780FAB">
              <w:rPr>
                <w:rFonts w:ascii="Times New Roman" w:eastAsia="Times New Roman" w:hAnsi="Times New Roman" w:cs="Times New Roman"/>
                <w:color w:val="1B1B1B"/>
                <w:sz w:val="24"/>
                <w:szCs w:val="24"/>
                <w:lang w:eastAsia="ru-RU"/>
              </w:rPr>
              <w:t>азвитие новых технологий, которые допускают более высокие качественные продукты и более эффективное производство;</w:t>
            </w:r>
          </w:p>
          <w:p w:rsidR="001C40A8" w:rsidRPr="00780FAB" w:rsidRDefault="00F4282D" w:rsidP="001C40A8">
            <w:pPr>
              <w:pStyle w:val="a5"/>
              <w:numPr>
                <w:ilvl w:val="0"/>
                <w:numId w:val="7"/>
              </w:numPr>
              <w:tabs>
                <w:tab w:val="left" w:pos="452"/>
              </w:tabs>
              <w:spacing w:after="285" w:line="270" w:lineRule="atLeast"/>
              <w:ind w:left="184" w:firstLine="20"/>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И</w:t>
            </w:r>
            <w:r w:rsidR="001C40A8" w:rsidRPr="00780FAB">
              <w:rPr>
                <w:rFonts w:ascii="Times New Roman" w:eastAsia="Times New Roman" w:hAnsi="Times New Roman" w:cs="Times New Roman"/>
                <w:color w:val="1B1B1B"/>
                <w:sz w:val="24"/>
                <w:szCs w:val="24"/>
                <w:lang w:eastAsia="ru-RU"/>
              </w:rPr>
              <w:t>нтегрированная доставка продуктов;</w:t>
            </w:r>
          </w:p>
          <w:p w:rsidR="001C40A8" w:rsidRPr="00780FAB" w:rsidRDefault="001C40A8" w:rsidP="001C40A8">
            <w:pPr>
              <w:pStyle w:val="a5"/>
              <w:numPr>
                <w:ilvl w:val="0"/>
                <w:numId w:val="7"/>
              </w:numPr>
              <w:tabs>
                <w:tab w:val="left" w:pos="452"/>
              </w:tabs>
              <w:spacing w:after="285" w:line="270" w:lineRule="atLeast"/>
              <w:ind w:left="184" w:firstLine="20"/>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 xml:space="preserve">Потенциал экспорта на рынки стран СНГ, а </w:t>
            </w:r>
            <w:r w:rsidR="00255806" w:rsidRPr="00780FAB">
              <w:rPr>
                <w:rFonts w:ascii="Times New Roman" w:eastAsia="Times New Roman" w:hAnsi="Times New Roman" w:cs="Times New Roman"/>
                <w:color w:val="1B1B1B"/>
                <w:sz w:val="24"/>
                <w:szCs w:val="24"/>
                <w:lang w:eastAsia="ru-RU"/>
              </w:rPr>
              <w:t>также Монголии</w:t>
            </w:r>
            <w:r w:rsidR="00F4282D" w:rsidRPr="00780FAB">
              <w:rPr>
                <w:rFonts w:ascii="Times New Roman" w:eastAsia="Times New Roman" w:hAnsi="Times New Roman" w:cs="Times New Roman"/>
                <w:color w:val="1B1B1B"/>
                <w:sz w:val="24"/>
                <w:szCs w:val="24"/>
                <w:lang w:eastAsia="ru-RU"/>
              </w:rPr>
              <w:t>;</w:t>
            </w:r>
          </w:p>
          <w:p w:rsidR="001C40A8" w:rsidRPr="00780FAB" w:rsidRDefault="001C40A8" w:rsidP="001C40A8">
            <w:pPr>
              <w:pStyle w:val="a5"/>
              <w:numPr>
                <w:ilvl w:val="0"/>
                <w:numId w:val="7"/>
              </w:numPr>
              <w:tabs>
                <w:tab w:val="left" w:pos="452"/>
              </w:tabs>
              <w:spacing w:after="285" w:line="270" w:lineRule="atLeast"/>
              <w:ind w:left="184" w:firstLine="20"/>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Политическая стабильность РК и выгодное географическое расположение</w:t>
            </w:r>
            <w:r w:rsidR="00F4282D" w:rsidRPr="00780FAB">
              <w:rPr>
                <w:rFonts w:ascii="Times New Roman" w:eastAsia="Times New Roman" w:hAnsi="Times New Roman" w:cs="Times New Roman"/>
                <w:color w:val="1B1B1B"/>
                <w:sz w:val="24"/>
                <w:szCs w:val="24"/>
                <w:lang w:eastAsia="ru-RU"/>
              </w:rPr>
              <w:t>;</w:t>
            </w:r>
          </w:p>
          <w:p w:rsidR="001C40A8" w:rsidRPr="00780FAB" w:rsidRDefault="001C40A8" w:rsidP="001C40A8">
            <w:pPr>
              <w:pStyle w:val="a5"/>
              <w:numPr>
                <w:ilvl w:val="0"/>
                <w:numId w:val="7"/>
              </w:numPr>
              <w:tabs>
                <w:tab w:val="left" w:pos="452"/>
              </w:tabs>
              <w:autoSpaceDE w:val="0"/>
              <w:autoSpaceDN w:val="0"/>
              <w:adjustRightInd w:val="0"/>
              <w:spacing w:after="0" w:line="240" w:lineRule="auto"/>
              <w:ind w:left="184" w:firstLine="20"/>
              <w:rPr>
                <w:rFonts w:ascii="Times New Roman" w:hAnsi="Times New Roman" w:cs="Times New Roman"/>
                <w:sz w:val="24"/>
                <w:szCs w:val="24"/>
              </w:rPr>
            </w:pPr>
            <w:r w:rsidRPr="00780FAB">
              <w:rPr>
                <w:rFonts w:ascii="Times New Roman" w:hAnsi="Times New Roman" w:cs="Times New Roman"/>
                <w:sz w:val="24"/>
                <w:szCs w:val="24"/>
              </w:rPr>
              <w:t>Сертификация GMP, ISO на новых производствах</w:t>
            </w:r>
            <w:r w:rsidR="00F4282D" w:rsidRPr="00780FAB">
              <w:rPr>
                <w:rFonts w:ascii="Times New Roman" w:hAnsi="Times New Roman" w:cs="Times New Roman"/>
                <w:sz w:val="24"/>
                <w:szCs w:val="24"/>
              </w:rPr>
              <w:t>.</w:t>
            </w:r>
          </w:p>
        </w:tc>
      </w:tr>
      <w:tr w:rsidR="00F4282D" w:rsidRPr="00780FAB" w:rsidTr="00F4282D">
        <w:trPr>
          <w:trHeight w:val="318"/>
        </w:trPr>
        <w:tc>
          <w:tcPr>
            <w:tcW w:w="4943" w:type="dxa"/>
            <w:tcBorders>
              <w:top w:val="outset" w:sz="6" w:space="0" w:color="auto"/>
              <w:left w:val="outset" w:sz="6" w:space="0" w:color="auto"/>
              <w:bottom w:val="single" w:sz="4" w:space="0" w:color="auto"/>
              <w:right w:val="outset" w:sz="6" w:space="0" w:color="auto"/>
            </w:tcBorders>
            <w:hideMark/>
          </w:tcPr>
          <w:p w:rsidR="00F4282D" w:rsidRPr="00780FAB" w:rsidRDefault="00F4282D" w:rsidP="00CC6B4A">
            <w:pPr>
              <w:spacing w:after="0" w:line="270" w:lineRule="atLeast"/>
              <w:contextualSpacing/>
              <w:jc w:val="center"/>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b/>
                <w:bCs/>
                <w:color w:val="1B1B1B"/>
                <w:sz w:val="24"/>
                <w:szCs w:val="24"/>
                <w:lang w:eastAsia="ru-RU"/>
              </w:rPr>
              <w:t>Возможности:</w:t>
            </w:r>
          </w:p>
        </w:tc>
        <w:tc>
          <w:tcPr>
            <w:tcW w:w="4428" w:type="dxa"/>
            <w:tcBorders>
              <w:top w:val="outset" w:sz="6" w:space="0" w:color="auto"/>
              <w:left w:val="outset" w:sz="6" w:space="0" w:color="auto"/>
              <w:bottom w:val="single" w:sz="4" w:space="0" w:color="auto"/>
              <w:right w:val="outset" w:sz="6" w:space="0" w:color="auto"/>
            </w:tcBorders>
            <w:hideMark/>
          </w:tcPr>
          <w:p w:rsidR="00F4282D" w:rsidRPr="00780FAB" w:rsidRDefault="00F4282D" w:rsidP="00CC6B4A">
            <w:pPr>
              <w:tabs>
                <w:tab w:val="left" w:pos="453"/>
              </w:tabs>
              <w:spacing w:after="0" w:line="270" w:lineRule="atLeast"/>
              <w:contextualSpacing/>
              <w:jc w:val="center"/>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b/>
                <w:bCs/>
                <w:color w:val="1B1B1B"/>
                <w:sz w:val="24"/>
                <w:szCs w:val="24"/>
                <w:lang w:eastAsia="ru-RU"/>
              </w:rPr>
              <w:t>Угрозы:</w:t>
            </w:r>
          </w:p>
        </w:tc>
      </w:tr>
      <w:tr w:rsidR="00F4282D" w:rsidRPr="00780FAB" w:rsidTr="00780FAB">
        <w:trPr>
          <w:trHeight w:val="982"/>
        </w:trPr>
        <w:tc>
          <w:tcPr>
            <w:tcW w:w="4943" w:type="dxa"/>
            <w:tcBorders>
              <w:top w:val="single" w:sz="4" w:space="0" w:color="auto"/>
              <w:left w:val="outset" w:sz="6" w:space="0" w:color="auto"/>
              <w:bottom w:val="single" w:sz="4" w:space="0" w:color="auto"/>
              <w:right w:val="outset" w:sz="6" w:space="0" w:color="auto"/>
            </w:tcBorders>
            <w:hideMark/>
          </w:tcPr>
          <w:p w:rsidR="00F4282D" w:rsidRPr="00780FAB" w:rsidRDefault="00F4282D" w:rsidP="001C40A8">
            <w:pPr>
              <w:pStyle w:val="a5"/>
              <w:numPr>
                <w:ilvl w:val="0"/>
                <w:numId w:val="6"/>
              </w:numPr>
              <w:tabs>
                <w:tab w:val="left" w:pos="434"/>
              </w:tabs>
              <w:spacing w:after="0" w:line="270" w:lineRule="atLeast"/>
              <w:ind w:left="150" w:hanging="3"/>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Производство новых дженериковых препаратов по истечению сроков патентов на оригинальные лекарственные средства;</w:t>
            </w:r>
          </w:p>
          <w:p w:rsidR="00F4282D" w:rsidRPr="00780FAB" w:rsidRDefault="00F4282D" w:rsidP="001C40A8">
            <w:pPr>
              <w:pStyle w:val="a5"/>
              <w:numPr>
                <w:ilvl w:val="0"/>
                <w:numId w:val="6"/>
              </w:numPr>
              <w:tabs>
                <w:tab w:val="left" w:pos="434"/>
              </w:tabs>
              <w:spacing w:after="0" w:line="270" w:lineRule="atLeast"/>
              <w:ind w:left="150" w:hanging="3"/>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Гарантия сбыта до 7 лет путём заключения долгосрочных договоров;</w:t>
            </w:r>
          </w:p>
          <w:p w:rsidR="00F4282D" w:rsidRPr="00780FAB" w:rsidRDefault="00F4282D" w:rsidP="001C40A8">
            <w:pPr>
              <w:pStyle w:val="a5"/>
              <w:numPr>
                <w:ilvl w:val="0"/>
                <w:numId w:val="6"/>
              </w:numPr>
              <w:tabs>
                <w:tab w:val="left" w:pos="434"/>
              </w:tabs>
              <w:spacing w:after="0" w:line="270" w:lineRule="atLeast"/>
              <w:ind w:left="150" w:hanging="3"/>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Покупка (трансферт) технологий позволит наладить производство современных препаратов;</w:t>
            </w:r>
          </w:p>
          <w:p w:rsidR="00F4282D" w:rsidRPr="00780FAB" w:rsidRDefault="00F4282D" w:rsidP="001C40A8">
            <w:pPr>
              <w:pStyle w:val="a5"/>
              <w:numPr>
                <w:ilvl w:val="0"/>
                <w:numId w:val="6"/>
              </w:numPr>
              <w:tabs>
                <w:tab w:val="left" w:pos="434"/>
              </w:tabs>
              <w:spacing w:after="0" w:line="270" w:lineRule="atLeast"/>
              <w:ind w:left="150" w:hanging="3"/>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Организация контрактного производства с зарубежными компаниями;</w:t>
            </w:r>
          </w:p>
          <w:p w:rsidR="00F4282D" w:rsidRPr="00780FAB" w:rsidRDefault="00F4282D" w:rsidP="001C40A8">
            <w:pPr>
              <w:pStyle w:val="a5"/>
              <w:numPr>
                <w:ilvl w:val="0"/>
                <w:numId w:val="6"/>
              </w:numPr>
              <w:tabs>
                <w:tab w:val="left" w:pos="434"/>
              </w:tabs>
              <w:spacing w:after="0" w:line="270" w:lineRule="atLeast"/>
              <w:ind w:left="150" w:hanging="3"/>
              <w:rPr>
                <w:rFonts w:ascii="Times New Roman" w:eastAsia="Times New Roman" w:hAnsi="Times New Roman" w:cs="Times New Roman"/>
                <w:b/>
                <w:bCs/>
                <w:color w:val="1B1B1B"/>
                <w:sz w:val="24"/>
                <w:szCs w:val="24"/>
                <w:lang w:eastAsia="ru-RU"/>
              </w:rPr>
            </w:pPr>
            <w:r w:rsidRPr="00780FAB">
              <w:rPr>
                <w:rFonts w:ascii="Times New Roman" w:eastAsia="Times New Roman" w:hAnsi="Times New Roman" w:cs="Times New Roman"/>
                <w:color w:val="1B1B1B"/>
                <w:sz w:val="24"/>
                <w:szCs w:val="24"/>
                <w:lang w:eastAsia="ru-RU"/>
              </w:rPr>
              <w:t>Переход к рациональному лекарственному обеспечению, т. е.  увеличение потребления отечественных дженериков.</w:t>
            </w:r>
          </w:p>
        </w:tc>
        <w:tc>
          <w:tcPr>
            <w:tcW w:w="4428" w:type="dxa"/>
            <w:tcBorders>
              <w:top w:val="single" w:sz="4" w:space="0" w:color="auto"/>
              <w:left w:val="outset" w:sz="6" w:space="0" w:color="auto"/>
              <w:bottom w:val="single" w:sz="4" w:space="0" w:color="auto"/>
              <w:right w:val="outset" w:sz="6" w:space="0" w:color="auto"/>
            </w:tcBorders>
            <w:hideMark/>
          </w:tcPr>
          <w:p w:rsidR="00F4282D" w:rsidRPr="00780FAB" w:rsidRDefault="00F4282D" w:rsidP="001C40A8">
            <w:pPr>
              <w:pStyle w:val="a5"/>
              <w:numPr>
                <w:ilvl w:val="0"/>
                <w:numId w:val="5"/>
              </w:numPr>
              <w:tabs>
                <w:tab w:val="left" w:pos="453"/>
              </w:tabs>
              <w:spacing w:after="0" w:line="270" w:lineRule="atLeast"/>
              <w:ind w:left="183" w:firstLine="20"/>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Зависимость от импорта фармацевтической и медицинской продукции;</w:t>
            </w:r>
          </w:p>
          <w:p w:rsidR="00F4282D" w:rsidRPr="00780FAB" w:rsidRDefault="00F4282D" w:rsidP="001C40A8">
            <w:pPr>
              <w:pStyle w:val="a5"/>
              <w:numPr>
                <w:ilvl w:val="0"/>
                <w:numId w:val="5"/>
              </w:numPr>
              <w:tabs>
                <w:tab w:val="left" w:pos="453"/>
              </w:tabs>
              <w:spacing w:after="0" w:line="270" w:lineRule="atLeast"/>
              <w:ind w:left="183" w:firstLine="20"/>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Зависимость от импорта сырья и упаковочных материалов;</w:t>
            </w:r>
          </w:p>
          <w:p w:rsidR="00F4282D" w:rsidRPr="00780FAB" w:rsidRDefault="00F4282D" w:rsidP="001C40A8">
            <w:pPr>
              <w:pStyle w:val="a5"/>
              <w:numPr>
                <w:ilvl w:val="0"/>
                <w:numId w:val="5"/>
              </w:numPr>
              <w:tabs>
                <w:tab w:val="left" w:pos="453"/>
              </w:tabs>
              <w:spacing w:after="0" w:line="270" w:lineRule="atLeast"/>
              <w:ind w:left="183" w:firstLine="20"/>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Быстрое развитие фармацевтической промышленности в Индии и Китае;</w:t>
            </w:r>
          </w:p>
          <w:p w:rsidR="00F4282D" w:rsidRPr="00780FAB" w:rsidRDefault="00F4282D" w:rsidP="001C40A8">
            <w:pPr>
              <w:pStyle w:val="a5"/>
              <w:numPr>
                <w:ilvl w:val="0"/>
                <w:numId w:val="5"/>
              </w:numPr>
              <w:tabs>
                <w:tab w:val="left" w:pos="453"/>
              </w:tabs>
              <w:spacing w:after="0" w:line="270" w:lineRule="atLeast"/>
              <w:ind w:left="183" w:firstLine="20"/>
              <w:rPr>
                <w:rFonts w:ascii="Times New Roman" w:eastAsia="Times New Roman" w:hAnsi="Times New Roman" w:cs="Times New Roman"/>
                <w:color w:val="1B1B1B"/>
                <w:sz w:val="24"/>
                <w:szCs w:val="24"/>
                <w:lang w:eastAsia="ru-RU"/>
              </w:rPr>
            </w:pPr>
            <w:r w:rsidRPr="00780FAB">
              <w:rPr>
                <w:rFonts w:ascii="Times New Roman" w:eastAsia="Times New Roman" w:hAnsi="Times New Roman" w:cs="Times New Roman"/>
                <w:color w:val="1B1B1B"/>
                <w:sz w:val="24"/>
                <w:szCs w:val="24"/>
                <w:lang w:eastAsia="ru-RU"/>
              </w:rPr>
              <w:t>Снижение экспорта страны Средней Азии с введением новых производственных мощностей фармацевтической отрасли;</w:t>
            </w:r>
          </w:p>
          <w:p w:rsidR="00F4282D" w:rsidRPr="00780FAB" w:rsidRDefault="00F4282D" w:rsidP="001C40A8">
            <w:pPr>
              <w:pStyle w:val="a5"/>
              <w:numPr>
                <w:ilvl w:val="0"/>
                <w:numId w:val="5"/>
              </w:numPr>
              <w:tabs>
                <w:tab w:val="left" w:pos="453"/>
              </w:tabs>
              <w:spacing w:after="0" w:line="270" w:lineRule="atLeast"/>
              <w:ind w:left="183" w:firstLine="20"/>
              <w:rPr>
                <w:rFonts w:ascii="Times New Roman" w:eastAsia="Times New Roman" w:hAnsi="Times New Roman" w:cs="Times New Roman"/>
                <w:b/>
                <w:bCs/>
                <w:color w:val="1B1B1B"/>
                <w:sz w:val="24"/>
                <w:szCs w:val="24"/>
                <w:lang w:eastAsia="ru-RU"/>
              </w:rPr>
            </w:pPr>
            <w:r w:rsidRPr="00780FAB">
              <w:rPr>
                <w:rFonts w:ascii="Times New Roman" w:eastAsia="Times New Roman" w:hAnsi="Times New Roman" w:cs="Times New Roman"/>
                <w:color w:val="1B1B1B"/>
                <w:sz w:val="24"/>
                <w:szCs w:val="24"/>
                <w:lang w:eastAsia="ru-RU"/>
              </w:rPr>
              <w:lastRenderedPageBreak/>
              <w:t>Увеличение импорта фармацевтической продукции с Россией, Беларусью  и Украиной.</w:t>
            </w:r>
          </w:p>
        </w:tc>
      </w:tr>
      <w:tr w:rsidR="00780FAB" w:rsidRPr="00780FAB" w:rsidTr="00780FAB">
        <w:trPr>
          <w:trHeight w:val="228"/>
        </w:trPr>
        <w:tc>
          <w:tcPr>
            <w:tcW w:w="9371" w:type="dxa"/>
            <w:gridSpan w:val="2"/>
            <w:tcBorders>
              <w:top w:val="single" w:sz="4" w:space="0" w:color="auto"/>
              <w:left w:val="outset" w:sz="6" w:space="0" w:color="auto"/>
              <w:bottom w:val="outset" w:sz="6" w:space="0" w:color="auto"/>
              <w:right w:val="outset" w:sz="6" w:space="0" w:color="auto"/>
            </w:tcBorders>
            <w:hideMark/>
          </w:tcPr>
          <w:p w:rsidR="00780FAB" w:rsidRPr="00780FAB" w:rsidRDefault="00780FAB" w:rsidP="00780FAB">
            <w:pPr>
              <w:pStyle w:val="a5"/>
              <w:tabs>
                <w:tab w:val="left" w:pos="453"/>
              </w:tabs>
              <w:spacing w:after="0" w:line="240" w:lineRule="auto"/>
              <w:ind w:left="204"/>
              <w:rPr>
                <w:rFonts w:ascii="Times New Roman" w:eastAsia="Times New Roman" w:hAnsi="Times New Roman" w:cs="Times New Roman"/>
                <w:i/>
                <w:color w:val="1B1B1B"/>
                <w:sz w:val="24"/>
                <w:szCs w:val="24"/>
                <w:lang w:val="en-US" w:eastAsia="ru-RU"/>
              </w:rPr>
            </w:pPr>
            <w:r w:rsidRPr="00780FAB">
              <w:rPr>
                <w:rFonts w:ascii="Times New Roman" w:eastAsia="Times New Roman" w:hAnsi="Times New Roman" w:cs="Times New Roman"/>
                <w:i/>
                <w:color w:val="1B1B1B"/>
                <w:szCs w:val="24"/>
                <w:lang w:eastAsia="ru-RU"/>
              </w:rPr>
              <w:lastRenderedPageBreak/>
              <w:t xml:space="preserve">Составлено на основе источника </w:t>
            </w:r>
            <w:r w:rsidRPr="00780FAB">
              <w:rPr>
                <w:rFonts w:ascii="Times New Roman" w:eastAsia="Times New Roman" w:hAnsi="Times New Roman" w:cs="Times New Roman"/>
                <w:i/>
                <w:color w:val="1B1B1B"/>
                <w:szCs w:val="24"/>
                <w:lang w:val="en-US" w:eastAsia="ru-RU"/>
              </w:rPr>
              <w:t>[4].</w:t>
            </w:r>
          </w:p>
        </w:tc>
      </w:tr>
    </w:tbl>
    <w:p w:rsidR="001C40A8" w:rsidRPr="00780FAB" w:rsidRDefault="001C40A8" w:rsidP="001C3A49">
      <w:pPr>
        <w:spacing w:after="0" w:line="240" w:lineRule="auto"/>
        <w:ind w:firstLine="567"/>
        <w:contextualSpacing/>
        <w:jc w:val="both"/>
        <w:rPr>
          <w:rFonts w:ascii="Times New Roman" w:hAnsi="Times New Roman" w:cs="Times New Roman"/>
          <w:sz w:val="24"/>
          <w:szCs w:val="24"/>
        </w:rPr>
      </w:pPr>
    </w:p>
    <w:p w:rsidR="00780FAB" w:rsidRDefault="00780FAB" w:rsidP="00780FAB">
      <w:pPr>
        <w:pStyle w:val="a7"/>
        <w:shd w:val="clear" w:color="auto" w:fill="FFFFFF"/>
        <w:spacing w:before="0" w:beforeAutospacing="0" w:after="0" w:afterAutospacing="0"/>
        <w:ind w:firstLine="426"/>
        <w:contextualSpacing/>
        <w:jc w:val="both"/>
        <w:rPr>
          <w:color w:val="000000"/>
        </w:rPr>
      </w:pPr>
      <w:r>
        <w:rPr>
          <w:color w:val="000000"/>
        </w:rPr>
        <w:t>Таким образом, на основе полученной информации компаниям необходимо использовать свои силы для увеличения потенциальных возможностей. Так, например, можно использовать политическую стабильность страны и выгодное географическое положение для совместного осуществления производства с зарубежными компаниями; развитие собственных новых технологий позволит наладку и увеличение производства современных препаратов.</w:t>
      </w:r>
    </w:p>
    <w:p w:rsidR="000F00E8" w:rsidRPr="00780FAB" w:rsidRDefault="000F00E8" w:rsidP="00780FAB">
      <w:pPr>
        <w:pStyle w:val="a7"/>
        <w:shd w:val="clear" w:color="auto" w:fill="FFFFFF"/>
        <w:spacing w:before="0" w:beforeAutospacing="0" w:after="0" w:afterAutospacing="0"/>
        <w:ind w:firstLine="426"/>
        <w:contextualSpacing/>
        <w:jc w:val="both"/>
      </w:pPr>
      <w:r w:rsidRPr="00780FAB">
        <w:rPr>
          <w:color w:val="000000"/>
        </w:rPr>
        <w:t>В дополнение к общему анализу межфирменной конкурентной борьбы обычно проводится анализ стратегических групп конкурентов.</w:t>
      </w:r>
    </w:p>
    <w:p w:rsidR="000F00E8" w:rsidRPr="00780FAB" w:rsidRDefault="000F00E8" w:rsidP="00780FAB">
      <w:pPr>
        <w:spacing w:after="0" w:line="240" w:lineRule="auto"/>
        <w:ind w:firstLine="426"/>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Стратегическая группа конкурентов — это множество соперничающих организаций в определенной отрасли, имеющих общие черты (аналогичные стратегии конкуренции, одинаковые позиции на рынке) и признаки. К этим признакам можно отнести используемые технологии, цены или качество товаров и услуг, каналы сбыта, целевую аудиторию, сервис и другие элементы маркетинга. Наглядной формой представления об отрасли в целом и об отдельных стратегических группах конкурентов являются позиционные карты.</w:t>
      </w:r>
    </w:p>
    <w:p w:rsidR="000F00E8" w:rsidRPr="00780FAB" w:rsidRDefault="000F00E8" w:rsidP="000F00E8">
      <w:pPr>
        <w:spacing w:after="0" w:line="240" w:lineRule="auto"/>
        <w:ind w:firstLine="567"/>
        <w:jc w:val="both"/>
        <w:rPr>
          <w:rFonts w:ascii="Times New Roman" w:hAnsi="Times New Roman" w:cs="Times New Roman"/>
          <w:color w:val="000000"/>
          <w:sz w:val="24"/>
          <w:szCs w:val="24"/>
          <w:shd w:val="clear" w:color="auto" w:fill="F3F3ED"/>
        </w:rPr>
      </w:pPr>
    </w:p>
    <w:p w:rsidR="000F00E8" w:rsidRPr="00780FAB" w:rsidRDefault="000F00E8" w:rsidP="000F00E8">
      <w:pPr>
        <w:spacing w:after="0" w:line="240" w:lineRule="auto"/>
        <w:ind w:firstLine="567"/>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 xml:space="preserve">Таблица </w:t>
      </w:r>
      <w:r w:rsidR="009A6FC0" w:rsidRPr="00780FAB">
        <w:rPr>
          <w:rFonts w:ascii="Times New Roman" w:hAnsi="Times New Roman" w:cs="Times New Roman"/>
          <w:color w:val="000000"/>
          <w:sz w:val="24"/>
          <w:szCs w:val="24"/>
        </w:rPr>
        <w:t>2</w:t>
      </w:r>
      <w:r w:rsidRPr="00780FAB">
        <w:rPr>
          <w:rFonts w:ascii="Times New Roman" w:hAnsi="Times New Roman" w:cs="Times New Roman"/>
          <w:color w:val="000000"/>
          <w:sz w:val="24"/>
          <w:szCs w:val="24"/>
        </w:rPr>
        <w:t>. Исходные данные для построения позиционной карты</w:t>
      </w:r>
    </w:p>
    <w:tbl>
      <w:tblPr>
        <w:tblStyle w:val="a6"/>
        <w:tblW w:w="0" w:type="auto"/>
        <w:tblInd w:w="233" w:type="dxa"/>
        <w:tblLook w:val="04A0" w:firstRow="1" w:lastRow="0" w:firstColumn="1" w:lastColumn="0" w:noHBand="0" w:noVBand="1"/>
      </w:tblPr>
      <w:tblGrid>
        <w:gridCol w:w="2083"/>
        <w:gridCol w:w="2558"/>
        <w:gridCol w:w="3338"/>
        <w:gridCol w:w="1417"/>
      </w:tblGrid>
      <w:tr w:rsidR="000F00E8" w:rsidRPr="00780FAB" w:rsidTr="00797776">
        <w:tc>
          <w:tcPr>
            <w:tcW w:w="2096"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Компания</w:t>
            </w:r>
          </w:p>
        </w:tc>
        <w:tc>
          <w:tcPr>
            <w:tcW w:w="2599"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Объем розничных продаж</w:t>
            </w:r>
          </w:p>
        </w:tc>
        <w:tc>
          <w:tcPr>
            <w:tcW w:w="3377"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Каналы сбыта</w:t>
            </w:r>
          </w:p>
        </w:tc>
        <w:tc>
          <w:tcPr>
            <w:tcW w:w="1417" w:type="dxa"/>
          </w:tcPr>
          <w:p w:rsidR="000F00E8" w:rsidRPr="00780FAB" w:rsidRDefault="000F00E8" w:rsidP="00CC6B4A">
            <w:pPr>
              <w:jc w:val="both"/>
              <w:rPr>
                <w:rFonts w:ascii="Times New Roman" w:hAnsi="Times New Roman" w:cs="Times New Roman"/>
                <w:color w:val="000000"/>
                <w:sz w:val="24"/>
                <w:szCs w:val="24"/>
              </w:rPr>
            </w:pPr>
            <w:r w:rsidRPr="00780FAB">
              <w:rPr>
                <w:rFonts w:ascii="Times New Roman" w:hAnsi="Times New Roman" w:cs="Times New Roman"/>
                <w:color w:val="000000"/>
                <w:sz w:val="24"/>
                <w:szCs w:val="24"/>
              </w:rPr>
              <w:t>Количество препаратов</w:t>
            </w:r>
          </w:p>
        </w:tc>
      </w:tr>
      <w:tr w:rsidR="000F00E8" w:rsidRPr="00780FAB" w:rsidTr="00797776">
        <w:tc>
          <w:tcPr>
            <w:tcW w:w="2096"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АбдиИбрахим ГлобалФарм</w:t>
            </w:r>
          </w:p>
        </w:tc>
        <w:tc>
          <w:tcPr>
            <w:tcW w:w="2599"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12 млн. долл.</w:t>
            </w:r>
          </w:p>
        </w:tc>
        <w:tc>
          <w:tcPr>
            <w:tcW w:w="3377"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Дистрибьюторские сети 45%</w:t>
            </w:r>
          </w:p>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Гос. Программы – 55%</w:t>
            </w:r>
          </w:p>
        </w:tc>
        <w:tc>
          <w:tcPr>
            <w:tcW w:w="1417" w:type="dxa"/>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около 131</w:t>
            </w:r>
          </w:p>
        </w:tc>
      </w:tr>
      <w:tr w:rsidR="000F00E8" w:rsidRPr="00780FAB" w:rsidTr="00797776">
        <w:tc>
          <w:tcPr>
            <w:tcW w:w="2096"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Химфарм</w:t>
            </w:r>
          </w:p>
        </w:tc>
        <w:tc>
          <w:tcPr>
            <w:tcW w:w="2599"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29,3 млн. долл.</w:t>
            </w:r>
          </w:p>
        </w:tc>
        <w:tc>
          <w:tcPr>
            <w:tcW w:w="3377"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Дистрибьюторские сети 85%</w:t>
            </w:r>
          </w:p>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Мелкооптовые – 10%</w:t>
            </w:r>
          </w:p>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Собственная сеть – 5%</w:t>
            </w:r>
          </w:p>
        </w:tc>
        <w:tc>
          <w:tcPr>
            <w:tcW w:w="1417"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более 200</w:t>
            </w:r>
          </w:p>
        </w:tc>
      </w:tr>
      <w:tr w:rsidR="000F00E8" w:rsidRPr="00780FAB" w:rsidTr="00797776">
        <w:tc>
          <w:tcPr>
            <w:tcW w:w="2096"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Нобел</w:t>
            </w:r>
          </w:p>
        </w:tc>
        <w:tc>
          <w:tcPr>
            <w:tcW w:w="2599"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24,3 млн. долл.</w:t>
            </w:r>
          </w:p>
        </w:tc>
        <w:tc>
          <w:tcPr>
            <w:tcW w:w="3377"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Дистрибьюторские сети 85%</w:t>
            </w:r>
          </w:p>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Мелкооптовые – 10%</w:t>
            </w:r>
          </w:p>
        </w:tc>
        <w:tc>
          <w:tcPr>
            <w:tcW w:w="1417"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около 60</w:t>
            </w:r>
          </w:p>
        </w:tc>
      </w:tr>
      <w:tr w:rsidR="000F00E8" w:rsidRPr="00780FAB" w:rsidTr="00797776">
        <w:tc>
          <w:tcPr>
            <w:tcW w:w="2096"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lang w:val="en-US"/>
              </w:rPr>
              <w:t>Bayer Pharma</w:t>
            </w:r>
          </w:p>
        </w:tc>
        <w:tc>
          <w:tcPr>
            <w:tcW w:w="2599"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lang w:val="en-US"/>
              </w:rPr>
              <w:t xml:space="preserve">18200 </w:t>
            </w:r>
            <w:r w:rsidRPr="00780FAB">
              <w:rPr>
                <w:rFonts w:ascii="Times New Roman" w:hAnsi="Times New Roman" w:cs="Times New Roman"/>
                <w:color w:val="000000"/>
                <w:sz w:val="24"/>
                <w:szCs w:val="24"/>
              </w:rPr>
              <w:t>млн. долл.</w:t>
            </w:r>
          </w:p>
        </w:tc>
        <w:tc>
          <w:tcPr>
            <w:tcW w:w="3377" w:type="dxa"/>
            <w:shd w:val="clear" w:color="auto" w:fill="auto"/>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Дистрибьюторские сети 80%</w:t>
            </w:r>
          </w:p>
          <w:p w:rsidR="000F00E8" w:rsidRPr="00780FAB" w:rsidRDefault="000F00E8" w:rsidP="00CC6B4A">
            <w:pPr>
              <w:jc w:val="both"/>
              <w:rPr>
                <w:rFonts w:ascii="Times New Roman" w:hAnsi="Times New Roman" w:cs="Times New Roman"/>
                <w:color w:val="000000"/>
                <w:sz w:val="24"/>
                <w:szCs w:val="24"/>
              </w:rPr>
            </w:pPr>
            <w:r w:rsidRPr="00780FAB">
              <w:rPr>
                <w:rFonts w:ascii="Times New Roman" w:hAnsi="Times New Roman" w:cs="Times New Roman"/>
                <w:color w:val="000000"/>
                <w:sz w:val="24"/>
                <w:szCs w:val="24"/>
              </w:rPr>
              <w:t>Мелкооптовые – 10%</w:t>
            </w:r>
          </w:p>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Собственная сеть – 10%</w:t>
            </w:r>
          </w:p>
        </w:tc>
        <w:tc>
          <w:tcPr>
            <w:tcW w:w="1417" w:type="dxa"/>
          </w:tcPr>
          <w:p w:rsidR="000F00E8" w:rsidRPr="00780FAB" w:rsidRDefault="000F00E8" w:rsidP="00CC6B4A">
            <w:pPr>
              <w:jc w:val="both"/>
              <w:rPr>
                <w:rFonts w:ascii="Times New Roman" w:hAnsi="Times New Roman" w:cs="Times New Roman"/>
                <w:color w:val="000000"/>
                <w:sz w:val="24"/>
                <w:szCs w:val="24"/>
                <w:shd w:val="clear" w:color="auto" w:fill="F3F3ED"/>
              </w:rPr>
            </w:pPr>
            <w:r w:rsidRPr="00780FAB">
              <w:rPr>
                <w:rFonts w:ascii="Times New Roman" w:hAnsi="Times New Roman" w:cs="Times New Roman"/>
                <w:color w:val="000000"/>
                <w:sz w:val="24"/>
                <w:szCs w:val="24"/>
              </w:rPr>
              <w:t>более 160</w:t>
            </w:r>
          </w:p>
        </w:tc>
      </w:tr>
      <w:tr w:rsidR="000F00E8" w:rsidRPr="00780FAB" w:rsidTr="00797776">
        <w:tc>
          <w:tcPr>
            <w:tcW w:w="9489" w:type="dxa"/>
            <w:gridSpan w:val="4"/>
            <w:shd w:val="clear" w:color="auto" w:fill="auto"/>
          </w:tcPr>
          <w:p w:rsidR="000F00E8" w:rsidRPr="00780FAB" w:rsidRDefault="000F00E8" w:rsidP="00CC6B4A">
            <w:pPr>
              <w:jc w:val="both"/>
              <w:rPr>
                <w:rFonts w:ascii="Times New Roman" w:hAnsi="Times New Roman" w:cs="Times New Roman"/>
                <w:i/>
                <w:color w:val="000000"/>
                <w:sz w:val="24"/>
                <w:szCs w:val="24"/>
                <w:lang w:val="en-US"/>
              </w:rPr>
            </w:pPr>
            <w:r w:rsidRPr="00780FAB">
              <w:rPr>
                <w:rFonts w:ascii="Times New Roman" w:hAnsi="Times New Roman" w:cs="Times New Roman"/>
                <w:i/>
                <w:color w:val="000000"/>
                <w:szCs w:val="24"/>
              </w:rPr>
              <w:t>Источник: официальные сайты компаний</w:t>
            </w:r>
            <w:r w:rsidR="00780FAB">
              <w:rPr>
                <w:rFonts w:ascii="Times New Roman" w:hAnsi="Times New Roman" w:cs="Times New Roman"/>
                <w:i/>
                <w:color w:val="000000"/>
                <w:szCs w:val="24"/>
                <w:lang w:val="en-US"/>
              </w:rPr>
              <w:t>[5].</w:t>
            </w:r>
          </w:p>
        </w:tc>
      </w:tr>
    </w:tbl>
    <w:p w:rsidR="000F00E8" w:rsidRPr="00780FAB" w:rsidRDefault="000F00E8" w:rsidP="000F00E8">
      <w:pPr>
        <w:spacing w:after="0" w:line="240" w:lineRule="auto"/>
        <w:jc w:val="center"/>
        <w:rPr>
          <w:rFonts w:ascii="Times New Roman" w:hAnsi="Times New Roman" w:cs="Times New Roman"/>
          <w:color w:val="000000"/>
          <w:sz w:val="24"/>
          <w:szCs w:val="24"/>
          <w:shd w:val="clear" w:color="auto" w:fill="F3F3ED"/>
        </w:rPr>
      </w:pPr>
      <w:r w:rsidRPr="00780FAB">
        <w:rPr>
          <w:rFonts w:ascii="Times New Roman" w:hAnsi="Times New Roman" w:cs="Times New Roman"/>
          <w:noProof/>
          <w:color w:val="000000"/>
          <w:sz w:val="24"/>
          <w:szCs w:val="24"/>
          <w:shd w:val="clear" w:color="auto" w:fill="F3F3ED"/>
          <w:lang w:eastAsia="ru-RU"/>
        </w:rPr>
        <w:drawing>
          <wp:inline distT="0" distB="0" distL="0" distR="0">
            <wp:extent cx="5940425" cy="2674970"/>
            <wp:effectExtent l="19050" t="0" r="3175" b="0"/>
            <wp:docPr id="1" name="Рисунок 2"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png"/>
                    <pic:cNvPicPr>
                      <a:picLocks noChangeAspect="1" noChangeArrowheads="1"/>
                    </pic:cNvPicPr>
                  </pic:nvPicPr>
                  <pic:blipFill>
                    <a:blip r:embed="rId13" cstate="print"/>
                    <a:srcRect/>
                    <a:stretch>
                      <a:fillRect/>
                    </a:stretch>
                  </pic:blipFill>
                  <pic:spPr bwMode="auto">
                    <a:xfrm>
                      <a:off x="0" y="0"/>
                      <a:ext cx="5940425" cy="2674970"/>
                    </a:xfrm>
                    <a:prstGeom prst="rect">
                      <a:avLst/>
                    </a:prstGeom>
                    <a:noFill/>
                    <a:ln w="9525">
                      <a:noFill/>
                      <a:miter lim="800000"/>
                      <a:headEnd/>
                      <a:tailEnd/>
                    </a:ln>
                  </pic:spPr>
                </pic:pic>
              </a:graphicData>
            </a:graphic>
          </wp:inline>
        </w:drawing>
      </w:r>
    </w:p>
    <w:p w:rsidR="000F00E8" w:rsidRPr="00780FAB" w:rsidRDefault="000F00E8" w:rsidP="000F00E8">
      <w:pPr>
        <w:spacing w:after="0" w:line="240" w:lineRule="auto"/>
        <w:ind w:firstLine="567"/>
        <w:jc w:val="both"/>
        <w:rPr>
          <w:rFonts w:ascii="Times New Roman" w:hAnsi="Times New Roman" w:cs="Times New Roman"/>
          <w:color w:val="000000"/>
          <w:sz w:val="24"/>
          <w:szCs w:val="24"/>
          <w:shd w:val="clear" w:color="auto" w:fill="F3F3ED"/>
        </w:rPr>
      </w:pPr>
    </w:p>
    <w:p w:rsidR="000F00E8" w:rsidRDefault="000F00E8" w:rsidP="000F00E8">
      <w:pPr>
        <w:spacing w:after="0" w:line="240" w:lineRule="auto"/>
        <w:jc w:val="center"/>
        <w:rPr>
          <w:rFonts w:ascii="Times New Roman" w:hAnsi="Times New Roman" w:cs="Times New Roman"/>
          <w:sz w:val="24"/>
          <w:szCs w:val="24"/>
        </w:rPr>
      </w:pPr>
      <w:r w:rsidRPr="00780FAB">
        <w:rPr>
          <w:rFonts w:ascii="Times New Roman" w:hAnsi="Times New Roman" w:cs="Times New Roman"/>
          <w:sz w:val="24"/>
          <w:szCs w:val="24"/>
        </w:rPr>
        <w:t>Рис. 1 Стратегическая карта конкурентов</w:t>
      </w:r>
    </w:p>
    <w:p w:rsidR="00780FAB" w:rsidRPr="00780FAB" w:rsidRDefault="00780FAB" w:rsidP="000F00E8">
      <w:pPr>
        <w:spacing w:after="0" w:line="240" w:lineRule="auto"/>
        <w:jc w:val="center"/>
        <w:rPr>
          <w:rFonts w:ascii="Times New Roman" w:hAnsi="Times New Roman" w:cs="Times New Roman"/>
          <w:i/>
          <w:szCs w:val="24"/>
        </w:rPr>
      </w:pPr>
      <w:r w:rsidRPr="00780FAB">
        <w:rPr>
          <w:rFonts w:ascii="Times New Roman" w:hAnsi="Times New Roman" w:cs="Times New Roman"/>
          <w:i/>
          <w:szCs w:val="24"/>
        </w:rPr>
        <w:t>Составлено автором</w:t>
      </w:r>
    </w:p>
    <w:p w:rsidR="000F00E8" w:rsidRPr="00780FAB" w:rsidRDefault="000F00E8" w:rsidP="001C3A49">
      <w:pPr>
        <w:spacing w:after="0" w:line="240" w:lineRule="auto"/>
        <w:ind w:firstLine="567"/>
        <w:contextualSpacing/>
        <w:jc w:val="both"/>
        <w:rPr>
          <w:rFonts w:ascii="Times New Roman" w:hAnsi="Times New Roman" w:cs="Times New Roman"/>
          <w:sz w:val="24"/>
          <w:szCs w:val="24"/>
        </w:rPr>
      </w:pPr>
    </w:p>
    <w:p w:rsidR="00652CF6" w:rsidRPr="00780FAB" w:rsidRDefault="00FF6961" w:rsidP="00780FAB">
      <w:pPr>
        <w:spacing w:after="0" w:line="240" w:lineRule="auto"/>
        <w:ind w:firstLine="426"/>
        <w:contextualSpacing/>
        <w:jc w:val="both"/>
        <w:rPr>
          <w:rFonts w:ascii="Times New Roman" w:hAnsi="Times New Roman" w:cs="Times New Roman"/>
          <w:sz w:val="24"/>
          <w:szCs w:val="24"/>
        </w:rPr>
      </w:pPr>
      <w:r w:rsidRPr="00780FAB">
        <w:rPr>
          <w:rFonts w:ascii="Times New Roman" w:hAnsi="Times New Roman" w:cs="Times New Roman"/>
          <w:sz w:val="24"/>
          <w:szCs w:val="24"/>
        </w:rPr>
        <w:t>Анализ, проведенный в данной работе</w:t>
      </w:r>
      <w:r w:rsidR="00780FAB">
        <w:rPr>
          <w:rFonts w:ascii="Times New Roman" w:hAnsi="Times New Roman" w:cs="Times New Roman"/>
          <w:sz w:val="24"/>
          <w:szCs w:val="24"/>
        </w:rPr>
        <w:t>,</w:t>
      </w:r>
      <w:r w:rsidRPr="00780FAB">
        <w:rPr>
          <w:rFonts w:ascii="Times New Roman" w:hAnsi="Times New Roman" w:cs="Times New Roman"/>
          <w:sz w:val="24"/>
          <w:szCs w:val="24"/>
        </w:rPr>
        <w:t xml:space="preserve"> показал, что всеобъемлющ</w:t>
      </w:r>
      <w:r w:rsidR="00F4282D" w:rsidRPr="00780FAB">
        <w:rPr>
          <w:rFonts w:ascii="Times New Roman" w:hAnsi="Times New Roman" w:cs="Times New Roman"/>
          <w:sz w:val="24"/>
          <w:szCs w:val="24"/>
        </w:rPr>
        <w:t>ий</w:t>
      </w:r>
      <w:r w:rsidRPr="00780FAB">
        <w:rPr>
          <w:rFonts w:ascii="Times New Roman" w:hAnsi="Times New Roman" w:cs="Times New Roman"/>
          <w:sz w:val="24"/>
          <w:szCs w:val="24"/>
        </w:rPr>
        <w:t xml:space="preserve"> комплексный анализ может успешно контролировать достижение стратегического положения компании, анализа ряда измеримых и не измеримых факторов. Как таковая, она может представлять важн</w:t>
      </w:r>
      <w:r w:rsidR="00F4282D" w:rsidRPr="00780FAB">
        <w:rPr>
          <w:rFonts w:ascii="Times New Roman" w:hAnsi="Times New Roman" w:cs="Times New Roman"/>
          <w:sz w:val="24"/>
          <w:szCs w:val="24"/>
        </w:rPr>
        <w:t>ый</w:t>
      </w:r>
      <w:r w:rsidRPr="00780FAB">
        <w:rPr>
          <w:rFonts w:ascii="Times New Roman" w:hAnsi="Times New Roman" w:cs="Times New Roman"/>
          <w:sz w:val="24"/>
          <w:szCs w:val="24"/>
        </w:rPr>
        <w:t xml:space="preserve"> аналитический инструмент, в частности </w:t>
      </w:r>
      <w:r w:rsidR="00F4282D" w:rsidRPr="00780FAB">
        <w:rPr>
          <w:rFonts w:ascii="Times New Roman" w:hAnsi="Times New Roman" w:cs="Times New Roman"/>
          <w:sz w:val="24"/>
          <w:szCs w:val="24"/>
        </w:rPr>
        <w:t xml:space="preserve">для </w:t>
      </w:r>
      <w:r w:rsidRPr="00780FAB">
        <w:rPr>
          <w:rFonts w:ascii="Times New Roman" w:hAnsi="Times New Roman" w:cs="Times New Roman"/>
          <w:sz w:val="24"/>
          <w:szCs w:val="24"/>
        </w:rPr>
        <w:t>управл</w:t>
      </w:r>
      <w:r w:rsidR="00F4282D" w:rsidRPr="00780FAB">
        <w:rPr>
          <w:rFonts w:ascii="Times New Roman" w:hAnsi="Times New Roman" w:cs="Times New Roman"/>
          <w:sz w:val="24"/>
          <w:szCs w:val="24"/>
        </w:rPr>
        <w:t>ения</w:t>
      </w:r>
      <w:r w:rsidRPr="00780FAB">
        <w:rPr>
          <w:rFonts w:ascii="Times New Roman" w:hAnsi="Times New Roman" w:cs="Times New Roman"/>
          <w:sz w:val="24"/>
          <w:szCs w:val="24"/>
        </w:rPr>
        <w:t xml:space="preserve"> компани</w:t>
      </w:r>
      <w:r w:rsidR="00F4282D" w:rsidRPr="00780FAB">
        <w:rPr>
          <w:rFonts w:ascii="Times New Roman" w:hAnsi="Times New Roman" w:cs="Times New Roman"/>
          <w:sz w:val="24"/>
          <w:szCs w:val="24"/>
        </w:rPr>
        <w:t>ей</w:t>
      </w:r>
      <w:r w:rsidRPr="00780FAB">
        <w:rPr>
          <w:rFonts w:ascii="Times New Roman" w:hAnsi="Times New Roman" w:cs="Times New Roman"/>
          <w:sz w:val="24"/>
          <w:szCs w:val="24"/>
        </w:rPr>
        <w:t>. Компания может быть затронут</w:t>
      </w:r>
      <w:r w:rsidR="00F4282D" w:rsidRPr="00780FAB">
        <w:rPr>
          <w:rFonts w:ascii="Times New Roman" w:hAnsi="Times New Roman" w:cs="Times New Roman"/>
          <w:sz w:val="24"/>
          <w:szCs w:val="24"/>
        </w:rPr>
        <w:t>а</w:t>
      </w:r>
      <w:r w:rsidRPr="00780FAB">
        <w:rPr>
          <w:rFonts w:ascii="Times New Roman" w:hAnsi="Times New Roman" w:cs="Times New Roman"/>
          <w:sz w:val="24"/>
          <w:szCs w:val="24"/>
        </w:rPr>
        <w:t xml:space="preserve"> в наибольшей степени фактор</w:t>
      </w:r>
      <w:r w:rsidR="00F4282D" w:rsidRPr="00780FAB">
        <w:rPr>
          <w:rFonts w:ascii="Times New Roman" w:hAnsi="Times New Roman" w:cs="Times New Roman"/>
          <w:sz w:val="24"/>
          <w:szCs w:val="24"/>
        </w:rPr>
        <w:t>ами</w:t>
      </w:r>
      <w:r w:rsidRPr="00780FAB">
        <w:rPr>
          <w:rFonts w:ascii="Times New Roman" w:hAnsi="Times New Roman" w:cs="Times New Roman"/>
          <w:sz w:val="24"/>
          <w:szCs w:val="24"/>
        </w:rPr>
        <w:t xml:space="preserve"> внутр</w:t>
      </w:r>
      <w:r w:rsidR="00F4282D" w:rsidRPr="00780FAB">
        <w:rPr>
          <w:rFonts w:ascii="Times New Roman" w:hAnsi="Times New Roman" w:cs="Times New Roman"/>
          <w:sz w:val="24"/>
          <w:szCs w:val="24"/>
        </w:rPr>
        <w:t>енней</w:t>
      </w:r>
      <w:r w:rsidRPr="00780FAB">
        <w:rPr>
          <w:rFonts w:ascii="Times New Roman" w:hAnsi="Times New Roman" w:cs="Times New Roman"/>
          <w:sz w:val="24"/>
          <w:szCs w:val="24"/>
        </w:rPr>
        <w:t xml:space="preserve"> с</w:t>
      </w:r>
      <w:r w:rsidR="00F4282D" w:rsidRPr="00780FAB">
        <w:rPr>
          <w:rFonts w:ascii="Times New Roman" w:hAnsi="Times New Roman" w:cs="Times New Roman"/>
          <w:sz w:val="24"/>
          <w:szCs w:val="24"/>
        </w:rPr>
        <w:t>реды</w:t>
      </w:r>
      <w:r w:rsidRPr="00780FAB">
        <w:rPr>
          <w:rFonts w:ascii="Times New Roman" w:hAnsi="Times New Roman" w:cs="Times New Roman"/>
          <w:sz w:val="24"/>
          <w:szCs w:val="24"/>
        </w:rPr>
        <w:t xml:space="preserve"> организации, </w:t>
      </w:r>
      <w:r w:rsidR="00F4282D" w:rsidRPr="00780FAB">
        <w:rPr>
          <w:rFonts w:ascii="Times New Roman" w:hAnsi="Times New Roman" w:cs="Times New Roman"/>
          <w:sz w:val="24"/>
          <w:szCs w:val="24"/>
        </w:rPr>
        <w:t>поскольку</w:t>
      </w:r>
      <w:r w:rsidRPr="00780FAB">
        <w:rPr>
          <w:rFonts w:ascii="Times New Roman" w:hAnsi="Times New Roman" w:cs="Times New Roman"/>
          <w:sz w:val="24"/>
          <w:szCs w:val="24"/>
        </w:rPr>
        <w:t xml:space="preserve"> некоторы</w:t>
      </w:r>
      <w:r w:rsidR="00F4282D" w:rsidRPr="00780FAB">
        <w:rPr>
          <w:rFonts w:ascii="Times New Roman" w:hAnsi="Times New Roman" w:cs="Times New Roman"/>
          <w:sz w:val="24"/>
          <w:szCs w:val="24"/>
        </w:rPr>
        <w:t>е</w:t>
      </w:r>
      <w:r w:rsidRPr="00780FAB">
        <w:rPr>
          <w:rFonts w:ascii="Times New Roman" w:hAnsi="Times New Roman" w:cs="Times New Roman"/>
          <w:sz w:val="24"/>
          <w:szCs w:val="24"/>
        </w:rPr>
        <w:t xml:space="preserve"> элемент</w:t>
      </w:r>
      <w:r w:rsidR="00F4282D" w:rsidRPr="00780FAB">
        <w:rPr>
          <w:rFonts w:ascii="Times New Roman" w:hAnsi="Times New Roman" w:cs="Times New Roman"/>
          <w:sz w:val="24"/>
          <w:szCs w:val="24"/>
        </w:rPr>
        <w:t>ы</w:t>
      </w:r>
      <w:r w:rsidRPr="00780FAB">
        <w:rPr>
          <w:rFonts w:ascii="Times New Roman" w:hAnsi="Times New Roman" w:cs="Times New Roman"/>
          <w:sz w:val="24"/>
          <w:szCs w:val="24"/>
        </w:rPr>
        <w:t xml:space="preserve"> окружающей среды, как правило, не могут существенно повлиять</w:t>
      </w:r>
      <w:r w:rsidR="00652CF6" w:rsidRPr="00780FAB">
        <w:rPr>
          <w:rFonts w:ascii="Times New Roman" w:hAnsi="Times New Roman" w:cs="Times New Roman"/>
          <w:sz w:val="24"/>
          <w:szCs w:val="24"/>
        </w:rPr>
        <w:t xml:space="preserve"> на нее</w:t>
      </w:r>
      <w:r w:rsidRPr="00780FAB">
        <w:rPr>
          <w:rFonts w:ascii="Times New Roman" w:hAnsi="Times New Roman" w:cs="Times New Roman"/>
          <w:sz w:val="24"/>
          <w:szCs w:val="24"/>
        </w:rPr>
        <w:t xml:space="preserve">, независимо от силы компании. </w:t>
      </w:r>
      <w:r w:rsidR="00652CF6" w:rsidRPr="00780FAB">
        <w:rPr>
          <w:rFonts w:ascii="Times New Roman" w:hAnsi="Times New Roman" w:cs="Times New Roman"/>
          <w:sz w:val="24"/>
          <w:szCs w:val="24"/>
        </w:rPr>
        <w:t>Это, прежде всего, так называемые</w:t>
      </w:r>
      <w:r w:rsidRPr="00780FAB">
        <w:rPr>
          <w:rFonts w:ascii="Times New Roman" w:hAnsi="Times New Roman" w:cs="Times New Roman"/>
          <w:sz w:val="24"/>
          <w:szCs w:val="24"/>
        </w:rPr>
        <w:t xml:space="preserve"> институциональные факторы, среди которых наиболее важными</w:t>
      </w:r>
      <w:r w:rsidR="00652CF6" w:rsidRPr="00780FAB">
        <w:rPr>
          <w:rFonts w:ascii="Times New Roman" w:hAnsi="Times New Roman" w:cs="Times New Roman"/>
          <w:sz w:val="24"/>
          <w:szCs w:val="24"/>
        </w:rPr>
        <w:t xml:space="preserve"> являются</w:t>
      </w:r>
      <w:r w:rsidRPr="00780FAB">
        <w:rPr>
          <w:rFonts w:ascii="Times New Roman" w:hAnsi="Times New Roman" w:cs="Times New Roman"/>
          <w:sz w:val="24"/>
          <w:szCs w:val="24"/>
        </w:rPr>
        <w:t xml:space="preserve">: политические, экономические, социальные, технологические, правовые и экологические факторы. </w:t>
      </w:r>
      <w:r w:rsidR="00652CF6" w:rsidRPr="00780FAB">
        <w:rPr>
          <w:rFonts w:ascii="Times New Roman" w:hAnsi="Times New Roman" w:cs="Times New Roman"/>
          <w:sz w:val="24"/>
          <w:szCs w:val="24"/>
        </w:rPr>
        <w:t>Одними из</w:t>
      </w:r>
      <w:r w:rsidRPr="00780FAB">
        <w:rPr>
          <w:rFonts w:ascii="Times New Roman" w:hAnsi="Times New Roman" w:cs="Times New Roman"/>
          <w:sz w:val="24"/>
          <w:szCs w:val="24"/>
        </w:rPr>
        <w:t xml:space="preserve"> мер, </w:t>
      </w:r>
      <w:r w:rsidR="00652CF6" w:rsidRPr="00780FAB">
        <w:rPr>
          <w:rFonts w:ascii="Times New Roman" w:hAnsi="Times New Roman" w:cs="Times New Roman"/>
          <w:sz w:val="24"/>
          <w:szCs w:val="24"/>
        </w:rPr>
        <w:t>которые</w:t>
      </w:r>
      <w:r w:rsidRPr="00780FAB">
        <w:rPr>
          <w:rFonts w:ascii="Times New Roman" w:hAnsi="Times New Roman" w:cs="Times New Roman"/>
          <w:sz w:val="24"/>
          <w:szCs w:val="24"/>
        </w:rPr>
        <w:t xml:space="preserve"> </w:t>
      </w:r>
      <w:r w:rsidR="00652CF6" w:rsidRPr="00780FAB">
        <w:rPr>
          <w:rFonts w:ascii="Times New Roman" w:hAnsi="Times New Roman" w:cs="Times New Roman"/>
          <w:sz w:val="24"/>
          <w:szCs w:val="24"/>
        </w:rPr>
        <w:t xml:space="preserve">следует принимать фармацевтическим компаниям </w:t>
      </w:r>
      <w:r w:rsidRPr="00780FAB">
        <w:rPr>
          <w:rFonts w:ascii="Times New Roman" w:hAnsi="Times New Roman" w:cs="Times New Roman"/>
          <w:sz w:val="24"/>
          <w:szCs w:val="24"/>
        </w:rPr>
        <w:t xml:space="preserve">являются: </w:t>
      </w:r>
    </w:p>
    <w:p w:rsidR="00652CF6" w:rsidRPr="00780FAB" w:rsidRDefault="00FF6961" w:rsidP="00780FAB">
      <w:pPr>
        <w:pStyle w:val="a5"/>
        <w:numPr>
          <w:ilvl w:val="0"/>
          <w:numId w:val="9"/>
        </w:numPr>
        <w:tabs>
          <w:tab w:val="left" w:pos="851"/>
        </w:tabs>
        <w:spacing w:after="0" w:line="240" w:lineRule="auto"/>
        <w:ind w:left="0" w:firstLine="426"/>
        <w:jc w:val="both"/>
        <w:rPr>
          <w:rFonts w:ascii="Times New Roman" w:hAnsi="Times New Roman" w:cs="Times New Roman"/>
          <w:sz w:val="24"/>
          <w:szCs w:val="24"/>
        </w:rPr>
      </w:pPr>
      <w:r w:rsidRPr="00780FAB">
        <w:rPr>
          <w:rFonts w:ascii="Times New Roman" w:hAnsi="Times New Roman" w:cs="Times New Roman"/>
          <w:sz w:val="24"/>
          <w:szCs w:val="24"/>
        </w:rPr>
        <w:t>увеличение инвестиций в технологическую инфраструктуру и компьютеризаци</w:t>
      </w:r>
      <w:r w:rsidR="00652CF6" w:rsidRPr="00780FAB">
        <w:rPr>
          <w:rFonts w:ascii="Times New Roman" w:hAnsi="Times New Roman" w:cs="Times New Roman"/>
          <w:sz w:val="24"/>
          <w:szCs w:val="24"/>
        </w:rPr>
        <w:t>ю</w:t>
      </w:r>
      <w:r w:rsidRPr="00780FAB">
        <w:rPr>
          <w:rFonts w:ascii="Times New Roman" w:hAnsi="Times New Roman" w:cs="Times New Roman"/>
          <w:sz w:val="24"/>
          <w:szCs w:val="24"/>
        </w:rPr>
        <w:t xml:space="preserve"> бизнеса, </w:t>
      </w:r>
    </w:p>
    <w:p w:rsidR="00652CF6" w:rsidRPr="00780FAB" w:rsidRDefault="00FF6961" w:rsidP="00780FAB">
      <w:pPr>
        <w:pStyle w:val="a5"/>
        <w:numPr>
          <w:ilvl w:val="0"/>
          <w:numId w:val="9"/>
        </w:numPr>
        <w:tabs>
          <w:tab w:val="left" w:pos="851"/>
        </w:tabs>
        <w:spacing w:after="0" w:line="240" w:lineRule="auto"/>
        <w:ind w:left="0" w:firstLine="426"/>
        <w:jc w:val="both"/>
        <w:rPr>
          <w:rFonts w:ascii="Times New Roman" w:hAnsi="Times New Roman" w:cs="Times New Roman"/>
          <w:sz w:val="24"/>
          <w:szCs w:val="24"/>
        </w:rPr>
      </w:pPr>
      <w:r w:rsidRPr="00780FAB">
        <w:rPr>
          <w:rFonts w:ascii="Times New Roman" w:hAnsi="Times New Roman" w:cs="Times New Roman"/>
          <w:sz w:val="24"/>
          <w:szCs w:val="24"/>
        </w:rPr>
        <w:t xml:space="preserve">увеличение инвестиций в образование сотрудников, </w:t>
      </w:r>
    </w:p>
    <w:p w:rsidR="00652CF6" w:rsidRPr="00780FAB" w:rsidRDefault="00FF6961" w:rsidP="00780FAB">
      <w:pPr>
        <w:pStyle w:val="a5"/>
        <w:numPr>
          <w:ilvl w:val="0"/>
          <w:numId w:val="9"/>
        </w:numPr>
        <w:tabs>
          <w:tab w:val="left" w:pos="851"/>
        </w:tabs>
        <w:spacing w:after="0" w:line="240" w:lineRule="auto"/>
        <w:ind w:left="0" w:firstLine="426"/>
        <w:jc w:val="both"/>
        <w:rPr>
          <w:rFonts w:ascii="Times New Roman" w:hAnsi="Times New Roman" w:cs="Times New Roman"/>
          <w:sz w:val="24"/>
          <w:szCs w:val="24"/>
        </w:rPr>
      </w:pPr>
      <w:r w:rsidRPr="00780FAB">
        <w:rPr>
          <w:rFonts w:ascii="Times New Roman" w:hAnsi="Times New Roman" w:cs="Times New Roman"/>
          <w:sz w:val="24"/>
          <w:szCs w:val="24"/>
        </w:rPr>
        <w:t>созда</w:t>
      </w:r>
      <w:r w:rsidR="00652CF6" w:rsidRPr="00780FAB">
        <w:rPr>
          <w:rFonts w:ascii="Times New Roman" w:hAnsi="Times New Roman" w:cs="Times New Roman"/>
          <w:sz w:val="24"/>
          <w:szCs w:val="24"/>
        </w:rPr>
        <w:t>ние</w:t>
      </w:r>
      <w:r w:rsidRPr="00780FAB">
        <w:rPr>
          <w:rFonts w:ascii="Times New Roman" w:hAnsi="Times New Roman" w:cs="Times New Roman"/>
          <w:sz w:val="24"/>
          <w:szCs w:val="24"/>
        </w:rPr>
        <w:t xml:space="preserve"> услови</w:t>
      </w:r>
      <w:r w:rsidR="00652CF6" w:rsidRPr="00780FAB">
        <w:rPr>
          <w:rFonts w:ascii="Times New Roman" w:hAnsi="Times New Roman" w:cs="Times New Roman"/>
          <w:sz w:val="24"/>
          <w:szCs w:val="24"/>
        </w:rPr>
        <w:t>й</w:t>
      </w:r>
      <w:r w:rsidRPr="00780FAB">
        <w:rPr>
          <w:rFonts w:ascii="Times New Roman" w:hAnsi="Times New Roman" w:cs="Times New Roman"/>
          <w:sz w:val="24"/>
          <w:szCs w:val="24"/>
        </w:rPr>
        <w:t xml:space="preserve"> для ведения бизнеса в </w:t>
      </w:r>
      <w:r w:rsidR="00652CF6" w:rsidRPr="00780FAB">
        <w:rPr>
          <w:rFonts w:ascii="Times New Roman" w:hAnsi="Times New Roman" w:cs="Times New Roman"/>
          <w:sz w:val="24"/>
          <w:szCs w:val="24"/>
        </w:rPr>
        <w:t>за рубежом</w:t>
      </w:r>
      <w:r w:rsidRPr="00780FAB">
        <w:rPr>
          <w:rFonts w:ascii="Times New Roman" w:hAnsi="Times New Roman" w:cs="Times New Roman"/>
          <w:sz w:val="24"/>
          <w:szCs w:val="24"/>
        </w:rPr>
        <w:t xml:space="preserve">, </w:t>
      </w:r>
    </w:p>
    <w:p w:rsidR="00652CF6" w:rsidRPr="00780FAB" w:rsidRDefault="00FF6961" w:rsidP="00780FAB">
      <w:pPr>
        <w:pStyle w:val="a5"/>
        <w:numPr>
          <w:ilvl w:val="0"/>
          <w:numId w:val="9"/>
        </w:numPr>
        <w:tabs>
          <w:tab w:val="left" w:pos="851"/>
        </w:tabs>
        <w:spacing w:after="0" w:line="240" w:lineRule="auto"/>
        <w:ind w:left="0" w:firstLine="426"/>
        <w:jc w:val="both"/>
        <w:rPr>
          <w:rFonts w:ascii="Times New Roman" w:hAnsi="Times New Roman" w:cs="Times New Roman"/>
          <w:sz w:val="24"/>
          <w:szCs w:val="24"/>
        </w:rPr>
      </w:pPr>
      <w:r w:rsidRPr="00780FAB">
        <w:rPr>
          <w:rFonts w:ascii="Times New Roman" w:hAnsi="Times New Roman" w:cs="Times New Roman"/>
          <w:sz w:val="24"/>
          <w:szCs w:val="24"/>
        </w:rPr>
        <w:t>создавать партнерства, субподрядны</w:t>
      </w:r>
      <w:r w:rsidR="00652CF6" w:rsidRPr="00780FAB">
        <w:rPr>
          <w:rFonts w:ascii="Times New Roman" w:hAnsi="Times New Roman" w:cs="Times New Roman"/>
          <w:sz w:val="24"/>
          <w:szCs w:val="24"/>
        </w:rPr>
        <w:t>е</w:t>
      </w:r>
      <w:r w:rsidRPr="00780FAB">
        <w:rPr>
          <w:rFonts w:ascii="Times New Roman" w:hAnsi="Times New Roman" w:cs="Times New Roman"/>
          <w:sz w:val="24"/>
          <w:szCs w:val="24"/>
        </w:rPr>
        <w:t xml:space="preserve"> отношени</w:t>
      </w:r>
      <w:r w:rsidR="00652CF6" w:rsidRPr="00780FAB">
        <w:rPr>
          <w:rFonts w:ascii="Times New Roman" w:hAnsi="Times New Roman" w:cs="Times New Roman"/>
          <w:sz w:val="24"/>
          <w:szCs w:val="24"/>
        </w:rPr>
        <w:t>я</w:t>
      </w:r>
      <w:r w:rsidRPr="00780FAB">
        <w:rPr>
          <w:rFonts w:ascii="Times New Roman" w:hAnsi="Times New Roman" w:cs="Times New Roman"/>
          <w:sz w:val="24"/>
          <w:szCs w:val="24"/>
        </w:rPr>
        <w:t xml:space="preserve"> с поставщиками, </w:t>
      </w:r>
    </w:p>
    <w:p w:rsidR="00652CF6" w:rsidRPr="00780FAB" w:rsidRDefault="00FF6961" w:rsidP="00780FAB">
      <w:pPr>
        <w:pStyle w:val="a5"/>
        <w:numPr>
          <w:ilvl w:val="0"/>
          <w:numId w:val="9"/>
        </w:numPr>
        <w:tabs>
          <w:tab w:val="left" w:pos="851"/>
        </w:tabs>
        <w:spacing w:after="0" w:line="240" w:lineRule="auto"/>
        <w:ind w:left="0" w:firstLine="426"/>
        <w:jc w:val="both"/>
        <w:rPr>
          <w:rFonts w:ascii="Times New Roman" w:hAnsi="Times New Roman" w:cs="Times New Roman"/>
          <w:sz w:val="24"/>
          <w:szCs w:val="24"/>
        </w:rPr>
      </w:pPr>
      <w:r w:rsidRPr="00780FAB">
        <w:rPr>
          <w:rFonts w:ascii="Times New Roman" w:hAnsi="Times New Roman" w:cs="Times New Roman"/>
          <w:sz w:val="24"/>
          <w:szCs w:val="24"/>
        </w:rPr>
        <w:t>старат</w:t>
      </w:r>
      <w:r w:rsidR="00652CF6" w:rsidRPr="00780FAB">
        <w:rPr>
          <w:rFonts w:ascii="Times New Roman" w:hAnsi="Times New Roman" w:cs="Times New Roman"/>
          <w:sz w:val="24"/>
          <w:szCs w:val="24"/>
        </w:rPr>
        <w:t>ь</w:t>
      </w:r>
      <w:r w:rsidRPr="00780FAB">
        <w:rPr>
          <w:rFonts w:ascii="Times New Roman" w:hAnsi="Times New Roman" w:cs="Times New Roman"/>
          <w:sz w:val="24"/>
          <w:szCs w:val="24"/>
        </w:rPr>
        <w:t xml:space="preserve">ся специализироваться в </w:t>
      </w:r>
      <w:r w:rsidR="00652CF6" w:rsidRPr="00780FAB">
        <w:rPr>
          <w:rFonts w:ascii="Times New Roman" w:hAnsi="Times New Roman" w:cs="Times New Roman"/>
          <w:sz w:val="24"/>
          <w:szCs w:val="24"/>
        </w:rPr>
        <w:t>нескольких</w:t>
      </w:r>
      <w:r w:rsidRPr="00780FAB">
        <w:rPr>
          <w:rFonts w:ascii="Times New Roman" w:hAnsi="Times New Roman" w:cs="Times New Roman"/>
          <w:sz w:val="24"/>
          <w:szCs w:val="24"/>
        </w:rPr>
        <w:t xml:space="preserve"> сегментах рынка</w:t>
      </w:r>
      <w:r w:rsidR="00652CF6" w:rsidRPr="00780FAB">
        <w:rPr>
          <w:rFonts w:ascii="Times New Roman" w:hAnsi="Times New Roman" w:cs="Times New Roman"/>
          <w:sz w:val="24"/>
          <w:szCs w:val="24"/>
        </w:rPr>
        <w:t xml:space="preserve"> для применения эффекта масштаба</w:t>
      </w:r>
      <w:r w:rsidRPr="00780FAB">
        <w:rPr>
          <w:rFonts w:ascii="Times New Roman" w:hAnsi="Times New Roman" w:cs="Times New Roman"/>
          <w:sz w:val="24"/>
          <w:szCs w:val="24"/>
        </w:rPr>
        <w:t xml:space="preserve">. </w:t>
      </w:r>
    </w:p>
    <w:p w:rsidR="00A55D02" w:rsidRPr="00780FAB" w:rsidRDefault="00E03C78" w:rsidP="00780FAB">
      <w:pPr>
        <w:spacing w:after="0" w:line="240" w:lineRule="auto"/>
        <w:ind w:firstLine="426"/>
        <w:contextualSpacing/>
        <w:jc w:val="both"/>
        <w:rPr>
          <w:rFonts w:ascii="Times New Roman" w:hAnsi="Times New Roman" w:cs="Times New Roman"/>
          <w:sz w:val="24"/>
          <w:szCs w:val="24"/>
        </w:rPr>
      </w:pPr>
      <w:r w:rsidRPr="00780FAB">
        <w:rPr>
          <w:rFonts w:ascii="Times New Roman" w:hAnsi="Times New Roman" w:cs="Times New Roman"/>
          <w:sz w:val="24"/>
          <w:szCs w:val="24"/>
        </w:rPr>
        <w:t>Управление предприятием или управление компаниями только в исключительных случаях могут быть основаны на интуиции. Управление  должно быть выполнено обоснованно, на основе соответствующей информации и аналитической подготовки и поддержки, для того, чтобы своевременно регулировать ситуацию на рынке, которая постоянно и быстро меняется, или добиться успеха, чтобы оставаться конкурентоспособным в условиях кризиса. В этом смысле, важно подчеркнуть значимость  бизнес - анализа (оперативного и стратегического), который предоставляет финансовые и нефинансовые данные, обеспечивает уникальной информацией и объективной основой для соответствующих решений.</w:t>
      </w:r>
    </w:p>
    <w:sectPr w:rsidR="00A55D02" w:rsidRPr="00780FAB" w:rsidSect="00780FAB">
      <w:footerReference w:type="default" r:id="rId14"/>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64" w:rsidRDefault="00B57064" w:rsidP="00780FAB">
      <w:pPr>
        <w:spacing w:after="0" w:line="240" w:lineRule="auto"/>
      </w:pPr>
      <w:r>
        <w:separator/>
      </w:r>
    </w:p>
  </w:endnote>
  <w:endnote w:type="continuationSeparator" w:id="0">
    <w:p w:rsidR="00B57064" w:rsidRDefault="00B57064" w:rsidP="0078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7776"/>
      <w:docPartObj>
        <w:docPartGallery w:val="Page Numbers (Bottom of Page)"/>
        <w:docPartUnique/>
      </w:docPartObj>
    </w:sdtPr>
    <w:sdtEndPr/>
    <w:sdtContent>
      <w:p w:rsidR="00780FAB" w:rsidRDefault="00F436A7">
        <w:pPr>
          <w:pStyle w:val="af"/>
          <w:jc w:val="center"/>
        </w:pPr>
        <w:r w:rsidRPr="00780FAB">
          <w:rPr>
            <w:rFonts w:ascii="Times New Roman" w:hAnsi="Times New Roman" w:cs="Times New Roman"/>
          </w:rPr>
          <w:fldChar w:fldCharType="begin"/>
        </w:r>
        <w:r w:rsidR="00780FAB" w:rsidRPr="00780FAB">
          <w:rPr>
            <w:rFonts w:ascii="Times New Roman" w:hAnsi="Times New Roman" w:cs="Times New Roman"/>
          </w:rPr>
          <w:instrText xml:space="preserve"> PAGE   \* MERGEFORMAT </w:instrText>
        </w:r>
        <w:r w:rsidRPr="00780FAB">
          <w:rPr>
            <w:rFonts w:ascii="Times New Roman" w:hAnsi="Times New Roman" w:cs="Times New Roman"/>
          </w:rPr>
          <w:fldChar w:fldCharType="separate"/>
        </w:r>
        <w:r w:rsidR="00D34173">
          <w:rPr>
            <w:rFonts w:ascii="Times New Roman" w:hAnsi="Times New Roman" w:cs="Times New Roman"/>
            <w:noProof/>
          </w:rPr>
          <w:t>1</w:t>
        </w:r>
        <w:r w:rsidRPr="00780FAB">
          <w:rPr>
            <w:rFonts w:ascii="Times New Roman" w:hAnsi="Times New Roman" w:cs="Times New Roman"/>
          </w:rPr>
          <w:fldChar w:fldCharType="end"/>
        </w:r>
      </w:p>
    </w:sdtContent>
  </w:sdt>
  <w:p w:rsidR="00780FAB" w:rsidRDefault="00780FA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64" w:rsidRDefault="00B57064" w:rsidP="00780FAB">
      <w:pPr>
        <w:spacing w:after="0" w:line="240" w:lineRule="auto"/>
      </w:pPr>
      <w:r>
        <w:separator/>
      </w:r>
    </w:p>
  </w:footnote>
  <w:footnote w:type="continuationSeparator" w:id="0">
    <w:p w:rsidR="00B57064" w:rsidRDefault="00B57064" w:rsidP="00780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B48"/>
    <w:multiLevelType w:val="hybridMultilevel"/>
    <w:tmpl w:val="D3CEF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45B5A"/>
    <w:multiLevelType w:val="hybridMultilevel"/>
    <w:tmpl w:val="AA446C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5B691E"/>
    <w:multiLevelType w:val="hybridMultilevel"/>
    <w:tmpl w:val="E74E4BE8"/>
    <w:lvl w:ilvl="0" w:tplc="853E07BC">
      <w:start w:val="5"/>
      <w:numFmt w:val="decimal"/>
      <w:lvlText w:val="%1."/>
      <w:lvlJc w:val="left"/>
      <w:pPr>
        <w:ind w:left="927" w:hanging="360"/>
      </w:pPr>
      <w:rPr>
        <w:rFonts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8766B"/>
    <w:multiLevelType w:val="hybridMultilevel"/>
    <w:tmpl w:val="3C6C4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2A17F6"/>
    <w:multiLevelType w:val="hybridMultilevel"/>
    <w:tmpl w:val="7AF0C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00756D"/>
    <w:multiLevelType w:val="hybridMultilevel"/>
    <w:tmpl w:val="2F14A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843C3"/>
    <w:multiLevelType w:val="hybridMultilevel"/>
    <w:tmpl w:val="0AE8C958"/>
    <w:lvl w:ilvl="0" w:tplc="E834C16A">
      <w:start w:val="1"/>
      <w:numFmt w:val="decimal"/>
      <w:lvlText w:val="%1."/>
      <w:lvlJc w:val="left"/>
      <w:pPr>
        <w:ind w:left="927" w:hanging="360"/>
      </w:pPr>
      <w:rPr>
        <w:rFonts w:hint="default"/>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BB2354B"/>
    <w:multiLevelType w:val="hybridMultilevel"/>
    <w:tmpl w:val="6186CBDC"/>
    <w:lvl w:ilvl="0" w:tplc="9580B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27184E"/>
    <w:multiLevelType w:val="multilevel"/>
    <w:tmpl w:val="3374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973444"/>
    <w:multiLevelType w:val="hybridMultilevel"/>
    <w:tmpl w:val="8D7A03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7A181F"/>
    <w:multiLevelType w:val="hybridMultilevel"/>
    <w:tmpl w:val="1658A6D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nsid w:val="74E256F9"/>
    <w:multiLevelType w:val="hybridMultilevel"/>
    <w:tmpl w:val="21F2A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F1773D"/>
    <w:multiLevelType w:val="hybridMultilevel"/>
    <w:tmpl w:val="7E585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5"/>
  </w:num>
  <w:num w:numId="6">
    <w:abstractNumId w:val="0"/>
  </w:num>
  <w:num w:numId="7">
    <w:abstractNumId w:val="11"/>
  </w:num>
  <w:num w:numId="8">
    <w:abstractNumId w:val="8"/>
  </w:num>
  <w:num w:numId="9">
    <w:abstractNumId w:val="12"/>
  </w:num>
  <w:num w:numId="10">
    <w:abstractNumId w:val="10"/>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04"/>
    <w:rsid w:val="000468DF"/>
    <w:rsid w:val="000A21B5"/>
    <w:rsid w:val="000E13BA"/>
    <w:rsid w:val="000F00E8"/>
    <w:rsid w:val="000F097A"/>
    <w:rsid w:val="00127085"/>
    <w:rsid w:val="001425BE"/>
    <w:rsid w:val="001C3A49"/>
    <w:rsid w:val="001C40A8"/>
    <w:rsid w:val="00255806"/>
    <w:rsid w:val="00264802"/>
    <w:rsid w:val="00277604"/>
    <w:rsid w:val="00294AE2"/>
    <w:rsid w:val="002D20E5"/>
    <w:rsid w:val="00323FDF"/>
    <w:rsid w:val="00347135"/>
    <w:rsid w:val="00353AD1"/>
    <w:rsid w:val="003B1EFC"/>
    <w:rsid w:val="003B2EE3"/>
    <w:rsid w:val="003C537B"/>
    <w:rsid w:val="00430CEF"/>
    <w:rsid w:val="004337EB"/>
    <w:rsid w:val="004E3116"/>
    <w:rsid w:val="005E1EE3"/>
    <w:rsid w:val="00602691"/>
    <w:rsid w:val="00652CF6"/>
    <w:rsid w:val="006A312B"/>
    <w:rsid w:val="006C75D0"/>
    <w:rsid w:val="00780FAB"/>
    <w:rsid w:val="00797776"/>
    <w:rsid w:val="007D24AD"/>
    <w:rsid w:val="007E692F"/>
    <w:rsid w:val="0081758E"/>
    <w:rsid w:val="00832570"/>
    <w:rsid w:val="008569CC"/>
    <w:rsid w:val="00863D04"/>
    <w:rsid w:val="008F5A03"/>
    <w:rsid w:val="0091646F"/>
    <w:rsid w:val="00931DB4"/>
    <w:rsid w:val="009A6FC0"/>
    <w:rsid w:val="00A24921"/>
    <w:rsid w:val="00A55D02"/>
    <w:rsid w:val="00A668B3"/>
    <w:rsid w:val="00A84865"/>
    <w:rsid w:val="00AD0FF1"/>
    <w:rsid w:val="00B062EA"/>
    <w:rsid w:val="00B20CB5"/>
    <w:rsid w:val="00B57064"/>
    <w:rsid w:val="00B62C9D"/>
    <w:rsid w:val="00B85205"/>
    <w:rsid w:val="00B935DE"/>
    <w:rsid w:val="00CC6B4A"/>
    <w:rsid w:val="00D20EF3"/>
    <w:rsid w:val="00D30E9C"/>
    <w:rsid w:val="00D34173"/>
    <w:rsid w:val="00D440A2"/>
    <w:rsid w:val="00D54FCA"/>
    <w:rsid w:val="00D62D6E"/>
    <w:rsid w:val="00D676E6"/>
    <w:rsid w:val="00D72479"/>
    <w:rsid w:val="00DC015B"/>
    <w:rsid w:val="00DF2775"/>
    <w:rsid w:val="00E03C78"/>
    <w:rsid w:val="00E3333B"/>
    <w:rsid w:val="00E4355D"/>
    <w:rsid w:val="00EB0053"/>
    <w:rsid w:val="00ED043F"/>
    <w:rsid w:val="00F11603"/>
    <w:rsid w:val="00F218C6"/>
    <w:rsid w:val="00F31002"/>
    <w:rsid w:val="00F3513A"/>
    <w:rsid w:val="00F4282D"/>
    <w:rsid w:val="00F436A7"/>
    <w:rsid w:val="00F50AD3"/>
    <w:rsid w:val="00F5790F"/>
    <w:rsid w:val="00FB5A52"/>
    <w:rsid w:val="00FD225C"/>
    <w:rsid w:val="00FE1642"/>
    <w:rsid w:val="00FF5277"/>
    <w:rsid w:val="00FF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1C975-E3B9-42C3-B3AD-314508C1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0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3D04"/>
    <w:rPr>
      <w:color w:val="0000FF" w:themeColor="hyperlink"/>
      <w:u w:val="single"/>
    </w:rPr>
  </w:style>
  <w:style w:type="character" w:customStyle="1" w:styleId="a4">
    <w:name w:val="Основной текст_"/>
    <w:basedOn w:val="a0"/>
    <w:link w:val="3"/>
    <w:rsid w:val="00931DB4"/>
    <w:rPr>
      <w:rFonts w:ascii="Times New Roman" w:eastAsia="Times New Roman" w:hAnsi="Times New Roman" w:cs="Times New Roman"/>
      <w:sz w:val="19"/>
      <w:szCs w:val="19"/>
      <w:shd w:val="clear" w:color="auto" w:fill="FFFFFF"/>
    </w:rPr>
  </w:style>
  <w:style w:type="character" w:customStyle="1" w:styleId="75pt">
    <w:name w:val="Основной текст + 7;5 pt;Полужирный"/>
    <w:basedOn w:val="a4"/>
    <w:rsid w:val="00931DB4"/>
    <w:rPr>
      <w:rFonts w:ascii="Times New Roman" w:eastAsia="Times New Roman" w:hAnsi="Times New Roman" w:cs="Times New Roman"/>
      <w:b/>
      <w:bCs/>
      <w:color w:val="000000"/>
      <w:spacing w:val="0"/>
      <w:w w:val="100"/>
      <w:position w:val="0"/>
      <w:sz w:val="15"/>
      <w:szCs w:val="15"/>
      <w:shd w:val="clear" w:color="auto" w:fill="FFFFFF"/>
      <w:lang w:val="en-US"/>
    </w:rPr>
  </w:style>
  <w:style w:type="character" w:customStyle="1" w:styleId="85pt">
    <w:name w:val="Основной текст + 8;5 pt"/>
    <w:basedOn w:val="a4"/>
    <w:rsid w:val="00931DB4"/>
    <w:rPr>
      <w:rFonts w:ascii="Times New Roman" w:eastAsia="Times New Roman" w:hAnsi="Times New Roman" w:cs="Times New Roman"/>
      <w:color w:val="000000"/>
      <w:spacing w:val="0"/>
      <w:w w:val="100"/>
      <w:position w:val="0"/>
      <w:sz w:val="17"/>
      <w:szCs w:val="17"/>
      <w:shd w:val="clear" w:color="auto" w:fill="FFFFFF"/>
      <w:lang w:val="en-US"/>
    </w:rPr>
  </w:style>
  <w:style w:type="paragraph" w:customStyle="1" w:styleId="3">
    <w:name w:val="Основной текст3"/>
    <w:basedOn w:val="a"/>
    <w:link w:val="a4"/>
    <w:rsid w:val="00931DB4"/>
    <w:pPr>
      <w:widowControl w:val="0"/>
      <w:shd w:val="clear" w:color="auto" w:fill="FFFFFF"/>
      <w:spacing w:before="240" w:after="240" w:line="240" w:lineRule="exact"/>
      <w:ind w:hanging="360"/>
    </w:pPr>
    <w:rPr>
      <w:rFonts w:ascii="Times New Roman" w:eastAsia="Times New Roman" w:hAnsi="Times New Roman" w:cs="Times New Roman"/>
      <w:sz w:val="19"/>
      <w:szCs w:val="19"/>
    </w:rPr>
  </w:style>
  <w:style w:type="character" w:customStyle="1" w:styleId="LucidaSansUnicode75pt">
    <w:name w:val="Основной текст + Lucida Sans Unicode;7;5 pt"/>
    <w:basedOn w:val="a4"/>
    <w:rsid w:val="00DC015B"/>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shd w:val="clear" w:color="auto" w:fill="FFFFFF"/>
    </w:rPr>
  </w:style>
  <w:style w:type="character" w:customStyle="1" w:styleId="ArialUnicodeMS105pt">
    <w:name w:val="Основной текст + Arial Unicode MS;10;5 pt"/>
    <w:basedOn w:val="a4"/>
    <w:rsid w:val="00DC015B"/>
    <w:rPr>
      <w:rFonts w:ascii="Arial Unicode MS" w:eastAsia="Arial Unicode MS" w:hAnsi="Arial Unicode MS" w:cs="Arial Unicode MS"/>
      <w:b w:val="0"/>
      <w:bCs w:val="0"/>
      <w:i w:val="0"/>
      <w:iCs w:val="0"/>
      <w:smallCaps w:val="0"/>
      <w:strike w:val="0"/>
      <w:color w:val="000000"/>
      <w:spacing w:val="0"/>
      <w:w w:val="100"/>
      <w:position w:val="0"/>
      <w:sz w:val="21"/>
      <w:szCs w:val="21"/>
      <w:u w:val="none"/>
      <w:shd w:val="clear" w:color="auto" w:fill="FFFFFF"/>
    </w:rPr>
  </w:style>
  <w:style w:type="character" w:customStyle="1" w:styleId="9pt">
    <w:name w:val="Основной текст + 9 pt;Курсив"/>
    <w:basedOn w:val="a4"/>
    <w:rsid w:val="001425B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en-US"/>
    </w:rPr>
  </w:style>
  <w:style w:type="character" w:customStyle="1" w:styleId="LucidaSansUnicode8pt">
    <w:name w:val="Основной текст + Lucida Sans Unicode;8 pt"/>
    <w:basedOn w:val="a4"/>
    <w:rsid w:val="001425B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rPr>
  </w:style>
  <w:style w:type="character" w:customStyle="1" w:styleId="ArialUnicodeMS11pt">
    <w:name w:val="Основной текст + Arial Unicode MS;11 pt"/>
    <w:basedOn w:val="a4"/>
    <w:rsid w:val="001425BE"/>
    <w:rPr>
      <w:rFonts w:ascii="Arial Unicode MS" w:eastAsia="Arial Unicode MS" w:hAnsi="Arial Unicode MS" w:cs="Arial Unicode MS"/>
      <w:b w:val="0"/>
      <w:bCs w:val="0"/>
      <w:i w:val="0"/>
      <w:iCs w:val="0"/>
      <w:smallCaps w:val="0"/>
      <w:strike w:val="0"/>
      <w:color w:val="000000"/>
      <w:spacing w:val="0"/>
      <w:w w:val="100"/>
      <w:position w:val="0"/>
      <w:sz w:val="22"/>
      <w:szCs w:val="22"/>
      <w:u w:val="none"/>
      <w:shd w:val="clear" w:color="auto" w:fill="FFFFFF"/>
    </w:rPr>
  </w:style>
  <w:style w:type="paragraph" w:styleId="a5">
    <w:name w:val="List Paragraph"/>
    <w:basedOn w:val="a"/>
    <w:uiPriority w:val="99"/>
    <w:qFormat/>
    <w:rsid w:val="001425BE"/>
    <w:pPr>
      <w:ind w:left="720"/>
      <w:contextualSpacing/>
    </w:pPr>
  </w:style>
  <w:style w:type="table" w:styleId="a6">
    <w:name w:val="Table Grid"/>
    <w:basedOn w:val="a1"/>
    <w:uiPriority w:val="59"/>
    <w:rsid w:val="00A84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dated-short-citation">
    <w:name w:val="updated-short-citation"/>
    <w:basedOn w:val="a0"/>
    <w:rsid w:val="00F11603"/>
  </w:style>
  <w:style w:type="character" w:customStyle="1" w:styleId="apple-converted-space">
    <w:name w:val="apple-converted-space"/>
    <w:basedOn w:val="a0"/>
    <w:rsid w:val="00F11603"/>
  </w:style>
  <w:style w:type="paragraph" w:styleId="a7">
    <w:name w:val="Normal (Web)"/>
    <w:basedOn w:val="a"/>
    <w:uiPriority w:val="99"/>
    <w:unhideWhenUsed/>
    <w:rsid w:val="00EB0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B00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0053"/>
    <w:rPr>
      <w:rFonts w:ascii="Tahoma" w:hAnsi="Tahoma" w:cs="Tahoma"/>
      <w:sz w:val="16"/>
      <w:szCs w:val="16"/>
    </w:rPr>
  </w:style>
  <w:style w:type="paragraph" w:styleId="aa">
    <w:name w:val="Body Text Indent"/>
    <w:basedOn w:val="a"/>
    <w:link w:val="ab"/>
    <w:uiPriority w:val="99"/>
    <w:semiHidden/>
    <w:rsid w:val="00780FAB"/>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uiPriority w:val="99"/>
    <w:semiHidden/>
    <w:rsid w:val="00780FAB"/>
    <w:rPr>
      <w:rFonts w:ascii="Times New Roman" w:eastAsia="Times New Roman" w:hAnsi="Times New Roman" w:cs="Times New Roman"/>
      <w:sz w:val="24"/>
      <w:szCs w:val="20"/>
      <w:lang w:eastAsia="ru-RU"/>
    </w:rPr>
  </w:style>
  <w:style w:type="character" w:customStyle="1" w:styleId="longtext">
    <w:name w:val="long_text"/>
    <w:basedOn w:val="a0"/>
    <w:uiPriority w:val="99"/>
    <w:rsid w:val="00780FAB"/>
    <w:rPr>
      <w:rFonts w:cs="Times New Roman"/>
    </w:rPr>
  </w:style>
  <w:style w:type="paragraph" w:customStyle="1" w:styleId="ac">
    <w:name w:val="відомості про автора"/>
    <w:basedOn w:val="a"/>
    <w:uiPriority w:val="99"/>
    <w:rsid w:val="00780FAB"/>
    <w:pPr>
      <w:spacing w:after="0" w:line="312" w:lineRule="auto"/>
    </w:pPr>
    <w:rPr>
      <w:rFonts w:ascii="Times New Roman" w:eastAsia="Times New Roman" w:hAnsi="Times New Roman" w:cs="Times New Roman"/>
      <w:sz w:val="28"/>
      <w:szCs w:val="28"/>
      <w:lang w:eastAsia="ru-RU"/>
    </w:rPr>
  </w:style>
  <w:style w:type="paragraph" w:styleId="ad">
    <w:name w:val="header"/>
    <w:basedOn w:val="a"/>
    <w:link w:val="ae"/>
    <w:uiPriority w:val="99"/>
    <w:semiHidden/>
    <w:unhideWhenUsed/>
    <w:rsid w:val="00780FA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80FAB"/>
  </w:style>
  <w:style w:type="paragraph" w:styleId="af">
    <w:name w:val="footer"/>
    <w:basedOn w:val="a"/>
    <w:link w:val="af0"/>
    <w:uiPriority w:val="99"/>
    <w:unhideWhenUsed/>
    <w:rsid w:val="00780F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8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A5C77-A350-4128-B25F-8974A757D048}" type="doc">
      <dgm:prSet loTypeId="urn:microsoft.com/office/officeart/2005/8/layout/radial5" loCatId="relationship" qsTypeId="urn:microsoft.com/office/officeart/2005/8/quickstyle/3d1" qsCatId="3D" csTypeId="urn:microsoft.com/office/officeart/2005/8/colors/colorful3" csCatId="colorful" phldr="1"/>
      <dgm:spPr/>
      <dgm:t>
        <a:bodyPr/>
        <a:lstStyle/>
        <a:p>
          <a:endParaRPr lang="ru-RU"/>
        </a:p>
      </dgm:t>
    </dgm:pt>
    <dgm:pt modelId="{34B95C24-660B-46FD-B1AD-E5CDB9981133}">
      <dgm:prSet phldrT="[Текст]" custT="1"/>
      <dgm:spPr/>
      <dgm:t>
        <a:bodyPr/>
        <a:lstStyle/>
        <a:p>
          <a:r>
            <a:rPr lang="ru-RU" sz="1000" b="1">
              <a:solidFill>
                <a:sysClr val="windowText" lastClr="000000"/>
              </a:solidFill>
              <a:latin typeface="Times New Roman" pitchFamily="18" charset="0"/>
              <a:cs typeface="Times New Roman" pitchFamily="18" charset="0"/>
            </a:rPr>
            <a:t>Силы, действующие на компанию</a:t>
          </a:r>
        </a:p>
      </dgm:t>
    </dgm:pt>
    <dgm:pt modelId="{E9B63B7E-1E07-4493-A358-A01AD763D408}" type="parTrans" cxnId="{82FE09FA-074F-4E31-AB37-D17BBDDAB33E}">
      <dgm:prSet/>
      <dgm:spPr/>
      <dgm:t>
        <a:bodyPr/>
        <a:lstStyle/>
        <a:p>
          <a:endParaRPr lang="ru-RU">
            <a:solidFill>
              <a:sysClr val="windowText" lastClr="000000"/>
            </a:solidFill>
          </a:endParaRPr>
        </a:p>
      </dgm:t>
    </dgm:pt>
    <dgm:pt modelId="{76AC13E7-3288-4582-9E3C-F1DC9F30BBBB}" type="sibTrans" cxnId="{82FE09FA-074F-4E31-AB37-D17BBDDAB33E}">
      <dgm:prSet/>
      <dgm:spPr/>
      <dgm:t>
        <a:bodyPr/>
        <a:lstStyle/>
        <a:p>
          <a:endParaRPr lang="ru-RU">
            <a:solidFill>
              <a:sysClr val="windowText" lastClr="000000"/>
            </a:solidFill>
          </a:endParaRPr>
        </a:p>
      </dgm:t>
    </dgm:pt>
    <dgm:pt modelId="{B7675004-EEF9-4937-8C6E-780E7FA5AE66}">
      <dgm:prSet phldrT="[Текст]" custT="1"/>
      <dgm:spPr/>
      <dgm:t>
        <a:bodyPr/>
        <a:lstStyle/>
        <a:p>
          <a:r>
            <a:rPr lang="ru-RU" sz="1050" b="1" i="1">
              <a:solidFill>
                <a:sysClr val="windowText" lastClr="000000"/>
              </a:solidFill>
              <a:latin typeface="Times New Roman" pitchFamily="18" charset="0"/>
              <a:cs typeface="Times New Roman" pitchFamily="18" charset="0"/>
            </a:rPr>
            <a:t>Рыночная власть покупателей</a:t>
          </a:r>
        </a:p>
        <a:p>
          <a:r>
            <a:rPr lang="ru-RU" sz="900" b="1" i="0">
              <a:solidFill>
                <a:sysClr val="windowText" lastClr="000000"/>
              </a:solidFill>
              <a:latin typeface="Times New Roman" pitchFamily="18" charset="0"/>
              <a:cs typeface="Times New Roman" pitchFamily="18" charset="0"/>
            </a:rPr>
            <a:t>(недостаток </a:t>
          </a:r>
          <a:r>
            <a:rPr lang="ru-RU" sz="900" b="1">
              <a:solidFill>
                <a:sysClr val="windowText" lastClr="000000"/>
              </a:solidFill>
              <a:latin typeface="Times New Roman" pitchFamily="18" charset="0"/>
              <a:cs typeface="Times New Roman" pitchFamily="18" charset="0"/>
            </a:rPr>
            <a:t>информации  для оценки соперничающих ЛС)</a:t>
          </a:r>
        </a:p>
      </dgm:t>
    </dgm:pt>
    <dgm:pt modelId="{BA82763E-1CFE-4556-80A0-521F7104C687}" type="parTrans" cxnId="{D6D830F8-35DE-422F-81B1-3149C1F014B3}">
      <dgm:prSet/>
      <dgm:spPr/>
      <dgm:t>
        <a:bodyPr/>
        <a:lstStyle/>
        <a:p>
          <a:endParaRPr lang="ru-RU">
            <a:solidFill>
              <a:sysClr val="windowText" lastClr="000000"/>
            </a:solidFill>
          </a:endParaRPr>
        </a:p>
      </dgm:t>
    </dgm:pt>
    <dgm:pt modelId="{C5A84617-D4C5-4EC8-BC8E-5BEA0BF5E422}" type="sibTrans" cxnId="{D6D830F8-35DE-422F-81B1-3149C1F014B3}">
      <dgm:prSet/>
      <dgm:spPr/>
      <dgm:t>
        <a:bodyPr/>
        <a:lstStyle/>
        <a:p>
          <a:endParaRPr lang="ru-RU">
            <a:solidFill>
              <a:sysClr val="windowText" lastClr="000000"/>
            </a:solidFill>
          </a:endParaRPr>
        </a:p>
      </dgm:t>
    </dgm:pt>
    <dgm:pt modelId="{391831EA-05EE-4FFA-89EE-CEF3A95E7503}">
      <dgm:prSet phldrT="[Текст]" custT="1"/>
      <dgm:spPr/>
      <dgm:t>
        <a:bodyPr/>
        <a:lstStyle/>
        <a:p>
          <a:r>
            <a:rPr lang="ru-RU" sz="1050" b="1" i="1">
              <a:solidFill>
                <a:sysClr val="windowText" lastClr="000000"/>
              </a:solidFill>
              <a:latin typeface="Times New Roman" pitchFamily="18" charset="0"/>
              <a:cs typeface="Times New Roman" pitchFamily="18" charset="0"/>
            </a:rPr>
            <a:t>Соперничество в отрасли</a:t>
          </a:r>
        </a:p>
        <a:p>
          <a:r>
            <a:rPr lang="ru-RU" sz="900" b="1" i="1">
              <a:solidFill>
                <a:sysClr val="windowText" lastClr="000000"/>
              </a:solidFill>
              <a:latin typeface="Times New Roman" pitchFamily="18" charset="0"/>
              <a:cs typeface="Times New Roman" pitchFamily="18" charset="0"/>
            </a:rPr>
            <a:t>(</a:t>
          </a:r>
          <a:r>
            <a:rPr lang="ru-RU" sz="900" b="1">
              <a:solidFill>
                <a:sysClr val="windowText" lastClr="000000"/>
              </a:solidFill>
              <a:latin typeface="Times New Roman" pitchFamily="18" charset="0"/>
              <a:cs typeface="Times New Roman" pitchFamily="18" charset="0"/>
            </a:rPr>
            <a:t>Спрос в отрасли растет, прибыль компаний растет)</a:t>
          </a:r>
        </a:p>
      </dgm:t>
    </dgm:pt>
    <dgm:pt modelId="{2BBE5065-96F4-47D8-B6DB-24427383B7A0}" type="parTrans" cxnId="{B83E9F06-D048-4F88-A018-D8F10525960C}">
      <dgm:prSet/>
      <dgm:spPr/>
      <dgm:t>
        <a:bodyPr/>
        <a:lstStyle/>
        <a:p>
          <a:endParaRPr lang="ru-RU">
            <a:solidFill>
              <a:sysClr val="windowText" lastClr="000000"/>
            </a:solidFill>
          </a:endParaRPr>
        </a:p>
      </dgm:t>
    </dgm:pt>
    <dgm:pt modelId="{AE9565F1-8ED0-46E2-85F8-E9F1BA4CC26A}" type="sibTrans" cxnId="{B83E9F06-D048-4F88-A018-D8F10525960C}">
      <dgm:prSet/>
      <dgm:spPr/>
      <dgm:t>
        <a:bodyPr/>
        <a:lstStyle/>
        <a:p>
          <a:endParaRPr lang="ru-RU">
            <a:solidFill>
              <a:sysClr val="windowText" lastClr="000000"/>
            </a:solidFill>
          </a:endParaRPr>
        </a:p>
      </dgm:t>
    </dgm:pt>
    <dgm:pt modelId="{2693F747-57AF-44AB-AEEE-86DB7DC0E07C}">
      <dgm:prSet phldrT="[Текст]" custT="1"/>
      <dgm:spPr/>
      <dgm:t>
        <a:bodyPr/>
        <a:lstStyle/>
        <a:p>
          <a:r>
            <a:rPr lang="ru-RU" sz="1000" b="1" i="1">
              <a:solidFill>
                <a:sysClr val="windowText" lastClr="000000"/>
              </a:solidFill>
              <a:latin typeface="Times New Roman" pitchFamily="18" charset="0"/>
              <a:cs typeface="Times New Roman" pitchFamily="18" charset="0"/>
            </a:rPr>
            <a:t>Угроза вторжения новых участников</a:t>
          </a:r>
        </a:p>
        <a:p>
          <a:r>
            <a:rPr lang="ru-RU" sz="800" b="1" i="0">
              <a:solidFill>
                <a:sysClr val="windowText" lastClr="000000"/>
              </a:solidFill>
              <a:latin typeface="Times New Roman" pitchFamily="18" charset="0"/>
              <a:cs typeface="Times New Roman" pitchFamily="18" charset="0"/>
            </a:rPr>
            <a:t>(законодательные акты, а также агрессивная рекламная кампанией новых участников)</a:t>
          </a:r>
        </a:p>
      </dgm:t>
    </dgm:pt>
    <dgm:pt modelId="{AC485892-6D58-40FB-B2C2-ECBC8380FE4C}" type="parTrans" cxnId="{E7948744-C05C-4835-BF46-D0FC6A9C12A4}">
      <dgm:prSet/>
      <dgm:spPr/>
      <dgm:t>
        <a:bodyPr/>
        <a:lstStyle/>
        <a:p>
          <a:endParaRPr lang="ru-RU">
            <a:solidFill>
              <a:sysClr val="windowText" lastClr="000000"/>
            </a:solidFill>
          </a:endParaRPr>
        </a:p>
      </dgm:t>
    </dgm:pt>
    <dgm:pt modelId="{84B32059-17A6-474C-B6AC-320F090643E2}" type="sibTrans" cxnId="{E7948744-C05C-4835-BF46-D0FC6A9C12A4}">
      <dgm:prSet/>
      <dgm:spPr/>
      <dgm:t>
        <a:bodyPr/>
        <a:lstStyle/>
        <a:p>
          <a:endParaRPr lang="ru-RU">
            <a:solidFill>
              <a:sysClr val="windowText" lastClr="000000"/>
            </a:solidFill>
          </a:endParaRPr>
        </a:p>
      </dgm:t>
    </dgm:pt>
    <dgm:pt modelId="{DA6820D6-D5A2-4772-8001-6017D5B31109}">
      <dgm:prSet custT="1"/>
      <dgm:spPr/>
      <dgm:t>
        <a:bodyPr/>
        <a:lstStyle/>
        <a:p>
          <a:r>
            <a:rPr lang="ru-RU" sz="1100" b="1" i="1">
              <a:solidFill>
                <a:sysClr val="windowText" lastClr="000000"/>
              </a:solidFill>
              <a:latin typeface="Times New Roman" pitchFamily="18" charset="0"/>
              <a:cs typeface="Times New Roman" pitchFamily="18" charset="0"/>
            </a:rPr>
            <a:t>Рыночная власть поставщиков</a:t>
          </a:r>
        </a:p>
        <a:p>
          <a:r>
            <a:rPr lang="ru-RU" sz="1000" b="1">
              <a:solidFill>
                <a:sysClr val="windowText" lastClr="000000"/>
              </a:solidFill>
              <a:latin typeface="Times New Roman" pitchFamily="18" charset="0"/>
              <a:cs typeface="Times New Roman" pitchFamily="18" charset="0"/>
            </a:rPr>
            <a:t>(большая доля иностранных производителей </a:t>
          </a:r>
        </a:p>
      </dgm:t>
    </dgm:pt>
    <dgm:pt modelId="{62B39C0C-726B-4370-BCA2-11CAB21DD8A3}" type="parTrans" cxnId="{04BC4D3A-AF29-4679-822E-76A3EA7C2CA7}">
      <dgm:prSet/>
      <dgm:spPr/>
      <dgm:t>
        <a:bodyPr/>
        <a:lstStyle/>
        <a:p>
          <a:endParaRPr lang="ru-RU">
            <a:solidFill>
              <a:sysClr val="windowText" lastClr="000000"/>
            </a:solidFill>
          </a:endParaRPr>
        </a:p>
      </dgm:t>
    </dgm:pt>
    <dgm:pt modelId="{CCE80886-121E-464F-9E6E-88E22F38EAA7}" type="sibTrans" cxnId="{04BC4D3A-AF29-4679-822E-76A3EA7C2CA7}">
      <dgm:prSet/>
      <dgm:spPr/>
      <dgm:t>
        <a:bodyPr/>
        <a:lstStyle/>
        <a:p>
          <a:endParaRPr lang="ru-RU">
            <a:solidFill>
              <a:sysClr val="windowText" lastClr="000000"/>
            </a:solidFill>
          </a:endParaRPr>
        </a:p>
      </dgm:t>
    </dgm:pt>
    <dgm:pt modelId="{792AB11A-D4F7-43BB-8D53-4671F5F3B83C}">
      <dgm:prSet custT="1"/>
      <dgm:spPr/>
      <dgm:t>
        <a:bodyPr/>
        <a:lstStyle/>
        <a:p>
          <a:r>
            <a:rPr lang="ru-RU" sz="1200" b="1" i="1">
              <a:solidFill>
                <a:sysClr val="windowText" lastClr="000000"/>
              </a:solidFill>
              <a:latin typeface="Times New Roman" pitchFamily="18" charset="0"/>
              <a:cs typeface="Times New Roman" pitchFamily="18" charset="0"/>
            </a:rPr>
            <a:t>Заменители</a:t>
          </a:r>
        </a:p>
        <a:p>
          <a:r>
            <a:rPr lang="ru-RU" sz="1000" b="1" i="0">
              <a:solidFill>
                <a:sysClr val="windowText" lastClr="000000"/>
              </a:solidFill>
              <a:latin typeface="Times New Roman" pitchFamily="18" charset="0"/>
              <a:cs typeface="Times New Roman" pitchFamily="18" charset="0"/>
            </a:rPr>
            <a:t>(</a:t>
          </a:r>
          <a:r>
            <a:rPr lang="ru-RU" sz="1000" b="1">
              <a:solidFill>
                <a:sysClr val="windowText" lastClr="000000"/>
              </a:solidFill>
              <a:latin typeface="Times New Roman" pitchFamily="18" charset="0"/>
              <a:cs typeface="Times New Roman" pitchFamily="18" charset="0"/>
            </a:rPr>
            <a:t>БАД и народные средства)</a:t>
          </a:r>
        </a:p>
      </dgm:t>
    </dgm:pt>
    <dgm:pt modelId="{13C5BA04-2401-4DD2-BCF7-21C9BB348B97}" type="parTrans" cxnId="{F456E04F-E9B9-4029-813D-FEE12636CA4F}">
      <dgm:prSet/>
      <dgm:spPr/>
      <dgm:t>
        <a:bodyPr/>
        <a:lstStyle/>
        <a:p>
          <a:endParaRPr lang="ru-RU">
            <a:solidFill>
              <a:sysClr val="windowText" lastClr="000000"/>
            </a:solidFill>
          </a:endParaRPr>
        </a:p>
      </dgm:t>
    </dgm:pt>
    <dgm:pt modelId="{41C20556-8D14-48A5-8090-435D69C7E5E0}" type="sibTrans" cxnId="{F456E04F-E9B9-4029-813D-FEE12636CA4F}">
      <dgm:prSet/>
      <dgm:spPr/>
      <dgm:t>
        <a:bodyPr/>
        <a:lstStyle/>
        <a:p>
          <a:endParaRPr lang="ru-RU">
            <a:solidFill>
              <a:sysClr val="windowText" lastClr="000000"/>
            </a:solidFill>
          </a:endParaRPr>
        </a:p>
      </dgm:t>
    </dgm:pt>
    <dgm:pt modelId="{4FE16B0C-DCE2-4791-ABFA-21E93D72AAA9}" type="pres">
      <dgm:prSet presAssocID="{6B0A5C77-A350-4128-B25F-8974A757D048}" presName="Name0" presStyleCnt="0">
        <dgm:presLayoutVars>
          <dgm:chMax val="1"/>
          <dgm:dir/>
          <dgm:animLvl val="ctr"/>
          <dgm:resizeHandles val="exact"/>
        </dgm:presLayoutVars>
      </dgm:prSet>
      <dgm:spPr/>
      <dgm:t>
        <a:bodyPr/>
        <a:lstStyle/>
        <a:p>
          <a:endParaRPr lang="ru-RU"/>
        </a:p>
      </dgm:t>
    </dgm:pt>
    <dgm:pt modelId="{5C1AFBA8-120D-43B5-8536-C20935704220}" type="pres">
      <dgm:prSet presAssocID="{34B95C24-660B-46FD-B1AD-E5CDB9981133}" presName="centerShape" presStyleLbl="node0" presStyleIdx="0" presStyleCnt="1" custScaleX="123143"/>
      <dgm:spPr/>
      <dgm:t>
        <a:bodyPr/>
        <a:lstStyle/>
        <a:p>
          <a:endParaRPr lang="ru-RU"/>
        </a:p>
      </dgm:t>
    </dgm:pt>
    <dgm:pt modelId="{45BEF022-3424-471C-B48E-0DAFB3A4B549}" type="pres">
      <dgm:prSet presAssocID="{BA82763E-1CFE-4556-80A0-521F7104C687}" presName="parTrans" presStyleLbl="sibTrans2D1" presStyleIdx="0" presStyleCnt="5"/>
      <dgm:spPr/>
      <dgm:t>
        <a:bodyPr/>
        <a:lstStyle/>
        <a:p>
          <a:endParaRPr lang="ru-RU"/>
        </a:p>
      </dgm:t>
    </dgm:pt>
    <dgm:pt modelId="{98F6F9EF-F8F4-4395-8C57-1C66E14B2322}" type="pres">
      <dgm:prSet presAssocID="{BA82763E-1CFE-4556-80A0-521F7104C687}" presName="connectorText" presStyleLbl="sibTrans2D1" presStyleIdx="0" presStyleCnt="5"/>
      <dgm:spPr/>
      <dgm:t>
        <a:bodyPr/>
        <a:lstStyle/>
        <a:p>
          <a:endParaRPr lang="ru-RU"/>
        </a:p>
      </dgm:t>
    </dgm:pt>
    <dgm:pt modelId="{B2CF7DE1-0F33-4398-A2E3-B4437CD1DAF7}" type="pres">
      <dgm:prSet presAssocID="{B7675004-EEF9-4937-8C6E-780E7FA5AE66}" presName="node" presStyleLbl="node1" presStyleIdx="0" presStyleCnt="5" custScaleX="152836">
        <dgm:presLayoutVars>
          <dgm:bulletEnabled val="1"/>
        </dgm:presLayoutVars>
      </dgm:prSet>
      <dgm:spPr/>
      <dgm:t>
        <a:bodyPr/>
        <a:lstStyle/>
        <a:p>
          <a:endParaRPr lang="ru-RU"/>
        </a:p>
      </dgm:t>
    </dgm:pt>
    <dgm:pt modelId="{DB778F32-370C-4CD9-8180-84C02E699A13}" type="pres">
      <dgm:prSet presAssocID="{2BBE5065-96F4-47D8-B6DB-24427383B7A0}" presName="parTrans" presStyleLbl="sibTrans2D1" presStyleIdx="1" presStyleCnt="5"/>
      <dgm:spPr/>
      <dgm:t>
        <a:bodyPr/>
        <a:lstStyle/>
        <a:p>
          <a:endParaRPr lang="ru-RU"/>
        </a:p>
      </dgm:t>
    </dgm:pt>
    <dgm:pt modelId="{22B8E88B-1685-4141-A168-25F6359E7D77}" type="pres">
      <dgm:prSet presAssocID="{2BBE5065-96F4-47D8-B6DB-24427383B7A0}" presName="connectorText" presStyleLbl="sibTrans2D1" presStyleIdx="1" presStyleCnt="5"/>
      <dgm:spPr/>
      <dgm:t>
        <a:bodyPr/>
        <a:lstStyle/>
        <a:p>
          <a:endParaRPr lang="ru-RU"/>
        </a:p>
      </dgm:t>
    </dgm:pt>
    <dgm:pt modelId="{6C4C9223-C2F1-4AD5-88A3-4B673435FC78}" type="pres">
      <dgm:prSet presAssocID="{391831EA-05EE-4FFA-89EE-CEF3A95E7503}" presName="node" presStyleLbl="node1" presStyleIdx="1" presStyleCnt="5" custScaleX="152066" custRadScaleRad="116453" custRadScaleInc="10265">
        <dgm:presLayoutVars>
          <dgm:bulletEnabled val="1"/>
        </dgm:presLayoutVars>
      </dgm:prSet>
      <dgm:spPr/>
      <dgm:t>
        <a:bodyPr/>
        <a:lstStyle/>
        <a:p>
          <a:endParaRPr lang="ru-RU"/>
        </a:p>
      </dgm:t>
    </dgm:pt>
    <dgm:pt modelId="{AB1F141D-0B27-423A-993A-258AAF8379AE}" type="pres">
      <dgm:prSet presAssocID="{AC485892-6D58-40FB-B2C2-ECBC8380FE4C}" presName="parTrans" presStyleLbl="sibTrans2D1" presStyleIdx="2" presStyleCnt="5"/>
      <dgm:spPr/>
      <dgm:t>
        <a:bodyPr/>
        <a:lstStyle/>
        <a:p>
          <a:endParaRPr lang="ru-RU"/>
        </a:p>
      </dgm:t>
    </dgm:pt>
    <dgm:pt modelId="{A3CF8E5C-B474-4CBE-8DCE-03E5B796C2B6}" type="pres">
      <dgm:prSet presAssocID="{AC485892-6D58-40FB-B2C2-ECBC8380FE4C}" presName="connectorText" presStyleLbl="sibTrans2D1" presStyleIdx="2" presStyleCnt="5"/>
      <dgm:spPr/>
      <dgm:t>
        <a:bodyPr/>
        <a:lstStyle/>
        <a:p>
          <a:endParaRPr lang="ru-RU"/>
        </a:p>
      </dgm:t>
    </dgm:pt>
    <dgm:pt modelId="{C38F331D-4DA8-4EF9-8738-E9BEC15FEF50}" type="pres">
      <dgm:prSet presAssocID="{2693F747-57AF-44AB-AEEE-86DB7DC0E07C}" presName="node" presStyleLbl="node1" presStyleIdx="2" presStyleCnt="5" custScaleX="156959" custRadScaleRad="103147" custRadScaleInc="-6028">
        <dgm:presLayoutVars>
          <dgm:bulletEnabled val="1"/>
        </dgm:presLayoutVars>
      </dgm:prSet>
      <dgm:spPr/>
      <dgm:t>
        <a:bodyPr/>
        <a:lstStyle/>
        <a:p>
          <a:endParaRPr lang="ru-RU"/>
        </a:p>
      </dgm:t>
    </dgm:pt>
    <dgm:pt modelId="{149DB82F-14C6-4BB9-A6CD-CBF8734BB58C}" type="pres">
      <dgm:prSet presAssocID="{62B39C0C-726B-4370-BCA2-11CAB21DD8A3}" presName="parTrans" presStyleLbl="sibTrans2D1" presStyleIdx="3" presStyleCnt="5"/>
      <dgm:spPr/>
      <dgm:t>
        <a:bodyPr/>
        <a:lstStyle/>
        <a:p>
          <a:endParaRPr lang="ru-RU"/>
        </a:p>
      </dgm:t>
    </dgm:pt>
    <dgm:pt modelId="{8BAECBC2-9F92-41F8-A435-7A2C3351E0CD}" type="pres">
      <dgm:prSet presAssocID="{62B39C0C-726B-4370-BCA2-11CAB21DD8A3}" presName="connectorText" presStyleLbl="sibTrans2D1" presStyleIdx="3" presStyleCnt="5"/>
      <dgm:spPr/>
      <dgm:t>
        <a:bodyPr/>
        <a:lstStyle/>
        <a:p>
          <a:endParaRPr lang="ru-RU"/>
        </a:p>
      </dgm:t>
    </dgm:pt>
    <dgm:pt modelId="{457DA4CC-DC68-4A0C-8713-FF54195C42FB}" type="pres">
      <dgm:prSet presAssocID="{DA6820D6-D5A2-4772-8001-6017D5B31109}" presName="node" presStyleLbl="node1" presStyleIdx="3" presStyleCnt="5" custScaleX="148551" custRadScaleRad="103465" custRadScaleInc="15593">
        <dgm:presLayoutVars>
          <dgm:bulletEnabled val="1"/>
        </dgm:presLayoutVars>
      </dgm:prSet>
      <dgm:spPr/>
      <dgm:t>
        <a:bodyPr/>
        <a:lstStyle/>
        <a:p>
          <a:endParaRPr lang="ru-RU"/>
        </a:p>
      </dgm:t>
    </dgm:pt>
    <dgm:pt modelId="{83209D6D-E621-41B0-97DA-0A8357CC949F}" type="pres">
      <dgm:prSet presAssocID="{13C5BA04-2401-4DD2-BCF7-21C9BB348B97}" presName="parTrans" presStyleLbl="sibTrans2D1" presStyleIdx="4" presStyleCnt="5"/>
      <dgm:spPr/>
      <dgm:t>
        <a:bodyPr/>
        <a:lstStyle/>
        <a:p>
          <a:endParaRPr lang="ru-RU"/>
        </a:p>
      </dgm:t>
    </dgm:pt>
    <dgm:pt modelId="{F92A65E0-B47E-4172-88B3-1C88C46723B9}" type="pres">
      <dgm:prSet presAssocID="{13C5BA04-2401-4DD2-BCF7-21C9BB348B97}" presName="connectorText" presStyleLbl="sibTrans2D1" presStyleIdx="4" presStyleCnt="5"/>
      <dgm:spPr/>
      <dgm:t>
        <a:bodyPr/>
        <a:lstStyle/>
        <a:p>
          <a:endParaRPr lang="ru-RU"/>
        </a:p>
      </dgm:t>
    </dgm:pt>
    <dgm:pt modelId="{C1EC673B-2BED-43B1-830D-C565B2DBB2A8}" type="pres">
      <dgm:prSet presAssocID="{792AB11A-D4F7-43BB-8D53-4671F5F3B83C}" presName="node" presStyleLbl="node1" presStyleIdx="4" presStyleCnt="5" custScaleX="147176" custRadScaleRad="116698" custRadScaleInc="-5337">
        <dgm:presLayoutVars>
          <dgm:bulletEnabled val="1"/>
        </dgm:presLayoutVars>
      </dgm:prSet>
      <dgm:spPr/>
      <dgm:t>
        <a:bodyPr/>
        <a:lstStyle/>
        <a:p>
          <a:endParaRPr lang="ru-RU"/>
        </a:p>
      </dgm:t>
    </dgm:pt>
  </dgm:ptLst>
  <dgm:cxnLst>
    <dgm:cxn modelId="{F456E04F-E9B9-4029-813D-FEE12636CA4F}" srcId="{34B95C24-660B-46FD-B1AD-E5CDB9981133}" destId="{792AB11A-D4F7-43BB-8D53-4671F5F3B83C}" srcOrd="4" destOrd="0" parTransId="{13C5BA04-2401-4DD2-BCF7-21C9BB348B97}" sibTransId="{41C20556-8D14-48A5-8090-435D69C7E5E0}"/>
    <dgm:cxn modelId="{A27523FF-E660-423B-8387-BBA9373CFF19}" type="presOf" srcId="{BA82763E-1CFE-4556-80A0-521F7104C687}" destId="{98F6F9EF-F8F4-4395-8C57-1C66E14B2322}" srcOrd="1" destOrd="0" presId="urn:microsoft.com/office/officeart/2005/8/layout/radial5"/>
    <dgm:cxn modelId="{88255DE1-86E3-445C-9B80-585013534A51}" type="presOf" srcId="{792AB11A-D4F7-43BB-8D53-4671F5F3B83C}" destId="{C1EC673B-2BED-43B1-830D-C565B2DBB2A8}" srcOrd="0" destOrd="0" presId="urn:microsoft.com/office/officeart/2005/8/layout/radial5"/>
    <dgm:cxn modelId="{E7948744-C05C-4835-BF46-D0FC6A9C12A4}" srcId="{34B95C24-660B-46FD-B1AD-E5CDB9981133}" destId="{2693F747-57AF-44AB-AEEE-86DB7DC0E07C}" srcOrd="2" destOrd="0" parTransId="{AC485892-6D58-40FB-B2C2-ECBC8380FE4C}" sibTransId="{84B32059-17A6-474C-B6AC-320F090643E2}"/>
    <dgm:cxn modelId="{66C6DD7E-1FA3-4303-94E9-2645CBEE8259}" type="presOf" srcId="{DA6820D6-D5A2-4772-8001-6017D5B31109}" destId="{457DA4CC-DC68-4A0C-8713-FF54195C42FB}" srcOrd="0" destOrd="0" presId="urn:microsoft.com/office/officeart/2005/8/layout/radial5"/>
    <dgm:cxn modelId="{64585469-AFA4-499E-A5FD-1B3A349993BC}" type="presOf" srcId="{62B39C0C-726B-4370-BCA2-11CAB21DD8A3}" destId="{149DB82F-14C6-4BB9-A6CD-CBF8734BB58C}" srcOrd="0" destOrd="0" presId="urn:microsoft.com/office/officeart/2005/8/layout/radial5"/>
    <dgm:cxn modelId="{29C28DBD-52A0-4204-99C0-36E858E4C5E0}" type="presOf" srcId="{6B0A5C77-A350-4128-B25F-8974A757D048}" destId="{4FE16B0C-DCE2-4791-ABFA-21E93D72AAA9}" srcOrd="0" destOrd="0" presId="urn:microsoft.com/office/officeart/2005/8/layout/radial5"/>
    <dgm:cxn modelId="{B83E9F06-D048-4F88-A018-D8F10525960C}" srcId="{34B95C24-660B-46FD-B1AD-E5CDB9981133}" destId="{391831EA-05EE-4FFA-89EE-CEF3A95E7503}" srcOrd="1" destOrd="0" parTransId="{2BBE5065-96F4-47D8-B6DB-24427383B7A0}" sibTransId="{AE9565F1-8ED0-46E2-85F8-E9F1BA4CC26A}"/>
    <dgm:cxn modelId="{2C80B428-0223-4DE6-928C-7312F05965D9}" type="presOf" srcId="{AC485892-6D58-40FB-B2C2-ECBC8380FE4C}" destId="{A3CF8E5C-B474-4CBE-8DCE-03E5B796C2B6}" srcOrd="1" destOrd="0" presId="urn:microsoft.com/office/officeart/2005/8/layout/radial5"/>
    <dgm:cxn modelId="{C9231F7E-85B3-4253-89E7-F5BA88E97243}" type="presOf" srcId="{B7675004-EEF9-4937-8C6E-780E7FA5AE66}" destId="{B2CF7DE1-0F33-4398-A2E3-B4437CD1DAF7}" srcOrd="0" destOrd="0" presId="urn:microsoft.com/office/officeart/2005/8/layout/radial5"/>
    <dgm:cxn modelId="{5707B63E-F66E-466E-91CB-B288EE45B7F6}" type="presOf" srcId="{13C5BA04-2401-4DD2-BCF7-21C9BB348B97}" destId="{83209D6D-E621-41B0-97DA-0A8357CC949F}" srcOrd="0" destOrd="0" presId="urn:microsoft.com/office/officeart/2005/8/layout/radial5"/>
    <dgm:cxn modelId="{B5C86912-2ED7-4F33-B37A-E73B6B9B939D}" type="presOf" srcId="{391831EA-05EE-4FFA-89EE-CEF3A95E7503}" destId="{6C4C9223-C2F1-4AD5-88A3-4B673435FC78}" srcOrd="0" destOrd="0" presId="urn:microsoft.com/office/officeart/2005/8/layout/radial5"/>
    <dgm:cxn modelId="{04BC4D3A-AF29-4679-822E-76A3EA7C2CA7}" srcId="{34B95C24-660B-46FD-B1AD-E5CDB9981133}" destId="{DA6820D6-D5A2-4772-8001-6017D5B31109}" srcOrd="3" destOrd="0" parTransId="{62B39C0C-726B-4370-BCA2-11CAB21DD8A3}" sibTransId="{CCE80886-121E-464F-9E6E-88E22F38EAA7}"/>
    <dgm:cxn modelId="{71D2FC22-D7C0-41B4-A33F-46A3823066EC}" type="presOf" srcId="{2BBE5065-96F4-47D8-B6DB-24427383B7A0}" destId="{DB778F32-370C-4CD9-8180-84C02E699A13}" srcOrd="0" destOrd="0" presId="urn:microsoft.com/office/officeart/2005/8/layout/radial5"/>
    <dgm:cxn modelId="{286F574F-B3E8-463B-9A67-44387675DF10}" type="presOf" srcId="{34B95C24-660B-46FD-B1AD-E5CDB9981133}" destId="{5C1AFBA8-120D-43B5-8536-C20935704220}" srcOrd="0" destOrd="0" presId="urn:microsoft.com/office/officeart/2005/8/layout/radial5"/>
    <dgm:cxn modelId="{5E4AA123-6E2E-4D15-A2EB-EC4683F4F936}" type="presOf" srcId="{62B39C0C-726B-4370-BCA2-11CAB21DD8A3}" destId="{8BAECBC2-9F92-41F8-A435-7A2C3351E0CD}" srcOrd="1" destOrd="0" presId="urn:microsoft.com/office/officeart/2005/8/layout/radial5"/>
    <dgm:cxn modelId="{D6D830F8-35DE-422F-81B1-3149C1F014B3}" srcId="{34B95C24-660B-46FD-B1AD-E5CDB9981133}" destId="{B7675004-EEF9-4937-8C6E-780E7FA5AE66}" srcOrd="0" destOrd="0" parTransId="{BA82763E-1CFE-4556-80A0-521F7104C687}" sibTransId="{C5A84617-D4C5-4EC8-BC8E-5BEA0BF5E422}"/>
    <dgm:cxn modelId="{9108504C-3F24-4791-90CE-D3B5C05CA647}" type="presOf" srcId="{2693F747-57AF-44AB-AEEE-86DB7DC0E07C}" destId="{C38F331D-4DA8-4EF9-8738-E9BEC15FEF50}" srcOrd="0" destOrd="0" presId="urn:microsoft.com/office/officeart/2005/8/layout/radial5"/>
    <dgm:cxn modelId="{509C4D4C-C875-4497-935E-6A23DEF47A68}" type="presOf" srcId="{2BBE5065-96F4-47D8-B6DB-24427383B7A0}" destId="{22B8E88B-1685-4141-A168-25F6359E7D77}" srcOrd="1" destOrd="0" presId="urn:microsoft.com/office/officeart/2005/8/layout/radial5"/>
    <dgm:cxn modelId="{82FE09FA-074F-4E31-AB37-D17BBDDAB33E}" srcId="{6B0A5C77-A350-4128-B25F-8974A757D048}" destId="{34B95C24-660B-46FD-B1AD-E5CDB9981133}" srcOrd="0" destOrd="0" parTransId="{E9B63B7E-1E07-4493-A358-A01AD763D408}" sibTransId="{76AC13E7-3288-4582-9E3C-F1DC9F30BBBB}"/>
    <dgm:cxn modelId="{CFA603B0-B9A4-4215-B093-F2B92F53AC44}" type="presOf" srcId="{BA82763E-1CFE-4556-80A0-521F7104C687}" destId="{45BEF022-3424-471C-B48E-0DAFB3A4B549}" srcOrd="0" destOrd="0" presId="urn:microsoft.com/office/officeart/2005/8/layout/radial5"/>
    <dgm:cxn modelId="{AE7165EA-F100-40E8-9902-1BAF7D156B9C}" type="presOf" srcId="{13C5BA04-2401-4DD2-BCF7-21C9BB348B97}" destId="{F92A65E0-B47E-4172-88B3-1C88C46723B9}" srcOrd="1" destOrd="0" presId="urn:microsoft.com/office/officeart/2005/8/layout/radial5"/>
    <dgm:cxn modelId="{C2126785-FF2A-4F63-B10C-7B177EC49010}" type="presOf" srcId="{AC485892-6D58-40FB-B2C2-ECBC8380FE4C}" destId="{AB1F141D-0B27-423A-993A-258AAF8379AE}" srcOrd="0" destOrd="0" presId="urn:microsoft.com/office/officeart/2005/8/layout/radial5"/>
    <dgm:cxn modelId="{0CFFE42F-65A6-4FC4-AB7A-E415E3838375}" type="presParOf" srcId="{4FE16B0C-DCE2-4791-ABFA-21E93D72AAA9}" destId="{5C1AFBA8-120D-43B5-8536-C20935704220}" srcOrd="0" destOrd="0" presId="urn:microsoft.com/office/officeart/2005/8/layout/radial5"/>
    <dgm:cxn modelId="{15E6EBD2-A1B0-4829-8993-99889EA4F287}" type="presParOf" srcId="{4FE16B0C-DCE2-4791-ABFA-21E93D72AAA9}" destId="{45BEF022-3424-471C-B48E-0DAFB3A4B549}" srcOrd="1" destOrd="0" presId="urn:microsoft.com/office/officeart/2005/8/layout/radial5"/>
    <dgm:cxn modelId="{C19E6F6C-53CB-4052-AC0E-A55B9E8C74E6}" type="presParOf" srcId="{45BEF022-3424-471C-B48E-0DAFB3A4B549}" destId="{98F6F9EF-F8F4-4395-8C57-1C66E14B2322}" srcOrd="0" destOrd="0" presId="urn:microsoft.com/office/officeart/2005/8/layout/radial5"/>
    <dgm:cxn modelId="{692884BE-FA5B-4CA2-9610-DE5641F90B0F}" type="presParOf" srcId="{4FE16B0C-DCE2-4791-ABFA-21E93D72AAA9}" destId="{B2CF7DE1-0F33-4398-A2E3-B4437CD1DAF7}" srcOrd="2" destOrd="0" presId="urn:microsoft.com/office/officeart/2005/8/layout/radial5"/>
    <dgm:cxn modelId="{9162DA9A-60D2-4D54-A68F-B604D8C83DF8}" type="presParOf" srcId="{4FE16B0C-DCE2-4791-ABFA-21E93D72AAA9}" destId="{DB778F32-370C-4CD9-8180-84C02E699A13}" srcOrd="3" destOrd="0" presId="urn:microsoft.com/office/officeart/2005/8/layout/radial5"/>
    <dgm:cxn modelId="{2879D2AD-7371-46BD-A4E7-C0F92F933026}" type="presParOf" srcId="{DB778F32-370C-4CD9-8180-84C02E699A13}" destId="{22B8E88B-1685-4141-A168-25F6359E7D77}" srcOrd="0" destOrd="0" presId="urn:microsoft.com/office/officeart/2005/8/layout/radial5"/>
    <dgm:cxn modelId="{26974A46-1790-4131-AB52-F5FD46682851}" type="presParOf" srcId="{4FE16B0C-DCE2-4791-ABFA-21E93D72AAA9}" destId="{6C4C9223-C2F1-4AD5-88A3-4B673435FC78}" srcOrd="4" destOrd="0" presId="urn:microsoft.com/office/officeart/2005/8/layout/radial5"/>
    <dgm:cxn modelId="{DE3AB929-FDAC-46D3-82B1-AD6F193793BD}" type="presParOf" srcId="{4FE16B0C-DCE2-4791-ABFA-21E93D72AAA9}" destId="{AB1F141D-0B27-423A-993A-258AAF8379AE}" srcOrd="5" destOrd="0" presId="urn:microsoft.com/office/officeart/2005/8/layout/radial5"/>
    <dgm:cxn modelId="{5B695D1A-B738-4DA2-9805-519F17E328CE}" type="presParOf" srcId="{AB1F141D-0B27-423A-993A-258AAF8379AE}" destId="{A3CF8E5C-B474-4CBE-8DCE-03E5B796C2B6}" srcOrd="0" destOrd="0" presId="urn:microsoft.com/office/officeart/2005/8/layout/radial5"/>
    <dgm:cxn modelId="{F15583C9-74D1-43C5-8C99-FA0775C7A217}" type="presParOf" srcId="{4FE16B0C-DCE2-4791-ABFA-21E93D72AAA9}" destId="{C38F331D-4DA8-4EF9-8738-E9BEC15FEF50}" srcOrd="6" destOrd="0" presId="urn:microsoft.com/office/officeart/2005/8/layout/radial5"/>
    <dgm:cxn modelId="{21F3953F-6C91-4C0C-B3D2-9F6E845631D1}" type="presParOf" srcId="{4FE16B0C-DCE2-4791-ABFA-21E93D72AAA9}" destId="{149DB82F-14C6-4BB9-A6CD-CBF8734BB58C}" srcOrd="7" destOrd="0" presId="urn:microsoft.com/office/officeart/2005/8/layout/radial5"/>
    <dgm:cxn modelId="{BE2AC6A5-64B1-4609-B75C-F19E8F7F9C88}" type="presParOf" srcId="{149DB82F-14C6-4BB9-A6CD-CBF8734BB58C}" destId="{8BAECBC2-9F92-41F8-A435-7A2C3351E0CD}" srcOrd="0" destOrd="0" presId="urn:microsoft.com/office/officeart/2005/8/layout/radial5"/>
    <dgm:cxn modelId="{E76B3385-F6DA-42DA-9110-1BE2F8647314}" type="presParOf" srcId="{4FE16B0C-DCE2-4791-ABFA-21E93D72AAA9}" destId="{457DA4CC-DC68-4A0C-8713-FF54195C42FB}" srcOrd="8" destOrd="0" presId="urn:microsoft.com/office/officeart/2005/8/layout/radial5"/>
    <dgm:cxn modelId="{74F45813-7010-4F34-A5FA-8ACCCBD698C1}" type="presParOf" srcId="{4FE16B0C-DCE2-4791-ABFA-21E93D72AAA9}" destId="{83209D6D-E621-41B0-97DA-0A8357CC949F}" srcOrd="9" destOrd="0" presId="urn:microsoft.com/office/officeart/2005/8/layout/radial5"/>
    <dgm:cxn modelId="{B95E9884-84AB-4222-B371-C541A05A0176}" type="presParOf" srcId="{83209D6D-E621-41B0-97DA-0A8357CC949F}" destId="{F92A65E0-B47E-4172-88B3-1C88C46723B9}" srcOrd="0" destOrd="0" presId="urn:microsoft.com/office/officeart/2005/8/layout/radial5"/>
    <dgm:cxn modelId="{8B309A15-37D0-43B9-85DB-07D7F9B9C595}" type="presParOf" srcId="{4FE16B0C-DCE2-4791-ABFA-21E93D72AAA9}" destId="{C1EC673B-2BED-43B1-830D-C565B2DBB2A8}" srcOrd="10"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AFBA8-120D-43B5-8536-C20935704220}">
      <dsp:nvSpPr>
        <dsp:cNvPr id="0" name=""/>
        <dsp:cNvSpPr/>
      </dsp:nvSpPr>
      <dsp:spPr>
        <a:xfrm>
          <a:off x="1991846" y="1336491"/>
          <a:ext cx="1174586" cy="953839"/>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Times New Roman" pitchFamily="18" charset="0"/>
              <a:cs typeface="Times New Roman" pitchFamily="18" charset="0"/>
            </a:rPr>
            <a:t>Силы, действующие на компанию</a:t>
          </a:r>
        </a:p>
      </dsp:txBody>
      <dsp:txXfrm>
        <a:off x="2163860" y="1476177"/>
        <a:ext cx="830558" cy="674467"/>
      </dsp:txXfrm>
    </dsp:sp>
    <dsp:sp modelId="{45BEF022-3424-471C-B48E-0DAFB3A4B549}">
      <dsp:nvSpPr>
        <dsp:cNvPr id="0" name=""/>
        <dsp:cNvSpPr/>
      </dsp:nvSpPr>
      <dsp:spPr>
        <a:xfrm rot="16200000">
          <a:off x="2478118" y="989451"/>
          <a:ext cx="202040" cy="324305"/>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solidFill>
              <a:sysClr val="windowText" lastClr="000000"/>
            </a:solidFill>
          </a:endParaRPr>
        </a:p>
      </dsp:txBody>
      <dsp:txXfrm>
        <a:off x="2508424" y="1084618"/>
        <a:ext cx="141428" cy="194583"/>
      </dsp:txXfrm>
    </dsp:sp>
    <dsp:sp modelId="{B2CF7DE1-0F33-4398-A2E3-B4437CD1DAF7}">
      <dsp:nvSpPr>
        <dsp:cNvPr id="0" name=""/>
        <dsp:cNvSpPr/>
      </dsp:nvSpPr>
      <dsp:spPr>
        <a:xfrm>
          <a:off x="1850234" y="1442"/>
          <a:ext cx="1457810" cy="95383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b="1" i="1" kern="1200">
              <a:solidFill>
                <a:sysClr val="windowText" lastClr="000000"/>
              </a:solidFill>
              <a:latin typeface="Times New Roman" pitchFamily="18" charset="0"/>
              <a:cs typeface="Times New Roman" pitchFamily="18" charset="0"/>
            </a:rPr>
            <a:t>Рыночная власть покупателей</a:t>
          </a:r>
        </a:p>
        <a:p>
          <a:pPr lvl="0" algn="ctr" defTabSz="466725">
            <a:lnSpc>
              <a:spcPct val="90000"/>
            </a:lnSpc>
            <a:spcBef>
              <a:spcPct val="0"/>
            </a:spcBef>
            <a:spcAft>
              <a:spcPct val="35000"/>
            </a:spcAft>
          </a:pPr>
          <a:r>
            <a:rPr lang="ru-RU" sz="900" b="1" i="0" kern="1200">
              <a:solidFill>
                <a:sysClr val="windowText" lastClr="000000"/>
              </a:solidFill>
              <a:latin typeface="Times New Roman" pitchFamily="18" charset="0"/>
              <a:cs typeface="Times New Roman" pitchFamily="18" charset="0"/>
            </a:rPr>
            <a:t>(недостаток </a:t>
          </a:r>
          <a:r>
            <a:rPr lang="ru-RU" sz="900" b="1" kern="1200">
              <a:solidFill>
                <a:sysClr val="windowText" lastClr="000000"/>
              </a:solidFill>
              <a:latin typeface="Times New Roman" pitchFamily="18" charset="0"/>
              <a:cs typeface="Times New Roman" pitchFamily="18" charset="0"/>
            </a:rPr>
            <a:t>информации  для оценки соперничающих ЛС)</a:t>
          </a:r>
        </a:p>
      </dsp:txBody>
      <dsp:txXfrm>
        <a:off x="2063725" y="141128"/>
        <a:ext cx="1030828" cy="674467"/>
      </dsp:txXfrm>
    </dsp:sp>
    <dsp:sp modelId="{DB778F32-370C-4CD9-8180-84C02E699A13}">
      <dsp:nvSpPr>
        <dsp:cNvPr id="0" name=""/>
        <dsp:cNvSpPr/>
      </dsp:nvSpPr>
      <dsp:spPr>
        <a:xfrm rot="20741724">
          <a:off x="3196570" y="1474996"/>
          <a:ext cx="147678" cy="324305"/>
        </a:xfrm>
        <a:prstGeom prst="rightArrow">
          <a:avLst>
            <a:gd name="adj1" fmla="val 60000"/>
            <a:gd name="adj2" fmla="val 50000"/>
          </a:avLst>
        </a:prstGeom>
        <a:gradFill rotWithShape="0">
          <a:gsLst>
            <a:gs pos="0">
              <a:schemeClr val="accent3">
                <a:hueOff val="2812566"/>
                <a:satOff val="-4220"/>
                <a:lumOff val="-686"/>
                <a:alphaOff val="0"/>
                <a:shade val="51000"/>
                <a:satMod val="130000"/>
              </a:schemeClr>
            </a:gs>
            <a:gs pos="80000">
              <a:schemeClr val="accent3">
                <a:hueOff val="2812566"/>
                <a:satOff val="-4220"/>
                <a:lumOff val="-686"/>
                <a:alphaOff val="0"/>
                <a:shade val="93000"/>
                <a:satMod val="130000"/>
              </a:schemeClr>
            </a:gs>
            <a:gs pos="100000">
              <a:schemeClr val="accent3">
                <a:hueOff val="2812566"/>
                <a:satOff val="-4220"/>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solidFill>
              <a:sysClr val="windowText" lastClr="000000"/>
            </a:solidFill>
          </a:endParaRPr>
        </a:p>
      </dsp:txBody>
      <dsp:txXfrm>
        <a:off x="3197257" y="1545330"/>
        <a:ext cx="103375" cy="194583"/>
      </dsp:txXfrm>
    </dsp:sp>
    <dsp:sp modelId="{6C4C9223-C2F1-4AD5-88A3-4B673435FC78}">
      <dsp:nvSpPr>
        <dsp:cNvPr id="0" name=""/>
        <dsp:cNvSpPr/>
      </dsp:nvSpPr>
      <dsp:spPr>
        <a:xfrm>
          <a:off x="3360408" y="952359"/>
          <a:ext cx="1450465" cy="953839"/>
        </a:xfrm>
        <a:prstGeom prst="ellipse">
          <a:avLst/>
        </a:prstGeom>
        <a:gradFill rotWithShape="0">
          <a:gsLst>
            <a:gs pos="0">
              <a:schemeClr val="accent3">
                <a:hueOff val="2812566"/>
                <a:satOff val="-4220"/>
                <a:lumOff val="-686"/>
                <a:alphaOff val="0"/>
                <a:shade val="51000"/>
                <a:satMod val="130000"/>
              </a:schemeClr>
            </a:gs>
            <a:gs pos="80000">
              <a:schemeClr val="accent3">
                <a:hueOff val="2812566"/>
                <a:satOff val="-4220"/>
                <a:lumOff val="-686"/>
                <a:alphaOff val="0"/>
                <a:shade val="93000"/>
                <a:satMod val="130000"/>
              </a:schemeClr>
            </a:gs>
            <a:gs pos="100000">
              <a:schemeClr val="accent3">
                <a:hueOff val="2812566"/>
                <a:satOff val="-4220"/>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b="1" i="1" kern="1200">
              <a:solidFill>
                <a:sysClr val="windowText" lastClr="000000"/>
              </a:solidFill>
              <a:latin typeface="Times New Roman" pitchFamily="18" charset="0"/>
              <a:cs typeface="Times New Roman" pitchFamily="18" charset="0"/>
            </a:rPr>
            <a:t>Соперничество в отрасли</a:t>
          </a:r>
        </a:p>
        <a:p>
          <a:pPr lvl="0" algn="ctr" defTabSz="466725">
            <a:lnSpc>
              <a:spcPct val="90000"/>
            </a:lnSpc>
            <a:spcBef>
              <a:spcPct val="0"/>
            </a:spcBef>
            <a:spcAft>
              <a:spcPct val="35000"/>
            </a:spcAft>
          </a:pPr>
          <a:r>
            <a:rPr lang="ru-RU" sz="900" b="1" i="1" kern="1200">
              <a:solidFill>
                <a:sysClr val="windowText" lastClr="000000"/>
              </a:solidFill>
              <a:latin typeface="Times New Roman" pitchFamily="18" charset="0"/>
              <a:cs typeface="Times New Roman" pitchFamily="18" charset="0"/>
            </a:rPr>
            <a:t>(</a:t>
          </a:r>
          <a:r>
            <a:rPr lang="ru-RU" sz="900" b="1" kern="1200">
              <a:solidFill>
                <a:sysClr val="windowText" lastClr="000000"/>
              </a:solidFill>
              <a:latin typeface="Times New Roman" pitchFamily="18" charset="0"/>
              <a:cs typeface="Times New Roman" pitchFamily="18" charset="0"/>
            </a:rPr>
            <a:t>Спрос в отрасли растет, прибыль компаний растет)</a:t>
          </a:r>
        </a:p>
      </dsp:txBody>
      <dsp:txXfrm>
        <a:off x="3572824" y="1092045"/>
        <a:ext cx="1025633" cy="674467"/>
      </dsp:txXfrm>
    </dsp:sp>
    <dsp:sp modelId="{AB1F141D-0B27-423A-993A-258AAF8379AE}">
      <dsp:nvSpPr>
        <dsp:cNvPr id="0" name=""/>
        <dsp:cNvSpPr/>
      </dsp:nvSpPr>
      <dsp:spPr>
        <a:xfrm rot="3108098">
          <a:off x="2906622" y="2175986"/>
          <a:ext cx="170825" cy="324305"/>
        </a:xfrm>
        <a:prstGeom prst="rightArrow">
          <a:avLst>
            <a:gd name="adj1" fmla="val 60000"/>
            <a:gd name="adj2" fmla="val 50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solidFill>
              <a:sysClr val="windowText" lastClr="000000"/>
            </a:solidFill>
          </a:endParaRPr>
        </a:p>
      </dsp:txBody>
      <dsp:txXfrm>
        <a:off x="2916400" y="2220710"/>
        <a:ext cx="119578" cy="194583"/>
      </dsp:txXfrm>
    </dsp:sp>
    <dsp:sp modelId="{C38F331D-4DA8-4EF9-8738-E9BEC15FEF50}">
      <dsp:nvSpPr>
        <dsp:cNvPr id="0" name=""/>
        <dsp:cNvSpPr/>
      </dsp:nvSpPr>
      <dsp:spPr>
        <a:xfrm>
          <a:off x="2681592" y="2418010"/>
          <a:ext cx="1497136" cy="953839"/>
        </a:xfrm>
        <a:prstGeom prst="ellipse">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i="1" kern="1200">
              <a:solidFill>
                <a:sysClr val="windowText" lastClr="000000"/>
              </a:solidFill>
              <a:latin typeface="Times New Roman" pitchFamily="18" charset="0"/>
              <a:cs typeface="Times New Roman" pitchFamily="18" charset="0"/>
            </a:rPr>
            <a:t>Угроза вторжения новых участников</a:t>
          </a:r>
        </a:p>
        <a:p>
          <a:pPr lvl="0" algn="ctr" defTabSz="444500">
            <a:lnSpc>
              <a:spcPct val="90000"/>
            </a:lnSpc>
            <a:spcBef>
              <a:spcPct val="0"/>
            </a:spcBef>
            <a:spcAft>
              <a:spcPct val="35000"/>
            </a:spcAft>
          </a:pPr>
          <a:r>
            <a:rPr lang="ru-RU" sz="800" b="1" i="0" kern="1200">
              <a:solidFill>
                <a:sysClr val="windowText" lastClr="000000"/>
              </a:solidFill>
              <a:latin typeface="Times New Roman" pitchFamily="18" charset="0"/>
              <a:cs typeface="Times New Roman" pitchFamily="18" charset="0"/>
            </a:rPr>
            <a:t>(законодательные акты, а также агрессивная рекламная кампанией новых участников)</a:t>
          </a:r>
        </a:p>
      </dsp:txBody>
      <dsp:txXfrm>
        <a:off x="2900842" y="2557696"/>
        <a:ext cx="1058636" cy="674467"/>
      </dsp:txXfrm>
    </dsp:sp>
    <dsp:sp modelId="{149DB82F-14C6-4BB9-A6CD-CBF8734BB58C}">
      <dsp:nvSpPr>
        <dsp:cNvPr id="0" name=""/>
        <dsp:cNvSpPr/>
      </dsp:nvSpPr>
      <dsp:spPr>
        <a:xfrm rot="7896809">
          <a:off x="2049769" y="2152805"/>
          <a:ext cx="167728" cy="324305"/>
        </a:xfrm>
        <a:prstGeom prst="rightArrow">
          <a:avLst>
            <a:gd name="adj1" fmla="val 60000"/>
            <a:gd name="adj2" fmla="val 50000"/>
          </a:avLst>
        </a:prstGeom>
        <a:gradFill rotWithShape="0">
          <a:gsLst>
            <a:gs pos="0">
              <a:schemeClr val="accent3">
                <a:hueOff val="8437698"/>
                <a:satOff val="-12660"/>
                <a:lumOff val="-2059"/>
                <a:alphaOff val="0"/>
                <a:shade val="51000"/>
                <a:satMod val="130000"/>
              </a:schemeClr>
            </a:gs>
            <a:gs pos="80000">
              <a:schemeClr val="accent3">
                <a:hueOff val="8437698"/>
                <a:satOff val="-12660"/>
                <a:lumOff val="-2059"/>
                <a:alphaOff val="0"/>
                <a:shade val="93000"/>
                <a:satMod val="130000"/>
              </a:schemeClr>
            </a:gs>
            <a:gs pos="100000">
              <a:schemeClr val="accent3">
                <a:hueOff val="8437698"/>
                <a:satOff val="-12660"/>
                <a:lumOff val="-205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solidFill>
              <a:sysClr val="windowText" lastClr="000000"/>
            </a:solidFill>
          </a:endParaRPr>
        </a:p>
      </dsp:txBody>
      <dsp:txXfrm rot="10800000">
        <a:off x="2091636" y="2198856"/>
        <a:ext cx="117410" cy="194583"/>
      </dsp:txXfrm>
    </dsp:sp>
    <dsp:sp modelId="{457DA4CC-DC68-4A0C-8713-FF54195C42FB}">
      <dsp:nvSpPr>
        <dsp:cNvPr id="0" name=""/>
        <dsp:cNvSpPr/>
      </dsp:nvSpPr>
      <dsp:spPr>
        <a:xfrm>
          <a:off x="953340" y="2369215"/>
          <a:ext cx="1416938" cy="953839"/>
        </a:xfrm>
        <a:prstGeom prst="ellipse">
          <a:avLst/>
        </a:prstGeom>
        <a:gradFill rotWithShape="0">
          <a:gsLst>
            <a:gs pos="0">
              <a:schemeClr val="accent3">
                <a:hueOff val="8437698"/>
                <a:satOff val="-12660"/>
                <a:lumOff val="-2059"/>
                <a:alphaOff val="0"/>
                <a:shade val="51000"/>
                <a:satMod val="130000"/>
              </a:schemeClr>
            </a:gs>
            <a:gs pos="80000">
              <a:schemeClr val="accent3">
                <a:hueOff val="8437698"/>
                <a:satOff val="-12660"/>
                <a:lumOff val="-2059"/>
                <a:alphaOff val="0"/>
                <a:shade val="93000"/>
                <a:satMod val="130000"/>
              </a:schemeClr>
            </a:gs>
            <a:gs pos="100000">
              <a:schemeClr val="accent3">
                <a:hueOff val="8437698"/>
                <a:satOff val="-12660"/>
                <a:lumOff val="-205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i="1" kern="1200">
              <a:solidFill>
                <a:sysClr val="windowText" lastClr="000000"/>
              </a:solidFill>
              <a:latin typeface="Times New Roman" pitchFamily="18" charset="0"/>
              <a:cs typeface="Times New Roman" pitchFamily="18" charset="0"/>
            </a:rPr>
            <a:t>Рыночная власть поставщиков</a:t>
          </a:r>
        </a:p>
        <a:p>
          <a:pPr lvl="0" algn="ctr" defTabSz="488950">
            <a:lnSpc>
              <a:spcPct val="90000"/>
            </a:lnSpc>
            <a:spcBef>
              <a:spcPct val="0"/>
            </a:spcBef>
            <a:spcAft>
              <a:spcPct val="35000"/>
            </a:spcAft>
          </a:pPr>
          <a:r>
            <a:rPr lang="ru-RU" sz="1000" b="1" kern="1200">
              <a:solidFill>
                <a:sysClr val="windowText" lastClr="000000"/>
              </a:solidFill>
              <a:latin typeface="Times New Roman" pitchFamily="18" charset="0"/>
              <a:cs typeface="Times New Roman" pitchFamily="18" charset="0"/>
            </a:rPr>
            <a:t>(большая доля иностранных производителей </a:t>
          </a:r>
        </a:p>
      </dsp:txBody>
      <dsp:txXfrm>
        <a:off x="1160846" y="2508901"/>
        <a:ext cx="1001926" cy="674467"/>
      </dsp:txXfrm>
    </dsp:sp>
    <dsp:sp modelId="{83209D6D-E621-41B0-97DA-0A8357CC949F}">
      <dsp:nvSpPr>
        <dsp:cNvPr id="0" name=""/>
        <dsp:cNvSpPr/>
      </dsp:nvSpPr>
      <dsp:spPr>
        <a:xfrm rot="11764721">
          <a:off x="1799422" y="1450158"/>
          <a:ext cx="164034" cy="324305"/>
        </a:xfrm>
        <a:prstGeom prst="rightArrow">
          <a:avLst>
            <a:gd name="adj1" fmla="val 60000"/>
            <a:gd name="adj2" fmla="val 5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solidFill>
              <a:sysClr val="windowText" lastClr="000000"/>
            </a:solidFill>
          </a:endParaRPr>
        </a:p>
      </dsp:txBody>
      <dsp:txXfrm rot="10800000">
        <a:off x="1847670" y="1521834"/>
        <a:ext cx="114824" cy="194583"/>
      </dsp:txXfrm>
    </dsp:sp>
    <dsp:sp modelId="{C1EC673B-2BED-43B1-830D-C565B2DBB2A8}">
      <dsp:nvSpPr>
        <dsp:cNvPr id="0" name=""/>
        <dsp:cNvSpPr/>
      </dsp:nvSpPr>
      <dsp:spPr>
        <a:xfrm>
          <a:off x="380197" y="904998"/>
          <a:ext cx="1403822" cy="953839"/>
        </a:xfrm>
        <a:prstGeom prst="ellipse">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i="1" kern="1200">
              <a:solidFill>
                <a:sysClr val="windowText" lastClr="000000"/>
              </a:solidFill>
              <a:latin typeface="Times New Roman" pitchFamily="18" charset="0"/>
              <a:cs typeface="Times New Roman" pitchFamily="18" charset="0"/>
            </a:rPr>
            <a:t>Заменители</a:t>
          </a:r>
        </a:p>
        <a:p>
          <a:pPr lvl="0" algn="ctr" defTabSz="533400">
            <a:lnSpc>
              <a:spcPct val="90000"/>
            </a:lnSpc>
            <a:spcBef>
              <a:spcPct val="0"/>
            </a:spcBef>
            <a:spcAft>
              <a:spcPct val="35000"/>
            </a:spcAft>
          </a:pPr>
          <a:r>
            <a:rPr lang="ru-RU" sz="1000" b="1" i="0" kern="1200">
              <a:solidFill>
                <a:sysClr val="windowText" lastClr="000000"/>
              </a:solidFill>
              <a:latin typeface="Times New Roman" pitchFamily="18" charset="0"/>
              <a:cs typeface="Times New Roman" pitchFamily="18" charset="0"/>
            </a:rPr>
            <a:t>(</a:t>
          </a:r>
          <a:r>
            <a:rPr lang="ru-RU" sz="1000" b="1" kern="1200">
              <a:solidFill>
                <a:sysClr val="windowText" lastClr="000000"/>
              </a:solidFill>
              <a:latin typeface="Times New Roman" pitchFamily="18" charset="0"/>
              <a:cs typeface="Times New Roman" pitchFamily="18" charset="0"/>
            </a:rPr>
            <a:t>БАД и народные средства)</a:t>
          </a:r>
        </a:p>
      </dsp:txBody>
      <dsp:txXfrm>
        <a:off x="585782" y="1044684"/>
        <a:ext cx="992652" cy="67446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7BDB1-8FE0-4936-B9EE-61E77653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2430</Words>
  <Characters>13853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Төленова Сұлушаш</cp:lastModifiedBy>
  <cp:revision>2</cp:revision>
  <cp:lastPrinted>2016-02-02T14:50:00Z</cp:lastPrinted>
  <dcterms:created xsi:type="dcterms:W3CDTF">2016-12-22T09:40:00Z</dcterms:created>
  <dcterms:modified xsi:type="dcterms:W3CDTF">2016-12-22T09:40:00Z</dcterms:modified>
</cp:coreProperties>
</file>