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39" w:rsidRPr="008E1539" w:rsidRDefault="008E1539" w:rsidP="008E1539">
      <w:pPr>
        <w:spacing w:line="360" w:lineRule="atLeast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sz w:val="33"/>
          <w:szCs w:val="33"/>
          <w:bdr w:val="none" w:sz="0" w:space="0" w:color="auto" w:frame="1"/>
          <w:lang w:val="en-US" w:eastAsia="ru-RU"/>
        </w:rPr>
      </w:pPr>
      <w:proofErr w:type="spellStart"/>
      <w:r w:rsidRPr="008E1539">
        <w:rPr>
          <w:rFonts w:ascii="Calibri" w:eastAsia="Times New Roman" w:hAnsi="Calibri" w:cs="Calibri"/>
          <w:color w:val="000000"/>
          <w:kern w:val="36"/>
          <w:sz w:val="33"/>
          <w:szCs w:val="33"/>
          <w:bdr w:val="none" w:sz="0" w:space="0" w:color="auto" w:frame="1"/>
          <w:lang w:val="en-US" w:eastAsia="ru-RU"/>
        </w:rPr>
        <w:t>Transyears</w:t>
      </w:r>
      <w:proofErr w:type="spellEnd"/>
      <w:r w:rsidRPr="008E1539">
        <w:rPr>
          <w:rFonts w:ascii="Calibri" w:eastAsia="Times New Roman" w:hAnsi="Calibri" w:cs="Calibri"/>
          <w:color w:val="000000"/>
          <w:kern w:val="36"/>
          <w:sz w:val="33"/>
          <w:szCs w:val="33"/>
          <w:bdr w:val="none" w:sz="0" w:space="0" w:color="auto" w:frame="1"/>
          <w:lang w:val="en-US" w:eastAsia="ru-RU"/>
        </w:rPr>
        <w:t xml:space="preserve"> Competing with the Seasons in Tropical Malaria Incidence</w:t>
      </w:r>
    </w:p>
    <w:p w:rsidR="008E1539" w:rsidRPr="008E1539" w:rsidRDefault="008E1539" w:rsidP="008E1539">
      <w:pPr>
        <w:spacing w:after="105" w:line="270" w:lineRule="atLeast"/>
        <w:textAlignment w:val="baseline"/>
        <w:outlineLvl w:val="2"/>
        <w:rPr>
          <w:rFonts w:ascii="Calibri" w:eastAsia="Times New Roman" w:hAnsi="Calibri" w:cs="Calibri"/>
          <w:b/>
          <w:bCs/>
          <w:caps/>
          <w:color w:val="5A5A5A"/>
          <w:sz w:val="17"/>
          <w:szCs w:val="17"/>
          <w:lang w:val="en-US" w:eastAsia="ru-RU"/>
        </w:rPr>
      </w:pPr>
      <w:r w:rsidRPr="008E1539">
        <w:rPr>
          <w:rFonts w:ascii="Calibri" w:eastAsia="Times New Roman" w:hAnsi="Calibri" w:cs="Calibri"/>
          <w:b/>
          <w:bCs/>
          <w:caps/>
          <w:color w:val="5A5A5A"/>
          <w:sz w:val="17"/>
          <w:szCs w:val="17"/>
          <w:lang w:val="en-US" w:eastAsia="ru-RU"/>
        </w:rPr>
        <w:t>RESEARCH-ARTICLE</w:t>
      </w:r>
    </w:p>
    <w:p w:rsidR="008E1539" w:rsidRPr="008E1539" w:rsidRDefault="008E1539" w:rsidP="008E1539">
      <w:pPr>
        <w:spacing w:after="0" w:line="240" w:lineRule="auto"/>
        <w:textAlignment w:val="baseline"/>
        <w:rPr>
          <w:rFonts w:ascii="Georgia" w:eastAsia="Times New Roman" w:hAnsi="Georgia" w:cs="Times New Roman"/>
          <w:color w:val="397890"/>
          <w:sz w:val="21"/>
          <w:szCs w:val="21"/>
          <w:lang w:val="en-US" w:eastAsia="ru-RU"/>
        </w:rPr>
      </w:pPr>
      <w:proofErr w:type="spellStart"/>
      <w:r w:rsidRPr="008E1539">
        <w:rPr>
          <w:rFonts w:ascii="Georgia" w:eastAsia="Times New Roman" w:hAnsi="Georgia" w:cs="Times New Roman"/>
          <w:color w:val="397890"/>
          <w:sz w:val="21"/>
          <w:szCs w:val="21"/>
          <w:lang w:val="en-US" w:eastAsia="ru-RU"/>
        </w:rPr>
        <w:t>Lyazzat</w:t>
      </w:r>
      <w:proofErr w:type="spellEnd"/>
      <w:r w:rsidRPr="008E1539">
        <w:rPr>
          <w:rFonts w:ascii="Georgia" w:eastAsia="Times New Roman" w:hAnsi="Georgia" w:cs="Times New Roman"/>
          <w:color w:val="397890"/>
          <w:sz w:val="21"/>
          <w:szCs w:val="21"/>
          <w:lang w:val="en-US" w:eastAsia="ru-RU"/>
        </w:rPr>
        <w:t xml:space="preserve"> Gumarova</w:t>
      </w:r>
      <w:r w:rsidRPr="008E1539">
        <w:rPr>
          <w:rFonts w:ascii="Georgia" w:eastAsia="Times New Roman" w:hAnsi="Georgia" w:cs="Times New Roman"/>
          <w:color w:val="397890"/>
          <w:sz w:val="21"/>
          <w:szCs w:val="21"/>
          <w:vertAlign w:val="superscript"/>
          <w:lang w:val="en-US" w:eastAsia="ru-RU"/>
        </w:rPr>
        <w:t>1, 2</w:t>
      </w:r>
      <w:r w:rsidRPr="008E1539">
        <w:rPr>
          <w:rFonts w:ascii="Georgia" w:eastAsia="Times New Roman" w:hAnsi="Georgia" w:cs="Times New Roman"/>
          <w:color w:val="397890"/>
          <w:sz w:val="21"/>
          <w:szCs w:val="21"/>
          <w:lang w:val="en-US" w:eastAsia="ru-RU"/>
        </w:rPr>
        <w:t>, Germaine Cornelissen</w:t>
      </w:r>
      <w:r w:rsidRPr="008E1539">
        <w:rPr>
          <w:rFonts w:ascii="Georgia" w:eastAsia="Times New Roman" w:hAnsi="Georgia" w:cs="Times New Roman"/>
          <w:color w:val="397890"/>
          <w:sz w:val="21"/>
          <w:szCs w:val="21"/>
          <w:vertAlign w:val="superscript"/>
          <w:lang w:val="en-US" w:eastAsia="ru-RU"/>
        </w:rPr>
        <w:t>1</w:t>
      </w:r>
      <w:r w:rsidRPr="008E1539">
        <w:rPr>
          <w:rFonts w:ascii="Georgia" w:eastAsia="Times New Roman" w:hAnsi="Georgia" w:cs="Times New Roman"/>
          <w:color w:val="397890"/>
          <w:sz w:val="21"/>
          <w:szCs w:val="21"/>
          <w:lang w:val="en-US" w:eastAsia="ru-RU"/>
        </w:rPr>
        <w:t xml:space="preserve">, </w:t>
      </w:r>
      <w:proofErr w:type="spellStart"/>
      <w:r w:rsidRPr="008E1539">
        <w:rPr>
          <w:rFonts w:ascii="Georgia" w:eastAsia="Times New Roman" w:hAnsi="Georgia" w:cs="Times New Roman"/>
          <w:color w:val="397890"/>
          <w:sz w:val="21"/>
          <w:szCs w:val="21"/>
          <w:lang w:val="en-US" w:eastAsia="ru-RU"/>
        </w:rPr>
        <w:t>Borislav</w:t>
      </w:r>
      <w:proofErr w:type="spellEnd"/>
      <w:r w:rsidRPr="008E1539">
        <w:rPr>
          <w:rFonts w:ascii="Georgia" w:eastAsia="Times New Roman" w:hAnsi="Georgia" w:cs="Times New Roman"/>
          <w:color w:val="397890"/>
          <w:sz w:val="21"/>
          <w:szCs w:val="21"/>
          <w:lang w:val="en-US" w:eastAsia="ru-RU"/>
        </w:rPr>
        <w:t xml:space="preserve"> D Dimitrov</w:t>
      </w:r>
      <w:r w:rsidRPr="008E1539">
        <w:rPr>
          <w:rFonts w:ascii="Georgia" w:eastAsia="Times New Roman" w:hAnsi="Georgia" w:cs="Times New Roman"/>
          <w:color w:val="397890"/>
          <w:sz w:val="21"/>
          <w:szCs w:val="21"/>
          <w:vertAlign w:val="superscript"/>
          <w:lang w:val="en-US" w:eastAsia="ru-RU"/>
        </w:rPr>
        <w:t>3</w:t>
      </w:r>
      <w:r w:rsidRPr="008E1539">
        <w:rPr>
          <w:rFonts w:ascii="Cambria Math" w:eastAsia="Times New Roman" w:hAnsi="Cambria Math" w:cs="Cambria Math"/>
          <w:color w:val="397890"/>
          <w:sz w:val="21"/>
          <w:szCs w:val="21"/>
          <w:vertAlign w:val="superscript"/>
          <w:lang w:val="en-US" w:eastAsia="ru-RU"/>
        </w:rPr>
        <w:t>∗</w:t>
      </w:r>
      <w:r w:rsidRPr="008E1539">
        <w:rPr>
          <w:rFonts w:ascii="Georgia" w:eastAsia="Times New Roman" w:hAnsi="Georgia" w:cs="Times New Roman"/>
          <w:color w:val="397890"/>
          <w:sz w:val="21"/>
          <w:szCs w:val="21"/>
          <w:lang w:val="en-US" w:eastAsia="ru-RU"/>
        </w:rPr>
        <w:t> and Franz Halberg</w:t>
      </w:r>
      <w:r w:rsidRPr="008E1539">
        <w:rPr>
          <w:rFonts w:ascii="Georgia" w:eastAsia="Times New Roman" w:hAnsi="Georgia" w:cs="Times New Roman"/>
          <w:color w:val="397890"/>
          <w:sz w:val="21"/>
          <w:szCs w:val="21"/>
          <w:vertAlign w:val="superscript"/>
          <w:lang w:val="en-US" w:eastAsia="ru-RU"/>
        </w:rPr>
        <w:t>1, 4</w:t>
      </w:r>
    </w:p>
    <w:p w:rsidR="008E1539" w:rsidRPr="008E1539" w:rsidRDefault="008E1539" w:rsidP="008E1539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val="en-US" w:eastAsia="ru-RU"/>
        </w:rPr>
      </w:pPr>
      <w:hyperlink r:id="rId4" w:history="1">
        <w:r w:rsidRPr="008E1539">
          <w:rPr>
            <w:rFonts w:ascii="Georgia" w:eastAsia="Times New Roman" w:hAnsi="Georgia" w:cs="Times New Roman"/>
            <w:color w:val="397890"/>
            <w:sz w:val="18"/>
            <w:szCs w:val="18"/>
            <w:u w:val="single"/>
            <w:bdr w:val="none" w:sz="0" w:space="0" w:color="auto" w:frame="1"/>
            <w:lang w:val="en-US" w:eastAsia="ru-RU"/>
          </w:rPr>
          <w:t>Show details</w:t>
        </w:r>
      </w:hyperlink>
    </w:p>
    <w:p w:rsidR="008E1539" w:rsidRPr="008E1539" w:rsidRDefault="008E1539" w:rsidP="008E1539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8E15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Abstract</w:t>
      </w:r>
    </w:p>
    <w:p w:rsidR="008E1539" w:rsidRPr="008E1539" w:rsidRDefault="008E1539" w:rsidP="008E1539">
      <w:pPr>
        <w:spacing w:after="360" w:line="405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</w:pPr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Communicable and non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communicable diseases show </w:t>
      </w:r>
      <w:proofErr w:type="spellStart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coperiodisms</w:t>
      </w:r>
      <w:proofErr w:type="spellEnd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 (shared cycles) with the sun's and earth's magnetism. About 11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year cycles and components with periods a few weeks or a few months longer than one year (near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 and far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proofErr w:type="spellStart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transyears</w:t>
      </w:r>
      <w:proofErr w:type="spellEnd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, respectively) are the cases in point. Published data on the incidence of malaria in Burundi, Papua New Guinea, and Thailand are </w:t>
      </w:r>
      <w:proofErr w:type="spellStart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analysed</w:t>
      </w:r>
      <w:proofErr w:type="spellEnd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 by the linear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nonlinear </w:t>
      </w:r>
      <w:proofErr w:type="spellStart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cosinor</w:t>
      </w:r>
      <w:proofErr w:type="spellEnd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 to assess the relative prominence of </w:t>
      </w:r>
      <w:proofErr w:type="spellStart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transyears</w:t>
      </w:r>
      <w:proofErr w:type="spellEnd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 versus the calendar year. An about 2.3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year component characterizes malaria incidence in Burundi and Papua New Guinea (Thailand data were only sampled yearly). Long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term trends cannot be distinguished from the presence of an about 11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year cycle found in a 100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year long record from </w:t>
      </w:r>
      <w:proofErr w:type="spellStart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Chizhevsky</w:t>
      </w:r>
      <w:proofErr w:type="spellEnd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 on mortality from cholera in Russia, albeit its second harmonic is statistically significant in Burundi’s data. Whereas far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 and near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proofErr w:type="spellStart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transyears</w:t>
      </w:r>
      <w:proofErr w:type="spellEnd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 characterize malaria incidence in Burundi more prominently than the calendar year, only a candidate near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proofErr w:type="spellStart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transyear</w:t>
      </w:r>
      <w:proofErr w:type="spellEnd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 of small amplitude </w:t>
      </w:r>
      <w:proofErr w:type="gramStart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is barely detected</w:t>
      </w:r>
      <w:proofErr w:type="gramEnd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 in Papua New Guinea, where the calendar year is most prominently expressed. Both regions are located near the equator. Selectively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assorted geographic differences such as these, observed herein for a communicable disease, </w:t>
      </w:r>
      <w:proofErr w:type="gramStart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have been previously observed</w:t>
      </w:r>
      <w:proofErr w:type="gramEnd"/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 xml:space="preserve"> for non</w:t>
      </w:r>
      <w:r w:rsidRPr="008E1539">
        <w:rPr>
          <w:rFonts w:ascii="Cambria Math" w:eastAsia="Times New Roman" w:hAnsi="Cambria Math" w:cs="Cambria Math"/>
          <w:color w:val="333333"/>
          <w:sz w:val="21"/>
          <w:szCs w:val="21"/>
          <w:lang w:val="en-US" w:eastAsia="ru-RU"/>
        </w:rPr>
        <w:t>‐</w:t>
      </w:r>
      <w:r w:rsidRPr="008E1539">
        <w:rPr>
          <w:rFonts w:ascii="Georgia" w:eastAsia="Times New Roman" w:hAnsi="Georgia" w:cs="Times New Roman"/>
          <w:color w:val="333333"/>
          <w:sz w:val="21"/>
          <w:szCs w:val="21"/>
          <w:lang w:val="en-US" w:eastAsia="ru-RU"/>
        </w:rPr>
        <w:t>communicable conditions, such as sudden cardiac death.</w:t>
      </w:r>
    </w:p>
    <w:p w:rsidR="008E1539" w:rsidRPr="008E1539" w:rsidRDefault="008E1539" w:rsidP="008E15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</w:pPr>
      <w:r w:rsidRPr="008E153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bdr w:val="none" w:sz="0" w:space="0" w:color="auto" w:frame="1"/>
          <w:lang w:val="en-US" w:eastAsia="ru-RU"/>
        </w:rPr>
        <w:t>Keywords: </w:t>
      </w:r>
      <w:proofErr w:type="spellStart"/>
      <w:r w:rsidRPr="008E1539"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  <w:t>Chronoepidemiology</w:t>
      </w:r>
      <w:proofErr w:type="spellEnd"/>
      <w:r w:rsidRPr="008E1539"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  <w:t>, Malaria, time series analysis, public health, infectious diseases</w:t>
      </w:r>
    </w:p>
    <w:p w:rsidR="00484AFF" w:rsidRPr="008E1539" w:rsidRDefault="008E1539">
      <w:pPr>
        <w:rPr>
          <w:lang w:val="en-US"/>
        </w:rPr>
      </w:pPr>
      <w:bookmarkStart w:id="0" w:name="_GoBack"/>
      <w:bookmarkEnd w:id="0"/>
    </w:p>
    <w:sectPr w:rsidR="00484AFF" w:rsidRPr="008E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39"/>
    <w:rsid w:val="0009169B"/>
    <w:rsid w:val="0060152A"/>
    <w:rsid w:val="00726BEE"/>
    <w:rsid w:val="008E1539"/>
    <w:rsid w:val="00F5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B161-85E7-4D60-A3A2-CE31EA48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1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1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5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E1539"/>
  </w:style>
  <w:style w:type="character" w:styleId="a3">
    <w:name w:val="Hyperlink"/>
    <w:basedOn w:val="a0"/>
    <w:uiPriority w:val="99"/>
    <w:semiHidden/>
    <w:unhideWhenUsed/>
    <w:rsid w:val="008E1539"/>
    <w:rPr>
      <w:color w:val="0000FF"/>
      <w:u w:val="single"/>
    </w:rPr>
  </w:style>
  <w:style w:type="paragraph" w:customStyle="1" w:styleId="first">
    <w:name w:val="first"/>
    <w:basedOn w:val="a"/>
    <w:rsid w:val="008E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 Ляззат</dc:creator>
  <cp:keywords/>
  <dc:description/>
  <cp:lastModifiedBy>Гумарова Ляззат</cp:lastModifiedBy>
  <cp:revision>1</cp:revision>
  <dcterms:created xsi:type="dcterms:W3CDTF">2016-12-02T08:27:00Z</dcterms:created>
  <dcterms:modified xsi:type="dcterms:W3CDTF">2016-12-02T08:28:00Z</dcterms:modified>
</cp:coreProperties>
</file>