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1F5" w:rsidRPr="00DD61F5" w:rsidRDefault="00DD61F5" w:rsidP="00DD61F5">
      <w:pPr>
        <w:spacing w:line="360" w:lineRule="auto"/>
        <w:jc w:val="center"/>
        <w:rPr>
          <w:b/>
          <w:sz w:val="28"/>
          <w:szCs w:val="28"/>
          <w:lang w:val="kk-KZ"/>
        </w:rPr>
      </w:pPr>
      <w:r w:rsidRPr="00DD61F5">
        <w:rPr>
          <w:b/>
          <w:sz w:val="28"/>
          <w:szCs w:val="28"/>
          <w:lang w:val="kk-KZ"/>
        </w:rPr>
        <w:t xml:space="preserve">ФИТОРЕМЕДИАЦИЯ ПРОЦЕСІ АРҚЫЛЫ МҰНАЙМЕН ЛАСТАНҒАН ТОПЫРАҚТЫ ТАЗАЛАУ </w:t>
      </w:r>
    </w:p>
    <w:p w:rsidR="00DD61F5" w:rsidRDefault="00DD61F5" w:rsidP="00DD61F5">
      <w:pPr>
        <w:spacing w:line="360" w:lineRule="auto"/>
        <w:jc w:val="center"/>
        <w:rPr>
          <w:color w:val="000000"/>
          <w:lang w:val="kk-KZ"/>
        </w:rPr>
      </w:pPr>
    </w:p>
    <w:p w:rsidR="00DD61F5" w:rsidRDefault="00DD61F5" w:rsidP="00DD61F5">
      <w:pPr>
        <w:spacing w:line="360" w:lineRule="auto"/>
        <w:jc w:val="center"/>
        <w:rPr>
          <w:i/>
          <w:color w:val="000000"/>
          <w:lang w:val="kk-KZ"/>
        </w:rPr>
      </w:pPr>
      <w:r w:rsidRPr="00DD61F5">
        <w:rPr>
          <w:i/>
          <w:color w:val="000000"/>
          <w:lang w:val="kk-KZ"/>
        </w:rPr>
        <w:t>Е.О. Досжанов, Е.Қ. Оңғарбаев, З.А. Мансуров, А.А. Жубанова</w:t>
      </w:r>
    </w:p>
    <w:p w:rsidR="00B10E90" w:rsidRDefault="00DD61F5" w:rsidP="00DD61F5">
      <w:pPr>
        <w:spacing w:line="360" w:lineRule="auto"/>
        <w:jc w:val="center"/>
        <w:rPr>
          <w:i/>
          <w:color w:val="000000"/>
          <w:lang w:val="kk-KZ"/>
        </w:rPr>
      </w:pPr>
      <w:r>
        <w:rPr>
          <w:i/>
          <w:color w:val="000000"/>
          <w:lang w:val="kk-KZ"/>
        </w:rPr>
        <w:t>әл-Фараби атындағы Қаз</w:t>
      </w:r>
      <w:r w:rsidR="00522EFE">
        <w:rPr>
          <w:i/>
          <w:color w:val="000000"/>
          <w:lang w:val="kk-KZ"/>
        </w:rPr>
        <w:t>ҰУ</w:t>
      </w:r>
      <w:r w:rsidR="002046B1">
        <w:rPr>
          <w:i/>
          <w:color w:val="000000"/>
          <w:lang w:val="kk-KZ"/>
        </w:rPr>
        <w:t xml:space="preserve">, </w:t>
      </w:r>
      <w:r w:rsidR="00B10E90">
        <w:rPr>
          <w:i/>
          <w:color w:val="000000"/>
          <w:lang w:val="kk-KZ"/>
        </w:rPr>
        <w:t>Алматы қ.,</w:t>
      </w:r>
      <w:r w:rsidR="00522EFE">
        <w:rPr>
          <w:i/>
          <w:color w:val="000000"/>
          <w:lang w:val="kk-KZ"/>
        </w:rPr>
        <w:t xml:space="preserve"> </w:t>
      </w:r>
      <w:r w:rsidR="002046B1">
        <w:rPr>
          <w:i/>
          <w:color w:val="000000"/>
          <w:lang w:val="kk-KZ"/>
        </w:rPr>
        <w:t>Қазақстан Республикасы</w:t>
      </w:r>
    </w:p>
    <w:p w:rsidR="002046B1" w:rsidRPr="009624A9" w:rsidRDefault="00701B7F" w:rsidP="00DD61F5">
      <w:pPr>
        <w:spacing w:line="360" w:lineRule="auto"/>
        <w:jc w:val="center"/>
        <w:rPr>
          <w:i/>
          <w:color w:val="000000"/>
          <w:lang w:val="kk-KZ"/>
        </w:rPr>
      </w:pPr>
      <w:hyperlink r:id="rId5" w:history="1">
        <w:r w:rsidR="009624A9" w:rsidRPr="009624A9">
          <w:rPr>
            <w:rStyle w:val="a9"/>
            <w:i/>
            <w:u w:val="none"/>
            <w:lang w:val="kk-KZ"/>
          </w:rPr>
          <w:t>Yerlan.Doszhanov@kaznu.kz</w:t>
        </w:r>
      </w:hyperlink>
    </w:p>
    <w:p w:rsidR="009624A9" w:rsidRPr="002046B1" w:rsidRDefault="009624A9" w:rsidP="00DD61F5">
      <w:pPr>
        <w:spacing w:line="360" w:lineRule="auto"/>
        <w:jc w:val="center"/>
        <w:rPr>
          <w:i/>
          <w:color w:val="000000"/>
          <w:lang w:val="kk-KZ"/>
        </w:rPr>
      </w:pPr>
    </w:p>
    <w:p w:rsidR="00DD61F5" w:rsidRPr="00DD61F5" w:rsidRDefault="00DD61F5" w:rsidP="00DD61F5">
      <w:pPr>
        <w:spacing w:line="360" w:lineRule="auto"/>
        <w:ind w:firstLine="567"/>
        <w:jc w:val="both"/>
        <w:rPr>
          <w:color w:val="000000"/>
          <w:lang w:val="kk-KZ"/>
        </w:rPr>
      </w:pPr>
      <w:r w:rsidRPr="00DD61F5">
        <w:rPr>
          <w:color w:val="000000"/>
          <w:lang w:val="kk-KZ"/>
        </w:rPr>
        <w:t>Соңғы он жылда</w:t>
      </w:r>
      <w:r w:rsidR="002046B1">
        <w:rPr>
          <w:color w:val="000000"/>
          <w:lang w:val="kk-KZ"/>
        </w:rPr>
        <w:t>,</w:t>
      </w:r>
      <w:r w:rsidRPr="00DD61F5">
        <w:rPr>
          <w:color w:val="000000"/>
          <w:lang w:val="kk-KZ"/>
        </w:rPr>
        <w:t xml:space="preserve"> </w:t>
      </w:r>
      <w:r w:rsidR="002046B1" w:rsidRPr="00DD61F5">
        <w:rPr>
          <w:color w:val="000000"/>
          <w:lang w:val="kk-KZ"/>
        </w:rPr>
        <w:t>мұнай және мұнай өнімдерін</w:t>
      </w:r>
      <w:r w:rsidR="002046B1">
        <w:rPr>
          <w:color w:val="000000"/>
          <w:lang w:val="kk-KZ"/>
        </w:rPr>
        <w:t xml:space="preserve">ің </w:t>
      </w:r>
      <w:r w:rsidRPr="00DD61F5">
        <w:rPr>
          <w:color w:val="000000"/>
          <w:lang w:val="kk-KZ"/>
        </w:rPr>
        <w:t xml:space="preserve">көлемін ұлғайту, тасымалдау, өңдеу және пайдалану </w:t>
      </w:r>
      <w:r w:rsidR="002046B1">
        <w:rPr>
          <w:color w:val="000000"/>
          <w:lang w:val="kk-KZ"/>
        </w:rPr>
        <w:t>барысында</w:t>
      </w:r>
      <w:r w:rsidRPr="00DD61F5">
        <w:rPr>
          <w:color w:val="000000"/>
          <w:lang w:val="kk-KZ"/>
        </w:rPr>
        <w:t xml:space="preserve"> қоршаған ортаның мұнай көмірсутектерімен ластану деңгейі едәуір өсі</w:t>
      </w:r>
      <w:r w:rsidR="002046B1">
        <w:rPr>
          <w:color w:val="000000"/>
          <w:lang w:val="kk-KZ"/>
        </w:rPr>
        <w:t>п жатыр</w:t>
      </w:r>
      <w:r w:rsidRPr="00DD61F5">
        <w:rPr>
          <w:color w:val="000000"/>
          <w:lang w:val="kk-KZ"/>
        </w:rPr>
        <w:t>. Топырақт</w:t>
      </w:r>
      <w:r w:rsidR="002046B1">
        <w:rPr>
          <w:color w:val="000000"/>
          <w:lang w:val="kk-KZ"/>
        </w:rPr>
        <w:t>ы</w:t>
      </w:r>
      <w:r w:rsidRPr="00DD61F5">
        <w:rPr>
          <w:color w:val="000000"/>
          <w:lang w:val="kk-KZ"/>
        </w:rPr>
        <w:t>ң жоға</w:t>
      </w:r>
      <w:r w:rsidR="002046B1">
        <w:rPr>
          <w:color w:val="000000"/>
          <w:lang w:val="kk-KZ"/>
        </w:rPr>
        <w:t>р</w:t>
      </w:r>
      <w:r w:rsidRPr="00DD61F5">
        <w:rPr>
          <w:color w:val="000000"/>
          <w:lang w:val="kk-KZ"/>
        </w:rPr>
        <w:t>ы қарқынды химиялық ластану</w:t>
      </w:r>
      <w:r w:rsidR="002046B1">
        <w:rPr>
          <w:color w:val="000000"/>
          <w:lang w:val="kk-KZ"/>
        </w:rPr>
        <w:t>ы</w:t>
      </w:r>
      <w:r w:rsidRPr="00DD61F5">
        <w:rPr>
          <w:color w:val="000000"/>
          <w:lang w:val="kk-KZ"/>
        </w:rPr>
        <w:t xml:space="preserve"> мұнай</w:t>
      </w:r>
      <w:r w:rsidR="00863DAA">
        <w:rPr>
          <w:color w:val="000000"/>
          <w:lang w:val="kk-KZ"/>
        </w:rPr>
        <w:t xml:space="preserve"> және мұнай өнімдерін </w:t>
      </w:r>
      <w:r w:rsidRPr="00DD61F5">
        <w:rPr>
          <w:color w:val="000000"/>
          <w:lang w:val="kk-KZ"/>
        </w:rPr>
        <w:t xml:space="preserve">өндіру, өңдеу және тасымалдау кезінде </w:t>
      </w:r>
      <w:r w:rsidR="004C5171">
        <w:rPr>
          <w:color w:val="000000"/>
          <w:lang w:val="kk-KZ"/>
        </w:rPr>
        <w:t>жүзеге асады</w:t>
      </w:r>
      <w:r w:rsidRPr="00DD61F5">
        <w:rPr>
          <w:color w:val="000000"/>
          <w:lang w:val="kk-KZ"/>
        </w:rPr>
        <w:t>. Топырақ</w:t>
      </w:r>
      <w:r w:rsidR="00863DAA">
        <w:rPr>
          <w:color w:val="000000"/>
          <w:lang w:val="kk-KZ"/>
        </w:rPr>
        <w:t xml:space="preserve"> қабаттарында </w:t>
      </w:r>
      <w:r w:rsidRPr="00DD61F5">
        <w:rPr>
          <w:color w:val="000000"/>
          <w:lang w:val="kk-KZ"/>
        </w:rPr>
        <w:t xml:space="preserve">шоғырланған көмірсутектердің әсерінен топырақ </w:t>
      </w:r>
      <w:r w:rsidR="002046B1">
        <w:rPr>
          <w:color w:val="000000"/>
          <w:lang w:val="kk-KZ"/>
        </w:rPr>
        <w:t xml:space="preserve">экожүйесінің өзгеруі байқалады. </w:t>
      </w:r>
      <w:r w:rsidRPr="00DD61F5">
        <w:rPr>
          <w:color w:val="000000"/>
          <w:lang w:val="kk-KZ"/>
        </w:rPr>
        <w:t>Топырақ қасиеттерінің өзгеруі мен көмірсуте</w:t>
      </w:r>
      <w:r w:rsidR="00B10E90">
        <w:rPr>
          <w:color w:val="000000"/>
          <w:lang w:val="kk-KZ"/>
        </w:rPr>
        <w:t>кт</w:t>
      </w:r>
      <w:r w:rsidRPr="00DD61F5">
        <w:rPr>
          <w:color w:val="000000"/>
          <w:lang w:val="kk-KZ"/>
        </w:rPr>
        <w:t>ердің тікелей әсер етуі</w:t>
      </w:r>
      <w:r w:rsidR="00863DAA">
        <w:rPr>
          <w:color w:val="000000"/>
          <w:lang w:val="kk-KZ"/>
        </w:rPr>
        <w:t>,</w:t>
      </w:r>
      <w:r w:rsidRPr="00DD61F5">
        <w:rPr>
          <w:color w:val="000000"/>
          <w:lang w:val="kk-KZ"/>
        </w:rPr>
        <w:t xml:space="preserve"> өсімдіктердің басым көпшілігін</w:t>
      </w:r>
      <w:r w:rsidR="004C5171">
        <w:rPr>
          <w:color w:val="000000"/>
          <w:lang w:val="kk-KZ"/>
        </w:rPr>
        <w:t>ің</w:t>
      </w:r>
      <w:r w:rsidRPr="00DD61F5">
        <w:rPr>
          <w:color w:val="000000"/>
          <w:lang w:val="kk-KZ"/>
        </w:rPr>
        <w:t xml:space="preserve"> өсуі мен дамуының толық </w:t>
      </w:r>
      <w:r w:rsidR="004C5171">
        <w:rPr>
          <w:color w:val="000000"/>
          <w:lang w:val="kk-KZ"/>
        </w:rPr>
        <w:t xml:space="preserve">тежелуіне </w:t>
      </w:r>
      <w:r w:rsidRPr="00DD61F5">
        <w:rPr>
          <w:color w:val="000000"/>
          <w:lang w:val="kk-KZ"/>
        </w:rPr>
        <w:t xml:space="preserve">алып келеді. </w:t>
      </w:r>
      <w:r w:rsidR="002046B1">
        <w:rPr>
          <w:color w:val="000000"/>
          <w:lang w:val="kk-KZ"/>
        </w:rPr>
        <w:t>Сол себепті, т</w:t>
      </w:r>
      <w:r w:rsidRPr="00DD61F5">
        <w:rPr>
          <w:color w:val="000000"/>
          <w:lang w:val="kk-KZ"/>
        </w:rPr>
        <w:t>опы</w:t>
      </w:r>
      <w:r w:rsidR="002046B1">
        <w:rPr>
          <w:color w:val="000000"/>
          <w:lang w:val="kk-KZ"/>
        </w:rPr>
        <w:t xml:space="preserve">рақ </w:t>
      </w:r>
      <w:r w:rsidR="00863DAA">
        <w:rPr>
          <w:color w:val="000000"/>
          <w:lang w:val="kk-KZ"/>
        </w:rPr>
        <w:t xml:space="preserve">беті </w:t>
      </w:r>
      <w:r w:rsidR="002046B1">
        <w:rPr>
          <w:color w:val="000000"/>
          <w:lang w:val="kk-KZ"/>
        </w:rPr>
        <w:t>фитотоксинді бола бастайды</w:t>
      </w:r>
      <w:r w:rsidR="00B10E90">
        <w:rPr>
          <w:color w:val="000000"/>
          <w:lang w:val="kk-KZ"/>
        </w:rPr>
        <w:t xml:space="preserve"> </w:t>
      </w:r>
      <w:r w:rsidR="00B10E90" w:rsidRPr="00A9415E">
        <w:rPr>
          <w:color w:val="000000"/>
          <w:lang w:val="kk-KZ"/>
        </w:rPr>
        <w:t>[</w:t>
      </w:r>
      <w:r w:rsidR="003E6DA1">
        <w:rPr>
          <w:color w:val="000000"/>
          <w:lang w:val="kk-KZ"/>
        </w:rPr>
        <w:t>1</w:t>
      </w:r>
      <w:r w:rsidR="00B10E90" w:rsidRPr="00A9415E">
        <w:rPr>
          <w:color w:val="000000"/>
          <w:lang w:val="kk-KZ"/>
        </w:rPr>
        <w:t>]</w:t>
      </w:r>
      <w:r w:rsidR="002046B1">
        <w:rPr>
          <w:color w:val="000000"/>
          <w:lang w:val="kk-KZ"/>
        </w:rPr>
        <w:t>.</w:t>
      </w:r>
    </w:p>
    <w:p w:rsidR="00DD61F5" w:rsidRPr="00DD61F5" w:rsidRDefault="00DD61F5" w:rsidP="00DD61F5">
      <w:pPr>
        <w:spacing w:line="360" w:lineRule="auto"/>
        <w:ind w:firstLine="567"/>
        <w:jc w:val="both"/>
        <w:rPr>
          <w:lang w:val="kk-KZ"/>
        </w:rPr>
      </w:pPr>
      <w:r w:rsidRPr="00DD61F5">
        <w:rPr>
          <w:lang w:val="kk-KZ"/>
        </w:rPr>
        <w:t>Көмірсуте</w:t>
      </w:r>
      <w:r w:rsidR="00B10E90">
        <w:rPr>
          <w:lang w:val="kk-KZ"/>
        </w:rPr>
        <w:t>ктермен</w:t>
      </w:r>
      <w:r w:rsidRPr="00DD61F5">
        <w:rPr>
          <w:lang w:val="kk-KZ"/>
        </w:rPr>
        <w:t xml:space="preserve"> ластанған топырақ</w:t>
      </w:r>
      <w:r w:rsidR="00863DAA">
        <w:rPr>
          <w:lang w:val="kk-KZ"/>
        </w:rPr>
        <w:t>тард</w:t>
      </w:r>
      <w:r w:rsidRPr="00DD61F5">
        <w:rPr>
          <w:lang w:val="kk-KZ"/>
        </w:rPr>
        <w:t xml:space="preserve">ы қалпына келтірудің дәстүрлі әдістермен салыстырғанда, фиторемедиация </w:t>
      </w:r>
      <w:r w:rsidR="00863DAA">
        <w:rPr>
          <w:lang w:val="kk-KZ"/>
        </w:rPr>
        <w:t xml:space="preserve">әдісі </w:t>
      </w:r>
      <w:r w:rsidRPr="00DD61F5">
        <w:rPr>
          <w:lang w:val="kk-KZ"/>
        </w:rPr>
        <w:t>экологиялық қауіпсіз және экономикалық жағынан тиімдірек. Әдебиетте [</w:t>
      </w:r>
      <w:r w:rsidR="003E6DA1">
        <w:rPr>
          <w:lang w:val="kk-KZ"/>
        </w:rPr>
        <w:t>2</w:t>
      </w:r>
      <w:r w:rsidRPr="00DD61F5">
        <w:rPr>
          <w:lang w:val="kk-KZ"/>
        </w:rPr>
        <w:t>]</w:t>
      </w:r>
      <w:r w:rsidR="00B10E90">
        <w:rPr>
          <w:lang w:val="kk-KZ"/>
        </w:rPr>
        <w:t>,</w:t>
      </w:r>
      <w:r w:rsidRPr="00DD61F5">
        <w:rPr>
          <w:lang w:val="kk-KZ"/>
        </w:rPr>
        <w:t xml:space="preserve"> фиторемедиацияның белгіленген әсеріне көптеген өсімдіктердің 30-40 түрі жайлы мәліметтер келтірілген. Оның і</w:t>
      </w:r>
      <w:r w:rsidR="00B10E90">
        <w:rPr>
          <w:lang w:val="kk-KZ"/>
        </w:rPr>
        <w:t>шінде, ғылыми жұмыстардың 75</w:t>
      </w:r>
      <w:r w:rsidRPr="00DD61F5">
        <w:rPr>
          <w:lang w:val="kk-KZ"/>
        </w:rPr>
        <w:t>%-ы полиароматты көмірсутектерді</w:t>
      </w:r>
      <w:r w:rsidR="004C5171">
        <w:rPr>
          <w:lang w:val="kk-KZ"/>
        </w:rPr>
        <w:t>ң</w:t>
      </w:r>
      <w:r w:rsidRPr="00DD61F5">
        <w:rPr>
          <w:lang w:val="kk-KZ"/>
        </w:rPr>
        <w:t xml:space="preserve"> ыдырату</w:t>
      </w:r>
      <w:r w:rsidR="004C5171">
        <w:rPr>
          <w:lang w:val="kk-KZ"/>
        </w:rPr>
        <w:t>ын</w:t>
      </w:r>
      <w:r w:rsidRPr="00DD61F5">
        <w:rPr>
          <w:lang w:val="kk-KZ"/>
        </w:rPr>
        <w:t xml:space="preserve"> </w:t>
      </w:r>
      <w:r w:rsidR="00B10E90">
        <w:rPr>
          <w:lang w:val="kk-KZ"/>
        </w:rPr>
        <w:t xml:space="preserve">зерттеу жұмыстарына </w:t>
      </w:r>
      <w:r w:rsidRPr="00DD61F5">
        <w:rPr>
          <w:lang w:val="kk-KZ"/>
        </w:rPr>
        <w:t xml:space="preserve">арналған. </w:t>
      </w:r>
      <w:r w:rsidR="00B10E90">
        <w:rPr>
          <w:lang w:val="kk-KZ"/>
        </w:rPr>
        <w:t>С</w:t>
      </w:r>
      <w:r w:rsidRPr="00DD61F5">
        <w:rPr>
          <w:lang w:val="kk-KZ"/>
        </w:rPr>
        <w:t>ұйық көмірсутектерді құрамы мен қасиеті бойынша әртекті жер қыртыстарында (топырақтарда) тарату, сонымен қатар, олардың сапалық анализімен байланысты қиындықтарға қатысты болады. Мәдени және жабайы өсімдіктерді зертханалық және вегетациялық тәжірибелердің көмегімен кең ауқымда жүргізілген зерттеулер, олардың көмірсутекті поллютанттарға қатысты тұрақты, маңызды ақпараттарды алуға, көмірсутектермен ластанған топыраққа өсімдіктердің әсер ету механизмдерін анықтауға мүмкіндік береді</w:t>
      </w:r>
      <w:r w:rsidR="00B10E90">
        <w:rPr>
          <w:lang w:val="kk-KZ"/>
        </w:rPr>
        <w:t xml:space="preserve"> </w:t>
      </w:r>
      <w:r w:rsidR="00B10E90" w:rsidRPr="00B10E90">
        <w:rPr>
          <w:lang w:val="kk-KZ"/>
        </w:rPr>
        <w:t>[</w:t>
      </w:r>
      <w:r w:rsidR="003E6DA1">
        <w:rPr>
          <w:lang w:val="kk-KZ"/>
        </w:rPr>
        <w:t>3-4</w:t>
      </w:r>
      <w:r w:rsidR="00B10E90" w:rsidRPr="00B10E90">
        <w:rPr>
          <w:lang w:val="kk-KZ"/>
        </w:rPr>
        <w:t>]</w:t>
      </w:r>
      <w:r w:rsidRPr="00DD61F5">
        <w:rPr>
          <w:lang w:val="kk-KZ"/>
        </w:rPr>
        <w:t xml:space="preserve">. </w:t>
      </w:r>
    </w:p>
    <w:p w:rsidR="00DD61F5" w:rsidRPr="00DD61F5" w:rsidRDefault="00DD61F5" w:rsidP="00DD61F5">
      <w:pPr>
        <w:spacing w:line="360" w:lineRule="auto"/>
        <w:ind w:firstLine="567"/>
        <w:jc w:val="both"/>
        <w:rPr>
          <w:lang w:val="kk-KZ"/>
        </w:rPr>
      </w:pPr>
      <w:r w:rsidRPr="00DD61F5">
        <w:rPr>
          <w:lang w:val="kk-KZ"/>
        </w:rPr>
        <w:t>Б</w:t>
      </w:r>
      <w:r w:rsidR="00B10E90">
        <w:rPr>
          <w:lang w:val="kk-KZ"/>
        </w:rPr>
        <w:t>ерілген</w:t>
      </w:r>
      <w:r w:rsidRPr="00DD61F5">
        <w:rPr>
          <w:lang w:val="kk-KZ"/>
        </w:rPr>
        <w:t xml:space="preserve"> жұмыста Өзен кен орнының </w:t>
      </w:r>
      <w:r w:rsidR="003E6DA1">
        <w:rPr>
          <w:lang w:val="kk-KZ"/>
        </w:rPr>
        <w:t>қамба</w:t>
      </w:r>
      <w:r w:rsidRPr="00DD61F5">
        <w:rPr>
          <w:lang w:val="kk-KZ"/>
        </w:rPr>
        <w:t xml:space="preserve"> мұнайы мен қолдан ластау барысында механикалық жолмен тазартылған топырақ үлгілері пайдалан</w:t>
      </w:r>
      <w:r w:rsidR="003E6DA1">
        <w:rPr>
          <w:lang w:val="kk-KZ"/>
        </w:rPr>
        <w:t>ылды</w:t>
      </w:r>
      <w:r w:rsidRPr="00DD61F5">
        <w:rPr>
          <w:lang w:val="kk-KZ"/>
        </w:rPr>
        <w:t>. Процес</w:t>
      </w:r>
      <w:r w:rsidR="003E6DA1">
        <w:rPr>
          <w:lang w:val="kk-KZ"/>
        </w:rPr>
        <w:t>с</w:t>
      </w:r>
      <w:r w:rsidRPr="00DD61F5">
        <w:rPr>
          <w:lang w:val="kk-KZ"/>
        </w:rPr>
        <w:t xml:space="preserve"> кезінде астық тұқымдасы мен бұршақ тұқымдасына жататын бидай </w:t>
      </w:r>
      <w:r w:rsidR="003E6DA1">
        <w:rPr>
          <w:lang w:val="kk-KZ"/>
        </w:rPr>
        <w:t>және</w:t>
      </w:r>
      <w:r w:rsidRPr="00DD61F5">
        <w:rPr>
          <w:lang w:val="kk-KZ"/>
        </w:rPr>
        <w:t xml:space="preserve"> жоңышқа өсімдіктері </w:t>
      </w:r>
      <w:r w:rsidRPr="00DD61F5">
        <w:rPr>
          <w:iCs/>
          <w:color w:val="000000"/>
          <w:lang w:val="kk-KZ"/>
        </w:rPr>
        <w:t xml:space="preserve">таңдап алынып, олардың мұнаймен ластанған </w:t>
      </w:r>
      <w:r w:rsidRPr="00DD61F5">
        <w:rPr>
          <w:lang w:val="kk-KZ"/>
        </w:rPr>
        <w:t>топырақ қабат</w:t>
      </w:r>
      <w:r w:rsidR="003E6DA1">
        <w:rPr>
          <w:lang w:val="kk-KZ"/>
        </w:rPr>
        <w:t xml:space="preserve">тарына </w:t>
      </w:r>
      <w:r w:rsidRPr="00DD61F5">
        <w:rPr>
          <w:lang w:val="kk-KZ"/>
        </w:rPr>
        <w:t xml:space="preserve">әсері </w:t>
      </w:r>
      <w:r w:rsidR="003E6DA1">
        <w:rPr>
          <w:lang w:val="kk-KZ"/>
        </w:rPr>
        <w:t xml:space="preserve">мен </w:t>
      </w:r>
      <w:r w:rsidRPr="00DD61F5">
        <w:rPr>
          <w:lang w:val="kk-KZ"/>
        </w:rPr>
        <w:t>өсу динамикасы зерттелінді. Батыс Қазақстанның мұнай өндіретін аумақтарынан, мұнай құбырларының жарылуынан жайылып кеткен мұнайдың құрамы сіңген топырақтың түрлері таңдап алын</w:t>
      </w:r>
      <w:r w:rsidR="003E6DA1">
        <w:rPr>
          <w:lang w:val="kk-KZ"/>
        </w:rPr>
        <w:t>ып</w:t>
      </w:r>
      <w:r w:rsidRPr="00DD61F5">
        <w:rPr>
          <w:lang w:val="kk-KZ"/>
        </w:rPr>
        <w:t>, осы үлгілердің органикалық бөлігінің құрамы 23 мас</w:t>
      </w:r>
      <w:r w:rsidR="003E6DA1">
        <w:rPr>
          <w:lang w:val="kk-KZ"/>
        </w:rPr>
        <w:t xml:space="preserve"> </w:t>
      </w:r>
      <w:r w:rsidRPr="00DD61F5">
        <w:rPr>
          <w:lang w:val="kk-KZ"/>
        </w:rPr>
        <w:t xml:space="preserve">% құраған (Кесте </w:t>
      </w:r>
      <w:r w:rsidR="003E6DA1">
        <w:rPr>
          <w:lang w:val="kk-KZ"/>
        </w:rPr>
        <w:t>1</w:t>
      </w:r>
      <w:r w:rsidRPr="00DD61F5">
        <w:rPr>
          <w:lang w:val="kk-KZ"/>
        </w:rPr>
        <w:t>).</w:t>
      </w:r>
    </w:p>
    <w:p w:rsidR="00DD61F5" w:rsidRDefault="00DD61F5" w:rsidP="003E6DA1">
      <w:pPr>
        <w:spacing w:line="360" w:lineRule="auto"/>
        <w:jc w:val="center"/>
        <w:rPr>
          <w:lang w:val="kk-KZ"/>
        </w:rPr>
      </w:pPr>
      <w:r w:rsidRPr="00DD61F5">
        <w:rPr>
          <w:lang w:val="kk-KZ"/>
        </w:rPr>
        <w:lastRenderedPageBreak/>
        <w:t xml:space="preserve">Кесте </w:t>
      </w:r>
      <w:r w:rsidR="003E6DA1">
        <w:rPr>
          <w:lang w:val="kk-KZ"/>
        </w:rPr>
        <w:t>1</w:t>
      </w:r>
      <w:r w:rsidRPr="00DD61F5">
        <w:rPr>
          <w:lang w:val="kk-KZ"/>
        </w:rPr>
        <w:t xml:space="preserve"> - Мұнаймен ластанған топырақтың компоненттік құрамы</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2937"/>
      </w:tblGrid>
      <w:tr w:rsidR="004C5171" w:rsidRPr="00DD61F5" w:rsidTr="00637D5F">
        <w:trPr>
          <w:trHeight w:val="461"/>
          <w:jc w:val="center"/>
        </w:trPr>
        <w:tc>
          <w:tcPr>
            <w:tcW w:w="4536" w:type="dxa"/>
          </w:tcPr>
          <w:p w:rsidR="004C5171" w:rsidRPr="004C5171" w:rsidRDefault="004C5171" w:rsidP="00820D54">
            <w:pPr>
              <w:spacing w:line="360" w:lineRule="auto"/>
              <w:jc w:val="center"/>
              <w:rPr>
                <w:b/>
              </w:rPr>
            </w:pPr>
            <w:proofErr w:type="spellStart"/>
            <w:r w:rsidRPr="004C5171">
              <w:rPr>
                <w:b/>
              </w:rPr>
              <w:t>Компоненттер</w:t>
            </w:r>
            <w:proofErr w:type="spellEnd"/>
            <w:r w:rsidRPr="004C5171">
              <w:rPr>
                <w:b/>
              </w:rPr>
              <w:t xml:space="preserve"> </w:t>
            </w:r>
          </w:p>
        </w:tc>
        <w:tc>
          <w:tcPr>
            <w:tcW w:w="2937" w:type="dxa"/>
          </w:tcPr>
          <w:p w:rsidR="004C5171" w:rsidRPr="004C5171" w:rsidRDefault="004C5171" w:rsidP="004C5171">
            <w:pPr>
              <w:spacing w:line="360" w:lineRule="auto"/>
              <w:jc w:val="center"/>
              <w:rPr>
                <w:b/>
              </w:rPr>
            </w:pPr>
            <w:r w:rsidRPr="004C5171">
              <w:rPr>
                <w:b/>
              </w:rPr>
              <w:t>М</w:t>
            </w:r>
            <w:r w:rsidRPr="004C5171">
              <w:rPr>
                <w:b/>
                <w:lang w:val="kk-KZ"/>
              </w:rPr>
              <w:t>ө</w:t>
            </w:r>
            <w:proofErr w:type="spellStart"/>
            <w:r w:rsidRPr="004C5171">
              <w:rPr>
                <w:b/>
              </w:rPr>
              <w:t>лшер</w:t>
            </w:r>
            <w:proofErr w:type="spellEnd"/>
            <w:r w:rsidRPr="004C5171">
              <w:rPr>
                <w:b/>
                <w:lang w:val="kk-KZ"/>
              </w:rPr>
              <w:t>і</w:t>
            </w:r>
            <w:r w:rsidRPr="004C5171">
              <w:rPr>
                <w:b/>
              </w:rPr>
              <w:t xml:space="preserve">, </w:t>
            </w:r>
            <w:proofErr w:type="spellStart"/>
            <w:r w:rsidRPr="004C5171">
              <w:rPr>
                <w:b/>
              </w:rPr>
              <w:t>мас</w:t>
            </w:r>
            <w:proofErr w:type="spellEnd"/>
            <w:r w:rsidRPr="004C5171">
              <w:rPr>
                <w:b/>
              </w:rPr>
              <w:t>. %</w:t>
            </w:r>
          </w:p>
        </w:tc>
      </w:tr>
      <w:tr w:rsidR="00820D54" w:rsidRPr="00DD61F5" w:rsidTr="00637D5F">
        <w:trPr>
          <w:trHeight w:val="461"/>
          <w:jc w:val="center"/>
        </w:trPr>
        <w:tc>
          <w:tcPr>
            <w:tcW w:w="4536" w:type="dxa"/>
          </w:tcPr>
          <w:p w:rsidR="00820D54" w:rsidRPr="00637D5F" w:rsidRDefault="00820D54" w:rsidP="004C5171">
            <w:pPr>
              <w:spacing w:line="360" w:lineRule="auto"/>
              <w:jc w:val="center"/>
            </w:pPr>
            <w:r w:rsidRPr="00637D5F">
              <w:rPr>
                <w:lang w:val="kk-KZ"/>
              </w:rPr>
              <w:t>о</w:t>
            </w:r>
            <w:proofErr w:type="spellStart"/>
            <w:r w:rsidRPr="00637D5F">
              <w:t>ргани</w:t>
            </w:r>
            <w:proofErr w:type="spellEnd"/>
            <w:r w:rsidRPr="00637D5F">
              <w:rPr>
                <w:lang w:val="kk-KZ"/>
              </w:rPr>
              <w:t>калық бөлім</w:t>
            </w:r>
          </w:p>
        </w:tc>
        <w:tc>
          <w:tcPr>
            <w:tcW w:w="2937" w:type="dxa"/>
          </w:tcPr>
          <w:p w:rsidR="00820D54" w:rsidRPr="00637D5F" w:rsidRDefault="00820D54" w:rsidP="004C5171">
            <w:pPr>
              <w:spacing w:line="360" w:lineRule="auto"/>
              <w:jc w:val="center"/>
            </w:pPr>
            <w:r w:rsidRPr="00637D5F">
              <w:t>23.0</w:t>
            </w:r>
          </w:p>
        </w:tc>
      </w:tr>
      <w:tr w:rsidR="00820D54" w:rsidRPr="00DD61F5" w:rsidTr="00637D5F">
        <w:trPr>
          <w:trHeight w:val="461"/>
          <w:jc w:val="center"/>
        </w:trPr>
        <w:tc>
          <w:tcPr>
            <w:tcW w:w="4536" w:type="dxa"/>
          </w:tcPr>
          <w:p w:rsidR="00820D54" w:rsidRPr="00637D5F" w:rsidRDefault="00820D54" w:rsidP="004C5171">
            <w:pPr>
              <w:spacing w:line="360" w:lineRule="auto"/>
              <w:jc w:val="center"/>
              <w:rPr>
                <w:lang w:val="kk-KZ"/>
              </w:rPr>
            </w:pPr>
            <w:r w:rsidRPr="00637D5F">
              <w:rPr>
                <w:lang w:val="kk-KZ"/>
              </w:rPr>
              <w:t>м</w:t>
            </w:r>
            <w:proofErr w:type="spellStart"/>
            <w:r w:rsidRPr="00637D5F">
              <w:t>инерал</w:t>
            </w:r>
            <w:proofErr w:type="spellEnd"/>
            <w:r w:rsidRPr="00637D5F">
              <w:rPr>
                <w:lang w:val="kk-KZ"/>
              </w:rPr>
              <w:t>ды бөлім</w:t>
            </w:r>
          </w:p>
        </w:tc>
        <w:tc>
          <w:tcPr>
            <w:tcW w:w="2937" w:type="dxa"/>
          </w:tcPr>
          <w:p w:rsidR="00820D54" w:rsidRPr="00637D5F" w:rsidRDefault="00820D54" w:rsidP="004C5171">
            <w:pPr>
              <w:spacing w:line="360" w:lineRule="auto"/>
              <w:jc w:val="center"/>
            </w:pPr>
            <w:r w:rsidRPr="00637D5F">
              <w:t>77.0</w:t>
            </w:r>
          </w:p>
        </w:tc>
      </w:tr>
    </w:tbl>
    <w:p w:rsidR="00522EFE" w:rsidRDefault="00522EFE" w:rsidP="00DD61F5">
      <w:pPr>
        <w:spacing w:line="360" w:lineRule="auto"/>
        <w:ind w:firstLine="567"/>
        <w:jc w:val="both"/>
        <w:rPr>
          <w:lang w:val="kk-KZ"/>
        </w:rPr>
      </w:pPr>
    </w:p>
    <w:p w:rsidR="00DD61F5" w:rsidRPr="00DD61F5" w:rsidRDefault="00DD61F5" w:rsidP="00DD61F5">
      <w:pPr>
        <w:spacing w:line="360" w:lineRule="auto"/>
        <w:ind w:firstLine="567"/>
        <w:jc w:val="both"/>
        <w:rPr>
          <w:lang w:val="kk-KZ"/>
        </w:rPr>
      </w:pPr>
      <w:r w:rsidRPr="00DD61F5">
        <w:rPr>
          <w:lang w:val="kk-KZ"/>
        </w:rPr>
        <w:t>Зерттеуге алынған топырақ қабатының элементті құрамы да, көміртегінің, сутегінің, азот пен күкірттің құрамы мұнаймен ластанған топырақ қабатындағы органикалық фазаның құрамымен байланысты екенін көрсетеді, яғни органикалық құрамы неғұрлым көп болса, аталған элементтер де соғұрлым көп болғаны.</w:t>
      </w:r>
    </w:p>
    <w:p w:rsidR="00DD61F5" w:rsidRPr="00DD61F5" w:rsidRDefault="00DD61F5" w:rsidP="00DD61F5">
      <w:pPr>
        <w:spacing w:line="360" w:lineRule="auto"/>
        <w:ind w:firstLine="540"/>
        <w:jc w:val="both"/>
        <w:rPr>
          <w:color w:val="000000"/>
          <w:lang w:val="kk-KZ"/>
        </w:rPr>
      </w:pPr>
      <w:r w:rsidRPr="00DD61F5">
        <w:rPr>
          <w:lang w:val="kk-KZ"/>
        </w:rPr>
        <w:t>Астық және бұршақ тұқымдасына жататын өсімдіктердің керосинде және Өзен қамба мұнайында өсу динамикасын зерттеуден соң, осы мәліметтер нәтижесінде аталған өсімдіктер арасынан жоғары белсенділік танытқан бидай және жоңышқа дақылдары</w:t>
      </w:r>
      <w:r w:rsidRPr="00DD61F5">
        <w:rPr>
          <w:color w:val="000000"/>
          <w:lang w:val="kk-KZ"/>
        </w:rPr>
        <w:t xml:space="preserve"> болып табылады. Сонымен қатар, өсімдіктердің </w:t>
      </w:r>
      <w:r w:rsidRPr="00DD61F5">
        <w:rPr>
          <w:lang w:val="kk-KZ"/>
        </w:rPr>
        <w:t xml:space="preserve">мұнай өнімдерімен ластанған топырақтарға тікелей әсері зерттелінді. Мұнай өндіруші аймақтардан мұнай тасымалдау құбырларының ақаулары нәтижесінде төгілген мұнайы бар топырақ пен 100 °С стерильденген табиғи топырақтарды алып қарастырып, оған мұнай өнімінің белгілі бір мөлшерде қайта ластануын жүргіздік. Дақылдардың өсу динамикасына байланысты, алғашқы бақылауда анықталған топырақтардағы мұнай өнімінің 6 мл массалық үлесі бойынша берілген уақыт мерзімінде анықталынды. Екінші бақылауда массасы </w:t>
      </w:r>
      <w:smartTag w:uri="urn:schemas-microsoft-com:office:smarttags" w:element="metricconverter">
        <w:smartTagPr>
          <w:attr w:name="ProductID" w:val="30 г"/>
        </w:smartTagPr>
        <w:r w:rsidRPr="00DD61F5">
          <w:rPr>
            <w:lang w:val="kk-KZ"/>
          </w:rPr>
          <w:t>30 г</w:t>
        </w:r>
      </w:smartTag>
      <w:r w:rsidRPr="00DD61F5">
        <w:rPr>
          <w:lang w:val="kk-KZ"/>
        </w:rPr>
        <w:t xml:space="preserve"> осы топырақ үлгісіне 6 мл шамасында керосин өнімін енгізіп, дайын болған орта субстратына 10 данадан дақыл егілді</w:t>
      </w:r>
      <w:r w:rsidRPr="00DD61F5">
        <w:rPr>
          <w:color w:val="000000"/>
          <w:lang w:val="kk-KZ"/>
        </w:rPr>
        <w:t>. Егілген өсімдіктер әсерінен топырақтағы керосин және мұнай мөлшерінің өзгерісі әртүрлі уақыт аралығынан соң, яғни 1, 3, 7, 14 және 21 тәуліктен кейін өсу динамикасын сандық белгілеу арқылы анықтал</w:t>
      </w:r>
      <w:r w:rsidR="00500E98">
        <w:rPr>
          <w:color w:val="000000"/>
          <w:lang w:val="kk-KZ"/>
        </w:rPr>
        <w:t>ынды</w:t>
      </w:r>
      <w:r w:rsidRPr="00DD61F5">
        <w:rPr>
          <w:color w:val="000000"/>
          <w:lang w:val="kk-KZ"/>
        </w:rPr>
        <w:t>.</w:t>
      </w:r>
    </w:p>
    <w:p w:rsidR="007E78A2" w:rsidRDefault="00DD61F5" w:rsidP="007E78A2">
      <w:pPr>
        <w:spacing w:line="360" w:lineRule="auto"/>
        <w:ind w:firstLine="567"/>
        <w:jc w:val="both"/>
        <w:rPr>
          <w:lang w:val="kk-KZ"/>
        </w:rPr>
      </w:pPr>
      <w:r w:rsidRPr="00DD61F5">
        <w:rPr>
          <w:lang w:val="kk-KZ"/>
        </w:rPr>
        <w:t xml:space="preserve">Берілген </w:t>
      </w:r>
      <w:r w:rsidR="00522EFE">
        <w:rPr>
          <w:lang w:val="kk-KZ"/>
        </w:rPr>
        <w:t>1</w:t>
      </w:r>
      <w:r w:rsidRPr="00DD61F5">
        <w:rPr>
          <w:color w:val="000000"/>
          <w:lang w:val="kk-KZ"/>
        </w:rPr>
        <w:t>-</w:t>
      </w:r>
      <w:r w:rsidRPr="00DD61F5">
        <w:rPr>
          <w:lang w:val="kk-KZ"/>
        </w:rPr>
        <w:t xml:space="preserve">суретте жоңышқа өсімдігінің 6 мл көлемде қосылған мұнай өнімінің ластанған топыраққа әсері көрсетілген. Керосині бар топыраққа жоңышқа дәндердің </w:t>
      </w:r>
      <w:r w:rsidR="007E78A2">
        <w:rPr>
          <w:lang w:val="kk-KZ"/>
        </w:rPr>
        <w:t xml:space="preserve">(а) </w:t>
      </w:r>
      <w:r w:rsidRPr="00DD61F5">
        <w:rPr>
          <w:lang w:val="kk-KZ"/>
        </w:rPr>
        <w:t>суспензиясы егіл</w:t>
      </w:r>
      <w:r w:rsidR="00500E98">
        <w:rPr>
          <w:lang w:val="kk-KZ"/>
        </w:rPr>
        <w:t>іп,</w:t>
      </w:r>
      <w:r w:rsidRPr="00DD61F5">
        <w:rPr>
          <w:lang w:val="kk-KZ"/>
        </w:rPr>
        <w:t xml:space="preserve"> ластанған топырақтағы </w:t>
      </w:r>
      <w:r w:rsidR="004C5171">
        <w:rPr>
          <w:lang w:val="kk-KZ"/>
        </w:rPr>
        <w:t xml:space="preserve">жоңышқа өсімділігінің </w:t>
      </w:r>
      <w:r w:rsidRPr="00DD61F5">
        <w:rPr>
          <w:lang w:val="kk-KZ"/>
        </w:rPr>
        <w:t xml:space="preserve">бастапқымен салыстырғанда </w:t>
      </w:r>
      <w:r w:rsidR="00500E98">
        <w:rPr>
          <w:lang w:val="kk-KZ"/>
        </w:rPr>
        <w:t xml:space="preserve">7 тәулікке дейінгі </w:t>
      </w:r>
      <w:r w:rsidR="007E78A2">
        <w:rPr>
          <w:lang w:val="kk-KZ"/>
        </w:rPr>
        <w:t>ұзындығы</w:t>
      </w:r>
      <w:r w:rsidR="00500E98">
        <w:rPr>
          <w:lang w:val="kk-KZ"/>
        </w:rPr>
        <w:t xml:space="preserve"> 1-1,5</w:t>
      </w:r>
      <w:r w:rsidR="00522EFE">
        <w:rPr>
          <w:lang w:val="kk-KZ"/>
        </w:rPr>
        <w:t xml:space="preserve"> </w:t>
      </w:r>
      <w:r w:rsidRPr="00DD61F5">
        <w:rPr>
          <w:lang w:val="kk-KZ"/>
        </w:rPr>
        <w:t>см деңгейіне жетіп, кейін</w:t>
      </w:r>
      <w:r w:rsidR="00522EFE">
        <w:rPr>
          <w:lang w:val="kk-KZ"/>
        </w:rPr>
        <w:t xml:space="preserve">гі уақыт аралығында </w:t>
      </w:r>
      <w:r w:rsidRPr="00DD61F5">
        <w:rPr>
          <w:lang w:val="kk-KZ"/>
        </w:rPr>
        <w:t>өсе</w:t>
      </w:r>
      <w:r w:rsidR="00522EFE">
        <w:rPr>
          <w:lang w:val="kk-KZ"/>
        </w:rPr>
        <w:t xml:space="preserve">мділіктін қарқынды түрде биіктейтіндігіне </w:t>
      </w:r>
      <w:r w:rsidRPr="00DD61F5">
        <w:rPr>
          <w:lang w:val="kk-KZ"/>
        </w:rPr>
        <w:t>көз жеткізуге болады.</w:t>
      </w:r>
    </w:p>
    <w:p w:rsidR="007E78A2" w:rsidRDefault="007E78A2" w:rsidP="007E78A2">
      <w:pPr>
        <w:spacing w:line="360" w:lineRule="auto"/>
        <w:ind w:firstLine="567"/>
        <w:jc w:val="both"/>
        <w:rPr>
          <w:lang w:val="kk-KZ"/>
        </w:rPr>
      </w:pPr>
      <w:r w:rsidRPr="00DD61F5">
        <w:rPr>
          <w:lang w:val="kk-KZ"/>
        </w:rPr>
        <w:t xml:space="preserve">6 мл керосині бар топырақ үлгісіне астық тұқымдасының </w:t>
      </w:r>
      <w:r>
        <w:rPr>
          <w:lang w:val="kk-KZ"/>
        </w:rPr>
        <w:t xml:space="preserve">(ә) </w:t>
      </w:r>
      <w:r w:rsidRPr="00DD61F5">
        <w:rPr>
          <w:lang w:val="kk-KZ"/>
        </w:rPr>
        <w:t>дақылдары себілген. Мұнда да вегетативтік кезеңінің даму уақыт аралығы 7 тәуліктен кейін байқалады. Өсімдік ортаның әсерінен мұнай өнімдерінің мөлшері уақыт бойынша біркелкі кеміп, 21 тәулік аралығына дейінгі бидайдың өсімділігі 5 см-ге дейін жетеді. Демек, өсімдік дақылдарының көп мөлшерде егілуі оның көмірсутек құрамын көбірек пайдаланатынын байқатады.</w:t>
      </w:r>
    </w:p>
    <w:p w:rsidR="00637D5F" w:rsidRDefault="00066356" w:rsidP="00637D5F">
      <w:pPr>
        <w:spacing w:line="360" w:lineRule="auto"/>
        <w:jc w:val="center"/>
        <w:rPr>
          <w:noProof/>
          <w:lang w:val="kk-KZ"/>
        </w:rPr>
      </w:pPr>
      <w:r>
        <w:rPr>
          <w:noProof/>
        </w:rPr>
        <w:lastRenderedPageBreak/>
        <w:drawing>
          <wp:anchor distT="0" distB="0" distL="114300" distR="114300" simplePos="0" relativeHeight="251660288" behindDoc="1" locked="0" layoutInCell="1" allowOverlap="1">
            <wp:simplePos x="0" y="0"/>
            <wp:positionH relativeFrom="column">
              <wp:posOffset>156474</wp:posOffset>
            </wp:positionH>
            <wp:positionV relativeFrom="paragraph">
              <wp:posOffset>16180</wp:posOffset>
            </wp:positionV>
            <wp:extent cx="5795158" cy="3705101"/>
            <wp:effectExtent l="0" t="0" r="0" b="0"/>
            <wp:wrapNone/>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C14D36" w:rsidRPr="00066356" w:rsidRDefault="00637D5F" w:rsidP="00637D5F">
      <w:pPr>
        <w:spacing w:line="360" w:lineRule="auto"/>
        <w:rPr>
          <w:b/>
          <w:noProof/>
        </w:rPr>
      </w:pP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sidR="00066356" w:rsidRPr="007E78A2">
        <w:rPr>
          <w:noProof/>
          <w:lang w:val="kk-KZ"/>
        </w:rPr>
        <w:tab/>
      </w:r>
      <w:r>
        <w:rPr>
          <w:noProof/>
          <w:lang w:val="kk-KZ"/>
        </w:rPr>
        <w:tab/>
      </w:r>
      <w:r w:rsidR="00C14D36" w:rsidRPr="00066356">
        <w:rPr>
          <w:b/>
          <w:noProof/>
        </w:rPr>
        <w:t>(а)</w:t>
      </w: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066356" w:rsidRPr="00066356" w:rsidRDefault="00066356" w:rsidP="00066356">
      <w:pPr>
        <w:spacing w:line="360" w:lineRule="auto"/>
        <w:rPr>
          <w:b/>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066356">
        <w:rPr>
          <w:b/>
          <w:noProof/>
        </w:rPr>
        <w:t>(</w:t>
      </w:r>
      <w:r>
        <w:rPr>
          <w:b/>
          <w:noProof/>
          <w:lang w:val="kk-KZ"/>
        </w:rPr>
        <w:t>ә</w:t>
      </w:r>
      <w:r w:rsidRPr="00066356">
        <w:rPr>
          <w:b/>
          <w:noProof/>
        </w:rPr>
        <w:t>)</w:t>
      </w: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C14D36" w:rsidRDefault="00C14D36" w:rsidP="00DD61F5">
      <w:pPr>
        <w:spacing w:line="360" w:lineRule="auto"/>
        <w:jc w:val="center"/>
        <w:rPr>
          <w:noProof/>
        </w:rPr>
      </w:pPr>
    </w:p>
    <w:p w:rsidR="00DD61F5" w:rsidRPr="00DD61F5" w:rsidRDefault="00DD61F5" w:rsidP="00DD61F5">
      <w:pPr>
        <w:spacing w:line="360" w:lineRule="auto"/>
        <w:jc w:val="center"/>
        <w:rPr>
          <w:color w:val="000000"/>
          <w:lang w:val="kk-KZ"/>
        </w:rPr>
      </w:pPr>
      <w:r w:rsidRPr="00DD61F5">
        <w:rPr>
          <w:lang w:val="kk-KZ"/>
        </w:rPr>
        <w:t xml:space="preserve">Сурет </w:t>
      </w:r>
      <w:r w:rsidR="00522EFE">
        <w:rPr>
          <w:lang w:val="kk-KZ"/>
        </w:rPr>
        <w:t>1</w:t>
      </w:r>
      <w:r w:rsidRPr="00DD61F5">
        <w:rPr>
          <w:lang w:val="kk-KZ"/>
        </w:rPr>
        <w:t>. 6 мл керосині бар ластанған топыраққа жоңышқа</w:t>
      </w:r>
      <w:r w:rsidR="00066356">
        <w:rPr>
          <w:lang w:val="kk-KZ"/>
        </w:rPr>
        <w:t xml:space="preserve"> (а) және бидай (ә)</w:t>
      </w:r>
      <w:r w:rsidRPr="00DD61F5">
        <w:rPr>
          <w:lang w:val="kk-KZ"/>
        </w:rPr>
        <w:t xml:space="preserve"> дақыл</w:t>
      </w:r>
      <w:r w:rsidR="00066356">
        <w:rPr>
          <w:lang w:val="kk-KZ"/>
        </w:rPr>
        <w:t>дарыны</w:t>
      </w:r>
      <w:r w:rsidRPr="00DD61F5">
        <w:rPr>
          <w:lang w:val="kk-KZ"/>
        </w:rPr>
        <w:t xml:space="preserve">ң өсу динамикасының </w:t>
      </w:r>
      <w:r w:rsidRPr="00DD61F5">
        <w:rPr>
          <w:color w:val="000000"/>
          <w:lang w:val="kk-KZ"/>
        </w:rPr>
        <w:t>уақытқа тәуелділігі</w:t>
      </w:r>
    </w:p>
    <w:p w:rsidR="00C14D36" w:rsidRDefault="00C14D36" w:rsidP="00DD61F5">
      <w:pPr>
        <w:spacing w:line="360" w:lineRule="auto"/>
        <w:jc w:val="center"/>
        <w:rPr>
          <w:lang w:val="kk-KZ"/>
        </w:rPr>
      </w:pPr>
    </w:p>
    <w:p w:rsidR="007E78A2" w:rsidRDefault="00DD61F5" w:rsidP="007E78A2">
      <w:pPr>
        <w:spacing w:line="360" w:lineRule="auto"/>
        <w:ind w:firstLine="540"/>
        <w:jc w:val="both"/>
        <w:rPr>
          <w:lang w:val="kk-KZ"/>
        </w:rPr>
      </w:pPr>
      <w:r w:rsidRPr="00DD61F5">
        <w:rPr>
          <w:lang w:val="kk-KZ"/>
        </w:rPr>
        <w:t xml:space="preserve">Мұнайы бар ластанған топырақ құрамындағы қамба мұнайының массалық үлесі 6 мл субстратқа егілген жоңышқа өсімдігінің әсері келесі </w:t>
      </w:r>
      <w:r w:rsidR="00066356">
        <w:rPr>
          <w:lang w:val="kk-KZ"/>
        </w:rPr>
        <w:t>2</w:t>
      </w:r>
      <w:r w:rsidR="007E78A2">
        <w:rPr>
          <w:lang w:val="kk-KZ"/>
        </w:rPr>
        <w:t xml:space="preserve"> (а)-</w:t>
      </w:r>
      <w:r w:rsidRPr="00DD61F5">
        <w:rPr>
          <w:lang w:val="kk-KZ"/>
        </w:rPr>
        <w:t xml:space="preserve">суретте берілген. Мұндағы ерекшелік – бұршақ тұқымдасына жататын жоңышқа өсімдігінің белгілі көлемде егілуі, топырақтың мұнайдан тазалану дәрежесі керосинмен тазалану дәрежесімен салыстырғанда баяу өтеді. Мысалы, үлгі барысында отырғызылған жоңышқа өсімдігі бидай дақылына қарағанда бастапқы өсу динамикасы жоғарырақ болады. Мұнаймен ластанған топырақтағы жоңышқаның өсімділік динамикасы бастапқымен салыстырғанда 87 %-ға дейін өскен. Өсімдіктер ортасының әсерінен топырақтағы мұнай мөлшері біршама өзгеріп, 21 тәулікте жоңышқаның биіктігі 4 см-ге дейін бой көтерген. </w:t>
      </w:r>
    </w:p>
    <w:p w:rsidR="007E78A2" w:rsidRDefault="007E78A2" w:rsidP="007E78A2">
      <w:pPr>
        <w:spacing w:line="360" w:lineRule="auto"/>
        <w:ind w:firstLine="540"/>
        <w:jc w:val="both"/>
        <w:rPr>
          <w:color w:val="000000"/>
          <w:lang w:val="kk-KZ"/>
        </w:rPr>
      </w:pPr>
      <w:r>
        <w:rPr>
          <w:lang w:val="kk-KZ"/>
        </w:rPr>
        <w:t>М</w:t>
      </w:r>
      <w:r w:rsidRPr="00DD61F5">
        <w:rPr>
          <w:lang w:val="kk-KZ"/>
        </w:rPr>
        <w:t xml:space="preserve">ұнайы бар </w:t>
      </w:r>
      <w:r w:rsidRPr="00DD61F5">
        <w:rPr>
          <w:color w:val="000000"/>
          <w:lang w:val="kk-KZ"/>
        </w:rPr>
        <w:t>топырақтағы мұнай өнімінің бидай дақылымен</w:t>
      </w:r>
      <w:r>
        <w:rPr>
          <w:color w:val="000000"/>
          <w:lang w:val="kk-KZ"/>
        </w:rPr>
        <w:t xml:space="preserve"> (ә)</w:t>
      </w:r>
      <w:r w:rsidRPr="00DD61F5">
        <w:rPr>
          <w:color w:val="000000"/>
          <w:lang w:val="kk-KZ"/>
        </w:rPr>
        <w:t xml:space="preserve"> тазалау дәрежесінің әртүрлі уақыттан кейінгі өзгерісі көрсетілген. Бұл жерде бидайдың 15 тәулікке дейінгі ұзындығы 1 см құрап, ал 21 тәулік аралығында 2,5 см-ге жетеді. Өсімдіктердің барлық ластанған топырақтардағы мұнай өнімдерінде өсу қарқындылығы біртекті байқалып, бірақ жоңышқа дақылының бидай дақылына қарағанда өсу динамикасы 2 есеге ұлғайғандығын байқауға болады. </w:t>
      </w:r>
    </w:p>
    <w:p w:rsidR="00637D5F" w:rsidRPr="00DD61F5" w:rsidRDefault="00637D5F" w:rsidP="007E78A2">
      <w:pPr>
        <w:spacing w:line="360" w:lineRule="auto"/>
        <w:ind w:firstLine="540"/>
        <w:jc w:val="both"/>
        <w:rPr>
          <w:color w:val="000000"/>
          <w:lang w:val="kk-KZ"/>
        </w:rPr>
      </w:pPr>
    </w:p>
    <w:p w:rsidR="007E78A2" w:rsidRDefault="007E78A2" w:rsidP="00066356">
      <w:pPr>
        <w:spacing w:line="360" w:lineRule="auto"/>
        <w:jc w:val="center"/>
        <w:rPr>
          <w:noProof/>
          <w:lang w:val="kk-KZ"/>
        </w:rPr>
      </w:pPr>
    </w:p>
    <w:p w:rsidR="00066356" w:rsidRPr="00637D5F" w:rsidRDefault="00066356" w:rsidP="00637D5F">
      <w:pPr>
        <w:spacing w:line="360" w:lineRule="auto"/>
        <w:rPr>
          <w:b/>
          <w:noProof/>
          <w:lang w:val="kk-KZ"/>
        </w:rPr>
      </w:pPr>
      <w:r>
        <w:rPr>
          <w:noProof/>
        </w:rPr>
        <w:lastRenderedPageBreak/>
        <w:drawing>
          <wp:anchor distT="0" distB="0" distL="114300" distR="114300" simplePos="0" relativeHeight="251661312" behindDoc="1" locked="0" layoutInCell="1" allowOverlap="1">
            <wp:simplePos x="0" y="0"/>
            <wp:positionH relativeFrom="column">
              <wp:posOffset>-21656</wp:posOffset>
            </wp:positionH>
            <wp:positionV relativeFrom="paragraph">
              <wp:posOffset>-161950</wp:posOffset>
            </wp:positionV>
            <wp:extent cx="5759532" cy="3740728"/>
            <wp:effectExtent l="0" t="0" r="0" b="0"/>
            <wp:wrapNone/>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00637D5F">
        <w:rPr>
          <w:noProof/>
          <w:lang w:val="kk-KZ"/>
        </w:rPr>
        <w:tab/>
      </w:r>
      <w:r w:rsidRPr="00637D5F">
        <w:rPr>
          <w:b/>
          <w:noProof/>
          <w:lang w:val="kk-KZ"/>
        </w:rPr>
        <w:t>(а)</w:t>
      </w:r>
    </w:p>
    <w:p w:rsidR="00066356" w:rsidRPr="00637D5F" w:rsidRDefault="00066356" w:rsidP="00066356">
      <w:pPr>
        <w:spacing w:line="360" w:lineRule="auto"/>
        <w:jc w:val="center"/>
        <w:rPr>
          <w:noProof/>
          <w:lang w:val="kk-KZ"/>
        </w:rPr>
      </w:pPr>
    </w:p>
    <w:p w:rsidR="00066356" w:rsidRPr="00637D5F" w:rsidRDefault="00066356" w:rsidP="00066356">
      <w:pPr>
        <w:spacing w:line="360" w:lineRule="auto"/>
        <w:jc w:val="center"/>
        <w:rPr>
          <w:noProof/>
          <w:lang w:val="kk-KZ"/>
        </w:rPr>
      </w:pPr>
    </w:p>
    <w:p w:rsidR="00066356" w:rsidRPr="00637D5F" w:rsidRDefault="00066356" w:rsidP="00066356">
      <w:pPr>
        <w:spacing w:line="360" w:lineRule="auto"/>
        <w:rPr>
          <w:b/>
          <w:noProof/>
          <w:lang w:val="kk-KZ"/>
        </w:rPr>
      </w:pP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noProof/>
          <w:lang w:val="kk-KZ"/>
        </w:rPr>
        <w:tab/>
      </w:r>
      <w:r w:rsidRPr="00637D5F">
        <w:rPr>
          <w:b/>
          <w:noProof/>
          <w:lang w:val="kk-KZ"/>
        </w:rPr>
        <w:t>(</w:t>
      </w:r>
      <w:r>
        <w:rPr>
          <w:b/>
          <w:noProof/>
          <w:lang w:val="kk-KZ"/>
        </w:rPr>
        <w:t>ә</w:t>
      </w:r>
      <w:r w:rsidRPr="00637D5F">
        <w:rPr>
          <w:b/>
          <w:noProof/>
          <w:lang w:val="kk-KZ"/>
        </w:rPr>
        <w:t>)</w:t>
      </w:r>
    </w:p>
    <w:p w:rsidR="00066356" w:rsidRPr="00637D5F" w:rsidRDefault="00066356" w:rsidP="00066356">
      <w:pPr>
        <w:spacing w:line="360" w:lineRule="auto"/>
        <w:jc w:val="center"/>
        <w:rPr>
          <w:noProof/>
          <w:lang w:val="kk-KZ"/>
        </w:rPr>
      </w:pPr>
    </w:p>
    <w:p w:rsidR="00066356" w:rsidRDefault="00066356" w:rsidP="00066356">
      <w:pPr>
        <w:spacing w:line="360" w:lineRule="auto"/>
        <w:jc w:val="both"/>
        <w:rPr>
          <w:lang w:val="kk-KZ"/>
        </w:rPr>
      </w:pPr>
    </w:p>
    <w:p w:rsidR="00066356" w:rsidRPr="00DD61F5" w:rsidRDefault="00066356" w:rsidP="00066356">
      <w:pPr>
        <w:spacing w:line="360" w:lineRule="auto"/>
        <w:jc w:val="both"/>
        <w:rPr>
          <w:lang w:val="kk-KZ"/>
        </w:rPr>
      </w:pPr>
    </w:p>
    <w:p w:rsidR="00DD61F5" w:rsidRDefault="00DD61F5" w:rsidP="00066356">
      <w:pPr>
        <w:spacing w:line="360" w:lineRule="auto"/>
        <w:jc w:val="both"/>
        <w:rPr>
          <w:lang w:val="kk-KZ"/>
        </w:rPr>
      </w:pPr>
    </w:p>
    <w:p w:rsidR="00066356" w:rsidRPr="00DD61F5" w:rsidRDefault="00066356" w:rsidP="00066356">
      <w:pPr>
        <w:spacing w:line="360" w:lineRule="auto"/>
        <w:jc w:val="both"/>
        <w:rPr>
          <w:lang w:val="kk-KZ"/>
        </w:rPr>
      </w:pPr>
    </w:p>
    <w:p w:rsidR="00DD61F5" w:rsidRDefault="00DD61F5" w:rsidP="00DD61F5">
      <w:pPr>
        <w:spacing w:line="360" w:lineRule="auto"/>
        <w:jc w:val="center"/>
        <w:rPr>
          <w:noProof/>
          <w:lang w:val="kk-KZ"/>
        </w:rPr>
      </w:pPr>
    </w:p>
    <w:p w:rsidR="00066356" w:rsidRDefault="00066356" w:rsidP="00DD61F5">
      <w:pPr>
        <w:spacing w:line="360" w:lineRule="auto"/>
        <w:jc w:val="center"/>
        <w:rPr>
          <w:noProof/>
          <w:lang w:val="kk-KZ"/>
        </w:rPr>
      </w:pPr>
    </w:p>
    <w:p w:rsidR="00066356" w:rsidRDefault="00066356" w:rsidP="00DD61F5">
      <w:pPr>
        <w:spacing w:line="360" w:lineRule="auto"/>
        <w:jc w:val="center"/>
        <w:rPr>
          <w:noProof/>
          <w:lang w:val="kk-KZ"/>
        </w:rPr>
      </w:pPr>
    </w:p>
    <w:p w:rsidR="00066356" w:rsidRDefault="00066356" w:rsidP="00DD61F5">
      <w:pPr>
        <w:spacing w:line="360" w:lineRule="auto"/>
        <w:jc w:val="center"/>
        <w:rPr>
          <w:noProof/>
          <w:lang w:val="kk-KZ"/>
        </w:rPr>
      </w:pPr>
    </w:p>
    <w:p w:rsidR="00DD61F5" w:rsidRPr="00DD61F5" w:rsidRDefault="00DD61F5" w:rsidP="00DD61F5">
      <w:pPr>
        <w:spacing w:line="360" w:lineRule="auto"/>
        <w:jc w:val="center"/>
        <w:rPr>
          <w:color w:val="000000"/>
          <w:lang w:val="kk-KZ"/>
        </w:rPr>
      </w:pPr>
      <w:r w:rsidRPr="00DD61F5">
        <w:rPr>
          <w:lang w:val="kk-KZ"/>
        </w:rPr>
        <w:t xml:space="preserve">Сурет </w:t>
      </w:r>
      <w:r w:rsidR="00066356">
        <w:rPr>
          <w:lang w:val="kk-KZ"/>
        </w:rPr>
        <w:t>2</w:t>
      </w:r>
      <w:r w:rsidRPr="00DD61F5">
        <w:rPr>
          <w:lang w:val="kk-KZ"/>
        </w:rPr>
        <w:t xml:space="preserve">. 6 мл мұнайы бар ластанған топыраққа жоңышқа </w:t>
      </w:r>
      <w:r w:rsidR="00066356">
        <w:rPr>
          <w:lang w:val="kk-KZ"/>
        </w:rPr>
        <w:t xml:space="preserve">(а) және бидай (ә) </w:t>
      </w:r>
      <w:r w:rsidRPr="00DD61F5">
        <w:rPr>
          <w:lang w:val="kk-KZ"/>
        </w:rPr>
        <w:t>дақыл</w:t>
      </w:r>
      <w:r w:rsidR="00066356">
        <w:rPr>
          <w:lang w:val="kk-KZ"/>
        </w:rPr>
        <w:t>дар</w:t>
      </w:r>
      <w:r w:rsidRPr="00DD61F5">
        <w:rPr>
          <w:lang w:val="kk-KZ"/>
        </w:rPr>
        <w:t xml:space="preserve">ының өсу динамикасының </w:t>
      </w:r>
      <w:r w:rsidRPr="00DD61F5">
        <w:rPr>
          <w:color w:val="000000"/>
          <w:lang w:val="kk-KZ"/>
        </w:rPr>
        <w:t>уақытқа тәуелділігі</w:t>
      </w:r>
    </w:p>
    <w:p w:rsidR="00DD61F5" w:rsidRPr="00DD61F5" w:rsidRDefault="00DD61F5" w:rsidP="00DD61F5">
      <w:pPr>
        <w:spacing w:line="360" w:lineRule="auto"/>
        <w:jc w:val="center"/>
        <w:rPr>
          <w:noProof/>
          <w:lang w:val="kk-KZ"/>
        </w:rPr>
      </w:pPr>
    </w:p>
    <w:p w:rsidR="00DD61F5" w:rsidRDefault="00DD61F5" w:rsidP="00DD61F5">
      <w:pPr>
        <w:pStyle w:val="3"/>
        <w:spacing w:after="0" w:line="360" w:lineRule="auto"/>
        <w:ind w:left="0" w:firstLine="540"/>
        <w:jc w:val="both"/>
        <w:rPr>
          <w:bCs/>
          <w:sz w:val="24"/>
          <w:szCs w:val="24"/>
          <w:lang w:val="kk-KZ"/>
        </w:rPr>
      </w:pPr>
      <w:r w:rsidRPr="00DD61F5">
        <w:rPr>
          <w:bCs/>
          <w:sz w:val="24"/>
          <w:szCs w:val="24"/>
          <w:lang w:val="kk-KZ"/>
        </w:rPr>
        <w:t xml:space="preserve">Қорыта келе, алынған нәтижелер бойынша зерттелінген бидай және жоңышқа өсімдік дақылдарының керосин мен мұнай өнімдерімен ластанған топырақтардағы өсу динамикасын бақылап, ондағы көмірсутектер мөлшерінің өсімдіктермен пайдалану деңгейі қарастырылды. Топырақтың бірінші үлгісінде, яғни мұнай өнімімен ластанған топырақтағы жоңышқа мен бидайдың өсу динамикасы, екіншідегі керосинмен ластанған топырақ үлгідегі бидай мен жоңышқаға қарағанда өсімділігі төмен нәтиже береді. 21 тәулікте мұнай өнімдерінде егілген бұршақ тұқымдастығының астық тұқымдастығына қарағанда өсу деңгейі 50 %-ды құрайды. Бұл аталған өсімдіктердің қоршаған ортаға төгілген мұнай және мұнай өнімдерінің көмірсутектерінен тазалау үшін пайдалану перспективасы жоғары екендігін дәлелдейді. </w:t>
      </w:r>
    </w:p>
    <w:p w:rsidR="00B255E6" w:rsidRDefault="00B255E6" w:rsidP="00B255E6">
      <w:pPr>
        <w:spacing w:line="360" w:lineRule="auto"/>
        <w:jc w:val="center"/>
        <w:rPr>
          <w:b/>
          <w:lang w:val="kk-KZ"/>
        </w:rPr>
      </w:pPr>
      <w:r w:rsidRPr="00A9415E">
        <w:rPr>
          <w:b/>
          <w:lang w:val="kk-KZ"/>
        </w:rPr>
        <w:t>ӘДЕБИЕТ</w:t>
      </w:r>
    </w:p>
    <w:p w:rsidR="00B255E6" w:rsidRDefault="00B255E6" w:rsidP="00B255E6">
      <w:pPr>
        <w:pStyle w:val="a5"/>
        <w:numPr>
          <w:ilvl w:val="0"/>
          <w:numId w:val="1"/>
        </w:numPr>
        <w:tabs>
          <w:tab w:val="left" w:pos="426"/>
        </w:tabs>
        <w:spacing w:line="360" w:lineRule="auto"/>
        <w:ind w:left="0" w:firstLine="0"/>
        <w:rPr>
          <w:sz w:val="24"/>
          <w:szCs w:val="24"/>
          <w:lang w:val="ru-RU"/>
        </w:rPr>
      </w:pPr>
      <w:r w:rsidRPr="00B255E6">
        <w:rPr>
          <w:sz w:val="24"/>
          <w:szCs w:val="24"/>
          <w:lang w:val="ru-RU"/>
        </w:rPr>
        <w:t>Солнцева Н.П. Влияние техногенных потоков на морфологию почв в районах нефтедобычи // Добыча полезных ископаемых и геохимия природных экосистем.  М.: Наука. 1992.С. 26-39.</w:t>
      </w:r>
    </w:p>
    <w:p w:rsidR="00B255E6" w:rsidRDefault="00C80C35" w:rsidP="00B255E6">
      <w:pPr>
        <w:pStyle w:val="a5"/>
        <w:numPr>
          <w:ilvl w:val="0"/>
          <w:numId w:val="1"/>
        </w:numPr>
        <w:tabs>
          <w:tab w:val="left" w:pos="426"/>
        </w:tabs>
        <w:spacing w:line="360" w:lineRule="auto"/>
        <w:ind w:left="0" w:firstLine="0"/>
        <w:rPr>
          <w:sz w:val="24"/>
          <w:szCs w:val="24"/>
          <w:lang w:val="ru-RU"/>
        </w:rPr>
      </w:pPr>
      <w:proofErr w:type="spellStart"/>
      <w:r w:rsidRPr="00B255E6">
        <w:rPr>
          <w:sz w:val="24"/>
          <w:szCs w:val="24"/>
        </w:rPr>
        <w:t>Merkl</w:t>
      </w:r>
      <w:proofErr w:type="spellEnd"/>
      <w:r w:rsidRPr="00B255E6">
        <w:rPr>
          <w:sz w:val="24"/>
          <w:szCs w:val="24"/>
        </w:rPr>
        <w:t xml:space="preserve"> N. </w:t>
      </w:r>
      <w:proofErr w:type="spellStart"/>
      <w:r w:rsidRPr="00B255E6">
        <w:rPr>
          <w:sz w:val="24"/>
          <w:szCs w:val="24"/>
        </w:rPr>
        <w:t>Phytoremediation</w:t>
      </w:r>
      <w:proofErr w:type="spellEnd"/>
      <w:r w:rsidRPr="00B255E6">
        <w:rPr>
          <w:sz w:val="24"/>
          <w:szCs w:val="24"/>
        </w:rPr>
        <w:t xml:space="preserve"> of petroleum-contaminated soils in the </w:t>
      </w:r>
      <w:proofErr w:type="spellStart"/>
      <w:r w:rsidRPr="00B255E6">
        <w:rPr>
          <w:sz w:val="24"/>
          <w:szCs w:val="24"/>
        </w:rPr>
        <w:t>tropicspreselection</w:t>
      </w:r>
      <w:proofErr w:type="spellEnd"/>
      <w:r w:rsidRPr="00B255E6">
        <w:rPr>
          <w:sz w:val="24"/>
          <w:szCs w:val="24"/>
        </w:rPr>
        <w:t xml:space="preserve"> of plant species from eastern Venezuela / N. </w:t>
      </w:r>
      <w:proofErr w:type="spellStart"/>
      <w:r w:rsidRPr="00B255E6">
        <w:rPr>
          <w:sz w:val="24"/>
          <w:szCs w:val="24"/>
        </w:rPr>
        <w:t>Merkl</w:t>
      </w:r>
      <w:proofErr w:type="spellEnd"/>
      <w:r w:rsidRPr="00B255E6">
        <w:rPr>
          <w:sz w:val="24"/>
          <w:szCs w:val="24"/>
        </w:rPr>
        <w:t xml:space="preserve">, R. </w:t>
      </w:r>
      <w:proofErr w:type="spellStart"/>
      <w:r w:rsidRPr="00B255E6">
        <w:rPr>
          <w:sz w:val="24"/>
          <w:szCs w:val="24"/>
        </w:rPr>
        <w:t>Schultze</w:t>
      </w:r>
      <w:proofErr w:type="spellEnd"/>
      <w:r w:rsidRPr="00B255E6">
        <w:rPr>
          <w:sz w:val="24"/>
          <w:szCs w:val="24"/>
        </w:rPr>
        <w:t xml:space="preserve">-Kraft, C. </w:t>
      </w:r>
      <w:proofErr w:type="spellStart"/>
      <w:r w:rsidRPr="00B255E6">
        <w:rPr>
          <w:sz w:val="24"/>
          <w:szCs w:val="24"/>
        </w:rPr>
        <w:t>Infante</w:t>
      </w:r>
      <w:proofErr w:type="spellEnd"/>
      <w:r w:rsidRPr="00B255E6">
        <w:rPr>
          <w:sz w:val="24"/>
          <w:szCs w:val="24"/>
        </w:rPr>
        <w:t xml:space="preserve"> // J. Appl. Bot. and Food Qual. 2004.- Vol. 78.- № 3. P. 185-192.</w:t>
      </w:r>
    </w:p>
    <w:p w:rsidR="00C14D36" w:rsidRPr="00637D5F" w:rsidRDefault="003D0CCE" w:rsidP="00DA00E9">
      <w:pPr>
        <w:pStyle w:val="a5"/>
        <w:numPr>
          <w:ilvl w:val="0"/>
          <w:numId w:val="1"/>
        </w:numPr>
        <w:tabs>
          <w:tab w:val="left" w:pos="426"/>
        </w:tabs>
        <w:spacing w:line="360" w:lineRule="auto"/>
        <w:ind w:left="0" w:firstLine="0"/>
        <w:rPr>
          <w:sz w:val="24"/>
          <w:szCs w:val="24"/>
        </w:rPr>
      </w:pPr>
      <w:proofErr w:type="spellStart"/>
      <w:r w:rsidRPr="00B255E6">
        <w:rPr>
          <w:sz w:val="24"/>
          <w:szCs w:val="24"/>
        </w:rPr>
        <w:t>Franzaring</w:t>
      </w:r>
      <w:proofErr w:type="spellEnd"/>
      <w:r w:rsidRPr="00B255E6">
        <w:rPr>
          <w:sz w:val="24"/>
          <w:szCs w:val="24"/>
        </w:rPr>
        <w:t xml:space="preserve"> J. Environmental monitoring of fluoride emission using precipitation</w:t>
      </w:r>
      <w:r w:rsidR="00B255E6">
        <w:rPr>
          <w:sz w:val="24"/>
          <w:szCs w:val="24"/>
        </w:rPr>
        <w:t xml:space="preserve">, dust, plant and soil samples </w:t>
      </w:r>
      <w:r w:rsidRPr="00B255E6">
        <w:rPr>
          <w:sz w:val="24"/>
          <w:szCs w:val="24"/>
        </w:rPr>
        <w:t>//Environmental Pollution. – 2006. –</w:t>
      </w:r>
      <w:r w:rsidR="00B255E6">
        <w:rPr>
          <w:sz w:val="24"/>
          <w:szCs w:val="24"/>
        </w:rPr>
        <w:t xml:space="preserve"> Vol. 144. – N 1. – P. 158-165.</w:t>
      </w:r>
    </w:p>
    <w:sectPr w:rsidR="00C14D36" w:rsidRPr="00637D5F" w:rsidSect="00DD61F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242"/>
    <w:multiLevelType w:val="hybridMultilevel"/>
    <w:tmpl w:val="0224706C"/>
    <w:lvl w:ilvl="0" w:tplc="FC748462">
      <w:start w:val="2"/>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9E0FD2"/>
    <w:multiLevelType w:val="hybridMultilevel"/>
    <w:tmpl w:val="50E0FDE8"/>
    <w:lvl w:ilvl="0" w:tplc="2698F310">
      <w:start w:val="1"/>
      <w:numFmt w:val="decimal"/>
      <w:lvlText w:val="%1."/>
      <w:lvlJc w:val="left"/>
      <w:pPr>
        <w:ind w:left="645" w:hanging="64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D61F5"/>
    <w:rsid w:val="00002616"/>
    <w:rsid w:val="00066356"/>
    <w:rsid w:val="001439C0"/>
    <w:rsid w:val="00146AB5"/>
    <w:rsid w:val="002046B1"/>
    <w:rsid w:val="002B05DF"/>
    <w:rsid w:val="0038231F"/>
    <w:rsid w:val="003C4633"/>
    <w:rsid w:val="003D0CCE"/>
    <w:rsid w:val="003E6DA1"/>
    <w:rsid w:val="004C5171"/>
    <w:rsid w:val="00500E98"/>
    <w:rsid w:val="00522EFE"/>
    <w:rsid w:val="005B4763"/>
    <w:rsid w:val="00637D5F"/>
    <w:rsid w:val="00701B7F"/>
    <w:rsid w:val="007B1293"/>
    <w:rsid w:val="007C2A74"/>
    <w:rsid w:val="007E5E7A"/>
    <w:rsid w:val="007E78A2"/>
    <w:rsid w:val="00820D54"/>
    <w:rsid w:val="00863DAA"/>
    <w:rsid w:val="009624A9"/>
    <w:rsid w:val="00A9415E"/>
    <w:rsid w:val="00B10E90"/>
    <w:rsid w:val="00B20624"/>
    <w:rsid w:val="00B21681"/>
    <w:rsid w:val="00B255E6"/>
    <w:rsid w:val="00C14D36"/>
    <w:rsid w:val="00C407BE"/>
    <w:rsid w:val="00C80C35"/>
    <w:rsid w:val="00D810EF"/>
    <w:rsid w:val="00DA00E9"/>
    <w:rsid w:val="00DD61F5"/>
    <w:rsid w:val="00F81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61F5"/>
    <w:pPr>
      <w:ind w:right="43"/>
      <w:jc w:val="both"/>
    </w:pPr>
    <w:rPr>
      <w:sz w:val="28"/>
      <w:szCs w:val="20"/>
      <w:lang w:val="en-US" w:eastAsia="ko-KR"/>
    </w:rPr>
  </w:style>
  <w:style w:type="character" w:customStyle="1" w:styleId="a4">
    <w:name w:val="Основной текст Знак"/>
    <w:basedOn w:val="a0"/>
    <w:link w:val="a3"/>
    <w:rsid w:val="00DD61F5"/>
    <w:rPr>
      <w:rFonts w:ascii="Times New Roman" w:eastAsia="Times New Roman" w:hAnsi="Times New Roman" w:cs="Times New Roman"/>
      <w:sz w:val="28"/>
      <w:szCs w:val="20"/>
      <w:lang w:val="en-US" w:eastAsia="ko-KR"/>
    </w:rPr>
  </w:style>
  <w:style w:type="paragraph" w:styleId="a5">
    <w:name w:val="Body Text Indent"/>
    <w:basedOn w:val="a"/>
    <w:link w:val="a6"/>
    <w:rsid w:val="00DD61F5"/>
    <w:pPr>
      <w:ind w:right="43" w:firstLine="567"/>
      <w:jc w:val="both"/>
    </w:pPr>
    <w:rPr>
      <w:sz w:val="28"/>
      <w:szCs w:val="20"/>
      <w:lang w:val="en-US" w:eastAsia="ko-KR"/>
    </w:rPr>
  </w:style>
  <w:style w:type="character" w:customStyle="1" w:styleId="a6">
    <w:name w:val="Основной текст с отступом Знак"/>
    <w:basedOn w:val="a0"/>
    <w:link w:val="a5"/>
    <w:rsid w:val="00DD61F5"/>
    <w:rPr>
      <w:rFonts w:ascii="Times New Roman" w:eastAsia="Times New Roman" w:hAnsi="Times New Roman" w:cs="Times New Roman"/>
      <w:sz w:val="28"/>
      <w:szCs w:val="20"/>
      <w:lang w:val="en-US" w:eastAsia="ko-KR"/>
    </w:rPr>
  </w:style>
  <w:style w:type="paragraph" w:styleId="3">
    <w:name w:val="Body Text Indent 3"/>
    <w:basedOn w:val="a"/>
    <w:link w:val="30"/>
    <w:rsid w:val="00DD61F5"/>
    <w:pPr>
      <w:spacing w:after="120"/>
      <w:ind w:left="283"/>
    </w:pPr>
    <w:rPr>
      <w:sz w:val="16"/>
      <w:szCs w:val="16"/>
    </w:rPr>
  </w:style>
  <w:style w:type="character" w:customStyle="1" w:styleId="30">
    <w:name w:val="Основной текст с отступом 3 Знак"/>
    <w:basedOn w:val="a0"/>
    <w:link w:val="3"/>
    <w:rsid w:val="00DD61F5"/>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DD61F5"/>
    <w:rPr>
      <w:rFonts w:ascii="Tahoma" w:hAnsi="Tahoma" w:cs="Tahoma"/>
      <w:sz w:val="16"/>
      <w:szCs w:val="16"/>
    </w:rPr>
  </w:style>
  <w:style w:type="character" w:customStyle="1" w:styleId="a8">
    <w:name w:val="Текст выноски Знак"/>
    <w:basedOn w:val="a0"/>
    <w:link w:val="a7"/>
    <w:uiPriority w:val="99"/>
    <w:semiHidden/>
    <w:rsid w:val="00DD61F5"/>
    <w:rPr>
      <w:rFonts w:ascii="Tahoma" w:eastAsia="Times New Roman" w:hAnsi="Tahoma" w:cs="Tahoma"/>
      <w:sz w:val="16"/>
      <w:szCs w:val="16"/>
      <w:lang w:eastAsia="ru-RU"/>
    </w:rPr>
  </w:style>
  <w:style w:type="character" w:styleId="a9">
    <w:name w:val="Hyperlink"/>
    <w:basedOn w:val="a0"/>
    <w:uiPriority w:val="99"/>
    <w:unhideWhenUsed/>
    <w:rsid w:val="00962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Yerlan.Doszhanov@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oszhanov\&#1056;&#1072;&#1073;&#1086;&#1095;&#1080;&#1081;%20&#1089;&#1090;&#1086;&#1083;\Ozen%20(4)&amp;(1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oszhanov\&#1056;&#1072;&#1073;&#1086;&#1095;&#1080;&#1081;%20&#1089;&#1090;&#1086;&#1083;\Ozen%20(4)&amp;(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080137911755112"/>
          <c:y val="5.3097103863045579E-2"/>
          <c:w val="0.84909853293910376"/>
          <c:h val="0.78476821192052981"/>
        </c:manualLayout>
      </c:layout>
      <c:lineChart>
        <c:grouping val="standard"/>
        <c:ser>
          <c:idx val="0"/>
          <c:order val="0"/>
          <c:tx>
            <c:strRef>
              <c:f>керосин!$B$3</c:f>
              <c:strCache>
                <c:ptCount val="1"/>
                <c:pt idx="0">
                  <c:v>жоңышқа</c:v>
                </c:pt>
              </c:strCache>
            </c:strRef>
          </c:tx>
          <c:spPr>
            <a:ln w="25400">
              <a:solidFill>
                <a:srgbClr val="000080"/>
              </a:solidFill>
              <a:prstDash val="solid"/>
            </a:ln>
          </c:spPr>
          <c:marker>
            <c:symbol val="diamond"/>
            <c:size val="8"/>
            <c:spPr>
              <a:solidFill>
                <a:srgbClr val="000080"/>
              </a:solidFill>
              <a:ln>
                <a:solidFill>
                  <a:srgbClr val="000080"/>
                </a:solidFill>
                <a:prstDash val="solid"/>
              </a:ln>
            </c:spPr>
          </c:marker>
          <c:cat>
            <c:numRef>
              <c:f>керосин!$C$2:$G$2</c:f>
              <c:numCache>
                <c:formatCode>General</c:formatCode>
                <c:ptCount val="5"/>
                <c:pt idx="0">
                  <c:v>1</c:v>
                </c:pt>
                <c:pt idx="1">
                  <c:v>3</c:v>
                </c:pt>
                <c:pt idx="2">
                  <c:v>7</c:v>
                </c:pt>
                <c:pt idx="3">
                  <c:v>14</c:v>
                </c:pt>
                <c:pt idx="4">
                  <c:v>21</c:v>
                </c:pt>
              </c:numCache>
            </c:numRef>
          </c:cat>
          <c:val>
            <c:numRef>
              <c:f>керосин!$C$3:$G$3</c:f>
              <c:numCache>
                <c:formatCode>General</c:formatCode>
                <c:ptCount val="5"/>
                <c:pt idx="0">
                  <c:v>0</c:v>
                </c:pt>
                <c:pt idx="1">
                  <c:v>0.5</c:v>
                </c:pt>
                <c:pt idx="2">
                  <c:v>1.3</c:v>
                </c:pt>
                <c:pt idx="3">
                  <c:v>4.8</c:v>
                </c:pt>
                <c:pt idx="4">
                  <c:v>8</c:v>
                </c:pt>
              </c:numCache>
            </c:numRef>
          </c:val>
          <c:smooth val="1"/>
        </c:ser>
        <c:ser>
          <c:idx val="1"/>
          <c:order val="1"/>
          <c:tx>
            <c:strRef>
              <c:f>керосин!$B$4</c:f>
              <c:strCache>
                <c:ptCount val="1"/>
                <c:pt idx="0">
                  <c:v>бидай</c:v>
                </c:pt>
              </c:strCache>
            </c:strRef>
          </c:tx>
          <c:spPr>
            <a:ln w="25400">
              <a:solidFill>
                <a:srgbClr val="FF00FF"/>
              </a:solidFill>
              <a:prstDash val="solid"/>
            </a:ln>
          </c:spPr>
          <c:marker>
            <c:symbol val="square"/>
            <c:size val="6"/>
            <c:spPr>
              <a:solidFill>
                <a:srgbClr val="FF00FF"/>
              </a:solidFill>
              <a:ln>
                <a:solidFill>
                  <a:srgbClr val="FF00FF"/>
                </a:solidFill>
                <a:prstDash val="solid"/>
              </a:ln>
            </c:spPr>
          </c:marker>
          <c:cat>
            <c:numRef>
              <c:f>керосин!$C$2:$G$2</c:f>
              <c:numCache>
                <c:formatCode>General</c:formatCode>
                <c:ptCount val="5"/>
                <c:pt idx="0">
                  <c:v>1</c:v>
                </c:pt>
                <c:pt idx="1">
                  <c:v>3</c:v>
                </c:pt>
                <c:pt idx="2">
                  <c:v>7</c:v>
                </c:pt>
                <c:pt idx="3">
                  <c:v>14</c:v>
                </c:pt>
                <c:pt idx="4">
                  <c:v>21</c:v>
                </c:pt>
              </c:numCache>
            </c:numRef>
          </c:cat>
          <c:val>
            <c:numRef>
              <c:f>керосин!$C$4:$G$4</c:f>
              <c:numCache>
                <c:formatCode>General</c:formatCode>
                <c:ptCount val="5"/>
                <c:pt idx="0">
                  <c:v>0</c:v>
                </c:pt>
                <c:pt idx="1">
                  <c:v>0.1</c:v>
                </c:pt>
                <c:pt idx="2">
                  <c:v>0.8</c:v>
                </c:pt>
                <c:pt idx="3">
                  <c:v>3.3</c:v>
                </c:pt>
                <c:pt idx="4">
                  <c:v>5.0999999999999996</c:v>
                </c:pt>
              </c:numCache>
            </c:numRef>
          </c:val>
          <c:smooth val="1"/>
        </c:ser>
        <c:marker val="1"/>
        <c:axId val="82870656"/>
        <c:axId val="82886016"/>
      </c:lineChart>
      <c:catAx>
        <c:axId val="82870656"/>
        <c:scaling>
          <c:orientation val="minMax"/>
        </c:scaling>
        <c:axPos val="b"/>
        <c:title>
          <c:tx>
            <c:rich>
              <a:bodyPr/>
              <a:lstStyle/>
              <a:p>
                <a:pPr>
                  <a:defRPr sz="850" b="1" i="0" u="none" strike="noStrike" baseline="0">
                    <a:solidFill>
                      <a:srgbClr val="000000"/>
                    </a:solidFill>
                    <a:latin typeface="Arial Cyr"/>
                    <a:ea typeface="Arial Cyr"/>
                    <a:cs typeface="Arial Cyr"/>
                  </a:defRPr>
                </a:pPr>
                <a:r>
                  <a:rPr lang="kk-KZ" sz="1200"/>
                  <a:t>уақыт</a:t>
                </a:r>
                <a:r>
                  <a:rPr lang="kk-KZ" sz="1200" baseline="0"/>
                  <a:t> (тәулік)</a:t>
                </a:r>
                <a:endParaRPr lang="en-US" sz="1200"/>
              </a:p>
            </c:rich>
          </c:tx>
          <c:layout>
            <c:manualLayout>
              <c:xMode val="edge"/>
              <c:yMode val="edge"/>
              <c:x val="0.43416072318012738"/>
              <c:y val="0.89367193339243256"/>
            </c:manualLayout>
          </c:layout>
          <c:spPr>
            <a:noFill/>
            <a:ln w="25400">
              <a:noFill/>
            </a:ln>
          </c:spPr>
        </c:title>
        <c:numFmt formatCode="General" sourceLinked="1"/>
        <c:tickLblPos val="nextTo"/>
        <c:spPr>
          <a:ln w="3175">
            <a:solidFill>
              <a:srgbClr val="000000"/>
            </a:solidFill>
            <a:prstDash val="solid"/>
          </a:ln>
        </c:spPr>
        <c:txPr>
          <a:bodyPr rot="-5400000" vert="horz"/>
          <a:lstStyle/>
          <a:p>
            <a:pPr>
              <a:defRPr sz="850" b="0" i="0" u="none" strike="noStrike" baseline="0">
                <a:solidFill>
                  <a:srgbClr val="000000"/>
                </a:solidFill>
                <a:latin typeface="Arial Cyr"/>
                <a:ea typeface="Arial Cyr"/>
                <a:cs typeface="Arial Cyr"/>
              </a:defRPr>
            </a:pPr>
            <a:endParaRPr lang="ru-RU"/>
          </a:p>
        </c:txPr>
        <c:crossAx val="82886016"/>
        <c:crosses val="autoZero"/>
        <c:auto val="1"/>
        <c:lblAlgn val="ctr"/>
        <c:lblOffset val="100"/>
        <c:tickLblSkip val="1"/>
        <c:tickMarkSkip val="1"/>
      </c:catAx>
      <c:valAx>
        <c:axId val="82886016"/>
        <c:scaling>
          <c:orientation val="minMax"/>
        </c:scaling>
        <c:axPos val="l"/>
        <c:majorGridlines>
          <c:spPr>
            <a:ln w="3175">
              <a:solidFill>
                <a:srgbClr val="FFFFFF"/>
              </a:solidFill>
              <a:prstDash val="solid"/>
            </a:ln>
          </c:spPr>
        </c:majorGridlines>
        <c:title>
          <c:tx>
            <c:rich>
              <a:bodyPr/>
              <a:lstStyle/>
              <a:p>
                <a:pPr>
                  <a:defRPr sz="850" b="1" i="0" u="none" strike="noStrike" baseline="0">
                    <a:solidFill>
                      <a:srgbClr val="000000"/>
                    </a:solidFill>
                    <a:latin typeface="Arial Cyr"/>
                    <a:ea typeface="Arial Cyr"/>
                    <a:cs typeface="Arial Cyr"/>
                  </a:defRPr>
                </a:pPr>
                <a:r>
                  <a:rPr lang="kk-KZ" sz="1200"/>
                  <a:t>өсу динамикасы (см)</a:t>
                </a:r>
                <a:endParaRPr lang="en-US" sz="1200"/>
              </a:p>
            </c:rich>
          </c:tx>
          <c:layout>
            <c:manualLayout>
              <c:xMode val="edge"/>
              <c:yMode val="edge"/>
              <c:x val="2.0532776606154407E-2"/>
              <c:y val="0.22663723325974983"/>
            </c:manualLayout>
          </c:layout>
          <c:spPr>
            <a:noFill/>
            <a:ln w="25400">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82870656"/>
        <c:crosses val="autoZero"/>
        <c:crossBetween val="between"/>
      </c:valAx>
      <c:spPr>
        <a:solidFill>
          <a:srgbClr val="FFFFFF"/>
        </a:solidFill>
        <a:ln w="12700">
          <a:solidFill>
            <a:srgbClr val="808080"/>
          </a:solidFill>
          <a:prstDash val="solid"/>
        </a:ln>
      </c:spPr>
    </c:plotArea>
    <c:plotVisOnly val="1"/>
    <c:dispBlanksAs val="gap"/>
  </c:chart>
  <c:spPr>
    <a:solidFill>
      <a:srgbClr val="FFFFFF"/>
    </a:solidFill>
    <a:ln w="9525">
      <a:noFill/>
    </a:ln>
  </c:spPr>
  <c:txPr>
    <a:bodyPr/>
    <a:lstStyle/>
    <a:p>
      <a:pPr>
        <a:defRPr sz="875"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196097955150811"/>
          <c:y val="5.2805450718887682E-2"/>
          <c:w val="0.87216026201853036"/>
          <c:h val="0.74917733207421966"/>
        </c:manualLayout>
      </c:layout>
      <c:lineChart>
        <c:grouping val="standard"/>
        <c:ser>
          <c:idx val="0"/>
          <c:order val="0"/>
          <c:tx>
            <c:strRef>
              <c:f>мұнай!$B$3</c:f>
              <c:strCache>
                <c:ptCount val="1"/>
                <c:pt idx="0">
                  <c:v>жоңышқа</c:v>
                </c:pt>
              </c:strCache>
            </c:strRef>
          </c:tx>
          <c:spPr>
            <a:ln w="25400">
              <a:solidFill>
                <a:srgbClr val="000080"/>
              </a:solidFill>
              <a:prstDash val="solid"/>
            </a:ln>
          </c:spPr>
          <c:marker>
            <c:symbol val="diamond"/>
            <c:size val="7"/>
            <c:spPr>
              <a:solidFill>
                <a:srgbClr val="000080"/>
              </a:solidFill>
              <a:ln>
                <a:solidFill>
                  <a:srgbClr val="000080"/>
                </a:solidFill>
                <a:prstDash val="solid"/>
              </a:ln>
            </c:spPr>
          </c:marker>
          <c:cat>
            <c:numRef>
              <c:f>мұнай!$C$2:$G$2</c:f>
              <c:numCache>
                <c:formatCode>General</c:formatCode>
                <c:ptCount val="5"/>
                <c:pt idx="0">
                  <c:v>1</c:v>
                </c:pt>
                <c:pt idx="1">
                  <c:v>3</c:v>
                </c:pt>
                <c:pt idx="2">
                  <c:v>7</c:v>
                </c:pt>
                <c:pt idx="3">
                  <c:v>14</c:v>
                </c:pt>
                <c:pt idx="4">
                  <c:v>21</c:v>
                </c:pt>
              </c:numCache>
            </c:numRef>
          </c:cat>
          <c:val>
            <c:numRef>
              <c:f>мұнай!$C$3:$G$3</c:f>
              <c:numCache>
                <c:formatCode>General</c:formatCode>
                <c:ptCount val="5"/>
                <c:pt idx="0">
                  <c:v>0</c:v>
                </c:pt>
                <c:pt idx="1">
                  <c:v>0.2</c:v>
                </c:pt>
                <c:pt idx="2">
                  <c:v>0.5</c:v>
                </c:pt>
                <c:pt idx="3">
                  <c:v>1.7</c:v>
                </c:pt>
                <c:pt idx="4">
                  <c:v>3.9</c:v>
                </c:pt>
              </c:numCache>
            </c:numRef>
          </c:val>
          <c:smooth val="1"/>
        </c:ser>
        <c:ser>
          <c:idx val="1"/>
          <c:order val="1"/>
          <c:tx>
            <c:strRef>
              <c:f>мұнай!$B$4</c:f>
              <c:strCache>
                <c:ptCount val="1"/>
                <c:pt idx="0">
                  <c:v>бидай</c:v>
                </c:pt>
              </c:strCache>
            </c:strRef>
          </c:tx>
          <c:spPr>
            <a:ln w="25400">
              <a:solidFill>
                <a:srgbClr val="FF00FF"/>
              </a:solidFill>
              <a:prstDash val="solid"/>
            </a:ln>
          </c:spPr>
          <c:marker>
            <c:symbol val="square"/>
            <c:size val="6"/>
            <c:spPr>
              <a:solidFill>
                <a:srgbClr val="FF00FF"/>
              </a:solidFill>
              <a:ln>
                <a:solidFill>
                  <a:srgbClr val="FF00FF"/>
                </a:solidFill>
                <a:prstDash val="solid"/>
              </a:ln>
            </c:spPr>
          </c:marker>
          <c:cat>
            <c:numRef>
              <c:f>мұнай!$C$2:$G$2</c:f>
              <c:numCache>
                <c:formatCode>General</c:formatCode>
                <c:ptCount val="5"/>
                <c:pt idx="0">
                  <c:v>1</c:v>
                </c:pt>
                <c:pt idx="1">
                  <c:v>3</c:v>
                </c:pt>
                <c:pt idx="2">
                  <c:v>7</c:v>
                </c:pt>
                <c:pt idx="3">
                  <c:v>14</c:v>
                </c:pt>
                <c:pt idx="4">
                  <c:v>21</c:v>
                </c:pt>
              </c:numCache>
            </c:numRef>
          </c:cat>
          <c:val>
            <c:numRef>
              <c:f>мұнай!$C$4:$G$4</c:f>
              <c:numCache>
                <c:formatCode>General</c:formatCode>
                <c:ptCount val="5"/>
                <c:pt idx="0">
                  <c:v>0</c:v>
                </c:pt>
                <c:pt idx="1">
                  <c:v>0.1</c:v>
                </c:pt>
                <c:pt idx="2">
                  <c:v>0.2</c:v>
                </c:pt>
                <c:pt idx="3">
                  <c:v>0.4</c:v>
                </c:pt>
                <c:pt idx="4">
                  <c:v>2.4</c:v>
                </c:pt>
              </c:numCache>
            </c:numRef>
          </c:val>
          <c:smooth val="1"/>
        </c:ser>
        <c:marker val="1"/>
        <c:axId val="95041024"/>
        <c:axId val="95043968"/>
      </c:lineChart>
      <c:catAx>
        <c:axId val="95041024"/>
        <c:scaling>
          <c:orientation val="minMax"/>
        </c:scaling>
        <c:axPos val="b"/>
        <c:title>
          <c:tx>
            <c:rich>
              <a:bodyPr/>
              <a:lstStyle/>
              <a:p>
                <a:pPr>
                  <a:defRPr sz="1000" b="1" i="0" u="none" strike="noStrike" baseline="0">
                    <a:solidFill>
                      <a:srgbClr val="000000"/>
                    </a:solidFill>
                    <a:latin typeface="Arial Cyr"/>
                    <a:ea typeface="Arial Cyr"/>
                    <a:cs typeface="Arial Cyr"/>
                  </a:defRPr>
                </a:pPr>
                <a:r>
                  <a:rPr lang="kk-KZ" sz="1200"/>
                  <a:t>уақыт (тәулік)</a:t>
                </a:r>
                <a:endParaRPr lang="en-US" sz="1200"/>
              </a:p>
            </c:rich>
          </c:tx>
          <c:layout>
            <c:manualLayout>
              <c:xMode val="edge"/>
              <c:yMode val="edge"/>
              <c:x val="0.41056354246041826"/>
              <c:y val="0.88714498473950298"/>
            </c:manualLayout>
          </c:layout>
          <c:spPr>
            <a:noFill/>
            <a:ln w="25400">
              <a:noFill/>
            </a:ln>
          </c:spPr>
        </c:title>
        <c:numFmt formatCode="General" sourceLinked="1"/>
        <c:tickLblPos val="nextTo"/>
        <c:spPr>
          <a:ln w="3175">
            <a:solidFill>
              <a:srgbClr val="000000"/>
            </a:solidFill>
            <a:prstDash val="solid"/>
          </a:ln>
        </c:spPr>
        <c:txPr>
          <a:bodyPr rot="-2700000" vert="horz"/>
          <a:lstStyle/>
          <a:p>
            <a:pPr>
              <a:defRPr sz="1000" b="0" i="0" u="none" strike="noStrike" baseline="0">
                <a:solidFill>
                  <a:srgbClr val="000000"/>
                </a:solidFill>
                <a:latin typeface="Arial Cyr"/>
                <a:ea typeface="Arial Cyr"/>
                <a:cs typeface="Arial Cyr"/>
              </a:defRPr>
            </a:pPr>
            <a:endParaRPr lang="ru-RU"/>
          </a:p>
        </c:txPr>
        <c:crossAx val="95043968"/>
        <c:crosses val="autoZero"/>
        <c:auto val="1"/>
        <c:lblAlgn val="ctr"/>
        <c:lblOffset val="100"/>
        <c:tickLblSkip val="1"/>
        <c:tickMarkSkip val="1"/>
      </c:catAx>
      <c:valAx>
        <c:axId val="95043968"/>
        <c:scaling>
          <c:orientation val="minMax"/>
          <c:min val="0"/>
        </c:scaling>
        <c:axPos val="l"/>
        <c:majorGridlines>
          <c:spPr>
            <a:ln w="3175">
              <a:solidFill>
                <a:srgbClr val="FFFFFF"/>
              </a:solidFill>
              <a:prstDash val="solid"/>
            </a:ln>
          </c:spPr>
        </c:majorGridlines>
        <c:title>
          <c:tx>
            <c:rich>
              <a:bodyPr/>
              <a:lstStyle/>
              <a:p>
                <a:pPr>
                  <a:defRPr sz="1000" b="1" i="0" u="none" strike="noStrike" baseline="0">
                    <a:solidFill>
                      <a:srgbClr val="000000"/>
                    </a:solidFill>
                    <a:latin typeface="Arial Cyr"/>
                    <a:ea typeface="Arial Cyr"/>
                    <a:cs typeface="Arial Cyr"/>
                  </a:defRPr>
                </a:pPr>
                <a:r>
                  <a:rPr lang="kk-KZ" sz="1200"/>
                  <a:t>өсу динамикасы (см)</a:t>
                </a:r>
                <a:endParaRPr lang="en-US" sz="1200"/>
              </a:p>
            </c:rich>
          </c:tx>
          <c:layout>
            <c:manualLayout>
              <c:xMode val="edge"/>
              <c:yMode val="edge"/>
              <c:x val="7.0840741681483374E-3"/>
              <c:y val="0.24678674707646314"/>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95041024"/>
        <c:crosses val="autoZero"/>
        <c:crossBetween val="between"/>
      </c:valAx>
      <c:spPr>
        <a:solidFill>
          <a:srgbClr val="FFFFFF"/>
        </a:solidFill>
        <a:ln w="3175">
          <a:solidFill>
            <a:srgbClr val="808080"/>
          </a:solidFill>
          <a:prstDash val="solid"/>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doszhanov</dc:creator>
  <cp:keywords/>
  <dc:description/>
  <cp:lastModifiedBy>doszhanov</cp:lastModifiedBy>
  <cp:revision>13</cp:revision>
  <dcterms:created xsi:type="dcterms:W3CDTF">2011-08-05T10:41:00Z</dcterms:created>
  <dcterms:modified xsi:type="dcterms:W3CDTF">2011-08-09T07:01:00Z</dcterms:modified>
</cp:coreProperties>
</file>