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00" w:rsidRDefault="009B0700" w:rsidP="009B0700">
      <w:pPr>
        <w:ind w:hanging="567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94860" cy="911670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503-WA0003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5292" cy="911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396" w:rsidRPr="00716B4A" w:rsidRDefault="00946396" w:rsidP="0094639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Seasonal home range characteristics of</w:t>
      </w:r>
      <w:r w:rsidRPr="00716B4A">
        <w:rPr>
          <w:b/>
          <w:sz w:val="32"/>
          <w:szCs w:val="32"/>
          <w:lang w:val="en-US"/>
        </w:rPr>
        <w:t xml:space="preserve"> </w:t>
      </w:r>
      <w:r w:rsidRPr="00716B4A">
        <w:rPr>
          <w:b/>
          <w:i/>
          <w:sz w:val="32"/>
          <w:szCs w:val="32"/>
          <w:lang w:val="en-US"/>
        </w:rPr>
        <w:t>Saiga tatarica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in Kazakhstan with estimates of livestock/saiga overlap areas</w:t>
      </w:r>
    </w:p>
    <w:p w:rsidR="00946396" w:rsidRDefault="00C944F3" w:rsidP="00C944F3">
      <w:pPr>
        <w:spacing w:after="0" w:line="240" w:lineRule="auto"/>
        <w:ind w:firstLine="708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Nurkuisa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Rametov </w:t>
      </w:r>
      <w:r w:rsidR="00946396" w:rsidRPr="00190503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1</w:t>
      </w:r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Mukhit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Orynbayev</w:t>
      </w:r>
      <w:proofErr w:type="spellEnd"/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946396" w:rsidRPr="00190503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1</w:t>
      </w:r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Murat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bek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952A7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Kudaibergenov</w:t>
      </w:r>
      <w:proofErr w:type="spellEnd"/>
      <w:r w:rsidR="00D952A7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D952A7" w:rsidRPr="00D952A7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2</w:t>
      </w:r>
      <w:r w:rsidR="00D952A7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, Jason</w:t>
      </w:r>
      <w:r w:rsidR="00946396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Blackburn</w:t>
      </w:r>
      <w:r w:rsidR="00D952A7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3</w:t>
      </w:r>
      <w:proofErr w:type="gramStart"/>
      <w:r w:rsidR="00D952A7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,4</w:t>
      </w:r>
      <w:proofErr w:type="gramEnd"/>
    </w:p>
    <w:p w:rsidR="00946396" w:rsidRDefault="00946396" w:rsidP="00946396">
      <w:pPr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946396" w:rsidRDefault="00946396" w:rsidP="00946396">
      <w:pPr>
        <w:spacing w:after="0" w:line="240" w:lineRule="auto"/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</w:pPr>
      <w:r w:rsidRPr="00190503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1</w:t>
      </w:r>
      <w:r w:rsidRPr="00B151D3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Research Institute for Biological Safety Problems</w:t>
      </w:r>
      <w:r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, Monitoring bacterial and viral infection laboratory</w:t>
      </w:r>
    </w:p>
    <w:p w:rsidR="00D952A7" w:rsidRPr="00B151D3" w:rsidRDefault="00D952A7" w:rsidP="00946396">
      <w:pPr>
        <w:spacing w:after="0" w:line="240" w:lineRule="auto"/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</w:pPr>
      <w:r w:rsidRPr="00D952A7"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2</w:t>
      </w:r>
      <w:r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A</w:t>
      </w:r>
      <w:r w:rsidRPr="00D952A7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l-Farabi Kazakh National University</w:t>
      </w:r>
    </w:p>
    <w:p w:rsidR="00946396" w:rsidRDefault="00D952A7" w:rsidP="00946396">
      <w:pPr>
        <w:spacing w:after="0" w:line="240" w:lineRule="auto"/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vertAlign w:val="superscript"/>
          <w:lang w:val="en-US"/>
        </w:rPr>
        <w:t>3</w:t>
      </w:r>
      <w:r w:rsidR="00946396" w:rsidRPr="00B151D3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University of Florida, Department of Geography &amp; Emerging Pathogens Institute</w:t>
      </w:r>
      <w:r w:rsidR="00946396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, Spatial Epidemiology &amp; Ecology Research Laboratory</w:t>
      </w:r>
    </w:p>
    <w:p w:rsidR="00946396" w:rsidRPr="00B151D3" w:rsidRDefault="00D952A7" w:rsidP="00946396">
      <w:pPr>
        <w:spacing w:after="0" w:line="240" w:lineRule="auto"/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i/>
          <w:color w:val="222222"/>
          <w:sz w:val="28"/>
          <w:szCs w:val="28"/>
          <w:shd w:val="clear" w:color="auto" w:fill="FFFFFF"/>
          <w:vertAlign w:val="superscript"/>
          <w:lang w:val="en-US"/>
        </w:rPr>
        <w:t>4</w:t>
      </w:r>
      <w:r w:rsidR="00946396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Kyrgyz Consortium for GIS Excellence, Bishkek, Kyrgyzstan</w:t>
      </w:r>
    </w:p>
    <w:p w:rsidR="00946396" w:rsidRDefault="00946396" w:rsidP="00946396">
      <w:pPr>
        <w:ind w:firstLine="708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</w:p>
    <w:p w:rsidR="00946396" w:rsidRPr="00C65D3C" w:rsidRDefault="00946396" w:rsidP="00946396">
      <w:pPr>
        <w:ind w:firstLine="708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In recent years, the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total 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number of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S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aiga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antelope (</w:t>
      </w:r>
      <w:r w:rsidRPr="00716B4A">
        <w:rPr>
          <w:rFonts w:ascii="Arial" w:hAnsi="Arial" w:cs="Arial"/>
          <w:i/>
          <w:color w:val="222222"/>
          <w:sz w:val="28"/>
          <w:szCs w:val="28"/>
          <w:shd w:val="clear" w:color="auto" w:fill="FFFFFF"/>
          <w:lang w:val="en-US"/>
        </w:rPr>
        <w:t>Saiga tatarica tatarica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)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in Kazakhstan has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declined rapidly due to several factors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. The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Kazakh saiga population is concentrated in two major herds.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Here we focus on </w:t>
      </w:r>
      <w:r w:rsidRPr="00716B4A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the Volga-Ural saiga population in the West Kazakhstan region.</w:t>
      </w:r>
      <w:r w:rsidRPr="00C65D3C">
        <w:rPr>
          <w:lang w:val="en-US"/>
        </w:rPr>
        <w:t xml:space="preserve">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Annually,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as the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saiga population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concentrates in certain habitats,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the density of animals within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those habitats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and the number of contacts with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domestic livestock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increase. As a result of mixing of wild and domestic animals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,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pathogen exchange is possible and the risk of saiga disease increases. Saiga are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a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migratory species, and may serve as vectors for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infectious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diseases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across their migration corridors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. Therefore,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it is necessary to define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the characteristics of seasonal migrations and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congregation areas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to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better understand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epidemiological and environmental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factors that may drive transmission between saiga and livestock (from wildlife to livestock and livestock to wildlife)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.</w:t>
      </w:r>
    </w:p>
    <w:p w:rsidR="00946396" w:rsidRPr="000B0507" w:rsidRDefault="00946396" w:rsidP="00946396">
      <w:pPr>
        <w:ind w:firstLine="708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The aim of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this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study was to determine the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season home ranges, routes of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seasonal migrations, calving places and rutting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sites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We deployed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10 GPS Plus Collar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s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on saiga from two groups;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8 animals in the western group and 2 in the eastern group of the Volga-Ural population. Spatial data, ambient temperature and other data were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recorded and transmitted via satellite daily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. GPS Plus X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,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ArcGIS 10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, and Q-GIS (v2.4.1) were used </w:t>
      </w:r>
      <w:r w:rsidRPr="00C65D3C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for data processing.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We use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the  T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LoCoH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package in R to construct localized-hull based seasonal home range estimates for each group [</w:t>
      </w:r>
      <w:r w:rsidRPr="000B0507"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http://tlocoh.r-forge.r-project.org/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]. These analyses provide conservative estimates of saiga seasonal ranges, allowing for comparison between the west and east groups and will allow us to quantify livestock habitat/overlap zones within those ranges.</w:t>
      </w:r>
    </w:p>
    <w:p w:rsidR="00946396" w:rsidRDefault="00946396" w:rsidP="00946396">
      <w:pPr>
        <w:ind w:firstLine="708"/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</w:p>
    <w:p w:rsidR="00946396" w:rsidRDefault="00946396" w:rsidP="00946396">
      <w:pP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71F13A1" wp14:editId="1E40C382">
            <wp:extent cx="5756193" cy="483130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lot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951" cy="484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396" w:rsidRPr="00456EEF" w:rsidRDefault="00946396" w:rsidP="00946396">
      <w:pPr>
        <w:rPr>
          <w:sz w:val="28"/>
          <w:szCs w:val="28"/>
          <w:lang w:val="en-US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Fig. 1 T-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>LoCoH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  <w:t xml:space="preserve"> analyses for spatial data.  </w:t>
      </w:r>
    </w:p>
    <w:p w:rsidR="00E74908" w:rsidRPr="00FA4EC5" w:rsidRDefault="00E74908">
      <w:pPr>
        <w:rPr>
          <w:lang w:val="en-US"/>
        </w:rPr>
      </w:pPr>
    </w:p>
    <w:sectPr w:rsidR="00E74908" w:rsidRPr="00FA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96"/>
    <w:rsid w:val="00946396"/>
    <w:rsid w:val="00960FE6"/>
    <w:rsid w:val="009B0700"/>
    <w:rsid w:val="00C944F3"/>
    <w:rsid w:val="00D952A7"/>
    <w:rsid w:val="00E74908"/>
    <w:rsid w:val="00F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Nurkuisa Rametov</dc:creator>
  <cp:keywords/>
  <dc:description/>
  <cp:lastModifiedBy>decart</cp:lastModifiedBy>
  <cp:revision>7</cp:revision>
  <dcterms:created xsi:type="dcterms:W3CDTF">2016-04-21T15:39:00Z</dcterms:created>
  <dcterms:modified xsi:type="dcterms:W3CDTF">2016-05-03T06:31:00Z</dcterms:modified>
</cp:coreProperties>
</file>