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C" w:rsidRDefault="0069502C" w:rsidP="0069502C">
      <w:pPr>
        <w:pStyle w:val="Text"/>
        <w:jc w:val="center"/>
        <w:rPr>
          <w:rFonts w:ascii="Times New Roman" w:hAnsi="Times New Roman"/>
          <w:b/>
          <w:smallCaps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mallCaps/>
          <w:color w:val="000000"/>
          <w:sz w:val="28"/>
        </w:rPr>
        <w:t>Effect of temperature on the stability of foams</w:t>
      </w:r>
    </w:p>
    <w:p w:rsidR="0069502C" w:rsidRDefault="0069502C" w:rsidP="0069502C">
      <w:pPr>
        <w:pStyle w:val="Text"/>
        <w:rPr>
          <w:rFonts w:ascii="Times New Roman" w:hAnsi="Times New Roman"/>
          <w:color w:val="000000"/>
          <w:sz w:val="24"/>
        </w:rPr>
      </w:pPr>
    </w:p>
    <w:p w:rsidR="0069502C" w:rsidRPr="00876FED" w:rsidRDefault="0069502C" w:rsidP="0069502C">
      <w:pPr>
        <w:pStyle w:val="Text"/>
        <w:jc w:val="center"/>
        <w:rPr>
          <w:rFonts w:ascii="Times New Roman" w:hAnsi="Times New Roman"/>
          <w:color w:val="000000"/>
          <w:sz w:val="24"/>
          <w:vertAlign w:val="superscript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u w:val="single"/>
          <w:lang w:val="en-US"/>
        </w:rPr>
        <w:t>Zh</w:t>
      </w:r>
      <w:proofErr w:type="spellEnd"/>
      <w:r>
        <w:rPr>
          <w:rFonts w:ascii="Times New Roman" w:hAnsi="Times New Roman"/>
          <w:color w:val="000000"/>
          <w:sz w:val="24"/>
          <w:u w:val="single"/>
          <w:lang w:val="en-US"/>
        </w:rPr>
        <w:t>. Ospanova</w:t>
      </w:r>
      <w:r>
        <w:rPr>
          <w:rFonts w:ascii="Times New Roman" w:hAnsi="Times New Roman"/>
          <w:color w:val="000000"/>
          <w:sz w:val="24"/>
          <w:u w:val="single"/>
          <w:vertAlign w:val="superscript"/>
          <w:lang w:val="en-US"/>
        </w:rPr>
        <w:t>1</w:t>
      </w:r>
      <w:r>
        <w:rPr>
          <w:rFonts w:ascii="Times New Roman" w:hAnsi="Times New Roman"/>
          <w:color w:val="000000"/>
          <w:sz w:val="24"/>
          <w:lang w:val="en-US"/>
        </w:rPr>
        <w:t>, K. Musabekov</w:t>
      </w:r>
      <w:r>
        <w:rPr>
          <w:rFonts w:ascii="Times New Roman" w:hAnsi="Times New Roman"/>
          <w:color w:val="000000"/>
          <w:sz w:val="24"/>
          <w:vertAlign w:val="superscript"/>
          <w:lang w:val="en-US"/>
        </w:rPr>
        <w:t>1</w:t>
      </w:r>
      <w:r>
        <w:rPr>
          <w:rFonts w:ascii="Times New Roman" w:hAnsi="Times New Roman"/>
          <w:color w:val="000000"/>
          <w:sz w:val="24"/>
          <w:lang w:val="en-US"/>
        </w:rPr>
        <w:t>, M. I</w:t>
      </w:r>
      <w:r>
        <w:rPr>
          <w:rFonts w:ascii="Times New Roman" w:eastAsiaTheme="minorEastAsia" w:hAnsi="Times New Roman"/>
          <w:color w:val="000000"/>
          <w:sz w:val="24"/>
          <w:lang w:val="en-US" w:eastAsia="zh-CN"/>
        </w:rPr>
        <w:t>s</w:t>
      </w:r>
      <w:r>
        <w:rPr>
          <w:rFonts w:ascii="Times New Roman" w:hAnsi="Times New Roman"/>
          <w:color w:val="000000"/>
          <w:sz w:val="24"/>
          <w:lang w:val="en-US"/>
        </w:rPr>
        <w:t>sakhov</w:t>
      </w:r>
      <w:r w:rsidRPr="001E309F">
        <w:rPr>
          <w:rFonts w:ascii="Times New Roman" w:hAnsi="Times New Roman"/>
          <w:color w:val="000000"/>
          <w:sz w:val="24"/>
          <w:vertAlign w:val="superscript"/>
          <w:lang w:val="en-US"/>
        </w:rPr>
        <w:t>1</w:t>
      </w:r>
      <w:r>
        <w:rPr>
          <w:rFonts w:ascii="Times New Roman" w:hAnsi="Times New Roman"/>
          <w:color w:val="000000"/>
          <w:sz w:val="24"/>
          <w:lang w:val="en-US"/>
        </w:rPr>
        <w:t>, S. Aidarova</w:t>
      </w:r>
      <w:r>
        <w:rPr>
          <w:rFonts w:ascii="Times New Roman" w:hAnsi="Times New Roman"/>
          <w:color w:val="000000"/>
          <w:sz w:val="24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4"/>
          <w:lang w:val="en-US"/>
        </w:rPr>
        <w:t>, R. Dzhumagaliev</w:t>
      </w:r>
      <w:r>
        <w:rPr>
          <w:rFonts w:ascii="Times New Roman" w:hAnsi="Times New Roman"/>
          <w:color w:val="000000"/>
          <w:sz w:val="24"/>
          <w:vertAlign w:val="superscript"/>
          <w:lang w:val="en-US"/>
        </w:rPr>
        <w:t>3</w:t>
      </w:r>
      <w:r>
        <w:rPr>
          <w:rFonts w:ascii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lang w:val="en-US"/>
        </w:rPr>
        <w:br/>
        <w:t>and E. Montaev</w:t>
      </w:r>
      <w:r>
        <w:rPr>
          <w:rFonts w:ascii="Times New Roman" w:hAnsi="Times New Roman"/>
          <w:color w:val="000000"/>
          <w:sz w:val="24"/>
          <w:vertAlign w:val="superscript"/>
          <w:lang w:val="en-US"/>
        </w:rPr>
        <w:t>3</w:t>
      </w:r>
    </w:p>
    <w:p w:rsidR="0069502C" w:rsidRPr="00876FED" w:rsidRDefault="0069502C" w:rsidP="0069502C">
      <w:pPr>
        <w:pStyle w:val="Text"/>
        <w:jc w:val="center"/>
        <w:rPr>
          <w:rFonts w:ascii="Times New Roman" w:hAnsi="Times New Roman"/>
          <w:color w:val="000000"/>
          <w:sz w:val="24"/>
          <w:lang w:val="en-US"/>
        </w:rPr>
      </w:pPr>
    </w:p>
    <w:p w:rsidR="0069502C" w:rsidRPr="00B564BD" w:rsidRDefault="0069502C" w:rsidP="0069502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Kazakh National University, 050040 Almaty, Kazakhstan</w:t>
      </w:r>
    </w:p>
    <w:p w:rsidR="0069502C" w:rsidRPr="00BF1296" w:rsidRDefault="0069502C" w:rsidP="0069502C">
      <w:pPr>
        <w:pStyle w:val="Tex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30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1296">
        <w:rPr>
          <w:rFonts w:ascii="Times New Roman" w:hAnsi="Times New Roman" w:cs="Times New Roman"/>
          <w:sz w:val="24"/>
          <w:szCs w:val="24"/>
        </w:rPr>
        <w:t xml:space="preserve">Kazakh National Technical University after K.I. </w:t>
      </w:r>
      <w:proofErr w:type="spellStart"/>
      <w:r w:rsidRPr="00BF1296">
        <w:rPr>
          <w:rFonts w:ascii="Times New Roman" w:hAnsi="Times New Roman" w:cs="Times New Roman"/>
          <w:sz w:val="24"/>
          <w:szCs w:val="24"/>
        </w:rPr>
        <w:t>Satpaev</w:t>
      </w:r>
      <w:proofErr w:type="spellEnd"/>
      <w:r w:rsidRPr="00BF1296">
        <w:rPr>
          <w:rFonts w:ascii="Times New Roman" w:hAnsi="Times New Roman" w:cs="Times New Roman"/>
          <w:sz w:val="24"/>
          <w:szCs w:val="24"/>
        </w:rPr>
        <w:t>, 050013,</w:t>
      </w:r>
      <w:r w:rsidRPr="00BF12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1296">
        <w:rPr>
          <w:rFonts w:ascii="Times New Roman" w:hAnsi="Times New Roman" w:cs="Times New Roman"/>
          <w:sz w:val="24"/>
          <w:szCs w:val="24"/>
        </w:rPr>
        <w:t xml:space="preserve">Almaty, </w:t>
      </w:r>
      <w:r>
        <w:rPr>
          <w:rFonts w:ascii="Times New Roman" w:hAnsi="Times New Roman" w:cs="Times New Roman"/>
          <w:sz w:val="24"/>
          <w:szCs w:val="24"/>
        </w:rPr>
        <w:t>Kazakhstan</w:t>
      </w:r>
    </w:p>
    <w:p w:rsidR="0069502C" w:rsidRPr="00B564BD" w:rsidRDefault="0069502C" w:rsidP="0069502C">
      <w:pPr>
        <w:pStyle w:val="Tex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30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01729">
        <w:rPr>
          <w:rFonts w:ascii="Times New Roman" w:hAnsi="Times New Roman" w:cs="Times New Roman"/>
          <w:color w:val="000000"/>
          <w:sz w:val="24"/>
          <w:szCs w:val="24"/>
        </w:rPr>
        <w:t>JSC “Research Institute of Fire Safety and Civil Defence” of the Ministry of Emergency Situations of the Republic of Kazakhstan,</w:t>
      </w:r>
      <w:r w:rsidRPr="00501729">
        <w:rPr>
          <w:rFonts w:ascii="Times New Roman" w:hAnsi="Times New Roman" w:cs="Times New Roman"/>
          <w:sz w:val="24"/>
          <w:szCs w:val="24"/>
        </w:rPr>
        <w:t xml:space="preserve"> 050060, </w:t>
      </w:r>
      <w:r w:rsidRPr="00501729">
        <w:rPr>
          <w:rFonts w:ascii="Times New Roman" w:hAnsi="Times New Roman" w:cs="Times New Roman"/>
          <w:sz w:val="24"/>
          <w:szCs w:val="24"/>
          <w:lang w:val="fr-FR"/>
        </w:rPr>
        <w:t>Almaty,</w:t>
      </w:r>
      <w:r w:rsidRPr="00B56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Kazakhstan</w:t>
      </w:r>
    </w:p>
    <w:p w:rsidR="0069502C" w:rsidRDefault="0069502C" w:rsidP="0069502C">
      <w:pPr>
        <w:pStyle w:val="Text"/>
        <w:rPr>
          <w:rFonts w:ascii="Times New Roman" w:hAnsi="Times New Roman"/>
          <w:color w:val="000000"/>
          <w:sz w:val="24"/>
        </w:rPr>
      </w:pPr>
    </w:p>
    <w:p w:rsidR="0069502C" w:rsidRDefault="0069502C" w:rsidP="0069502C">
      <w:pPr>
        <w:pStyle w:val="Tex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Keywords: foam, </w:t>
      </w:r>
      <w:proofErr w:type="spellStart"/>
      <w:r>
        <w:rPr>
          <w:rFonts w:ascii="Times New Roman" w:hAnsi="Times New Roman"/>
          <w:color w:val="000000"/>
          <w:sz w:val="24"/>
        </w:rPr>
        <w:t>foamer</w:t>
      </w:r>
      <w:proofErr w:type="spellEnd"/>
      <w:r>
        <w:rPr>
          <w:rFonts w:ascii="Times New Roman" w:hAnsi="Times New Roman"/>
          <w:color w:val="000000"/>
          <w:sz w:val="24"/>
        </w:rPr>
        <w:t>, stability</w:t>
      </w:r>
    </w:p>
    <w:p w:rsidR="0069502C" w:rsidRPr="00210288" w:rsidRDefault="0069502C" w:rsidP="006950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>Main Topic:</w:t>
      </w:r>
      <w:r w:rsidRPr="00876FE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876F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Foams and emulsions</w:t>
      </w:r>
    </w:p>
    <w:p w:rsidR="0069502C" w:rsidRPr="00210288" w:rsidRDefault="0069502C" w:rsidP="006950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502C" w:rsidRPr="0085167E" w:rsidRDefault="0069502C" w:rsidP="006950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The e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ffect of temperature on the stability of foams is difficult and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connectedto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 the</w:t>
      </w:r>
      <w:proofErr w:type="gramEnd"/>
      <w:r w:rsidRPr="009D28EF">
        <w:rPr>
          <w:rFonts w:ascii="Times New Roman" w:hAnsi="Times New Roman"/>
          <w:sz w:val="24"/>
          <w:szCs w:val="24"/>
          <w:lang w:eastAsia="ru-RU"/>
        </w:rPr>
        <w:t xml:space="preserve"> occurrence of a number of competing processes. </w:t>
      </w:r>
      <w:r w:rsidRPr="00817119">
        <w:rPr>
          <w:rFonts w:ascii="Times New Roman" w:hAnsi="Times New Roman"/>
          <w:sz w:val="24"/>
          <w:szCs w:val="24"/>
          <w:lang w:eastAsia="ru-RU"/>
        </w:rPr>
        <w:t>With increasing temperature the evaporation of the so</w:t>
      </w:r>
      <w:r>
        <w:rPr>
          <w:rFonts w:ascii="Times New Roman" w:hAnsi="Times New Roman"/>
          <w:sz w:val="24"/>
          <w:szCs w:val="24"/>
          <w:lang w:eastAsia="ru-RU"/>
        </w:rPr>
        <w:t xml:space="preserve">lvent and blowing agent </w:t>
      </w:r>
      <w:r w:rsidRPr="00817119">
        <w:rPr>
          <w:rFonts w:ascii="Times New Roman" w:hAnsi="Times New Roman"/>
          <w:sz w:val="24"/>
          <w:szCs w:val="24"/>
          <w:lang w:eastAsia="ru-RU"/>
        </w:rPr>
        <w:t>increases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D</w:t>
      </w:r>
      <w:r w:rsidRPr="00817119">
        <w:rPr>
          <w:rFonts w:ascii="Times New Roman" w:hAnsi="Times New Roman"/>
          <w:sz w:val="24"/>
          <w:szCs w:val="24"/>
          <w:lang w:eastAsia="ru-RU"/>
        </w:rPr>
        <w:t>epending on the conc</w:t>
      </w:r>
      <w:r>
        <w:rPr>
          <w:rFonts w:ascii="Times New Roman" w:hAnsi="Times New Roman"/>
          <w:sz w:val="24"/>
          <w:szCs w:val="24"/>
          <w:lang w:eastAsia="ru-RU"/>
        </w:rPr>
        <w:t xml:space="preserve">entration of the foaming agent 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and its structure and stability of the foam may increase or decrease.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Increasing temperature decreases the </w:t>
      </w:r>
      <w:r w:rsidRPr="00BB220E">
        <w:rPr>
          <w:rFonts w:ascii="Times New Roman" w:hAnsi="Times New Roman"/>
          <w:sz w:val="24"/>
          <w:szCs w:val="24"/>
          <w:lang w:eastAsia="ru-RU"/>
        </w:rPr>
        <w:t>surfactant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 adsorption; this can reduce foam stability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and also improves the solubility of </w:t>
      </w:r>
      <w:r>
        <w:rPr>
          <w:rFonts w:ascii="Times New Roman" w:hAnsi="Times New Roman"/>
          <w:sz w:val="24"/>
          <w:szCs w:val="24"/>
          <w:lang w:eastAsia="ru-RU"/>
        </w:rPr>
        <w:t xml:space="preserve">the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blowing agent that </w:t>
      </w:r>
      <w:r>
        <w:rPr>
          <w:rFonts w:ascii="Times New Roman" w:hAnsi="Times New Roman"/>
          <w:sz w:val="24"/>
          <w:szCs w:val="24"/>
          <w:lang w:eastAsia="ru-RU"/>
        </w:rPr>
        <w:t xml:space="preserve">in turn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increases foam stability. </w:t>
      </w:r>
      <w:r>
        <w:rPr>
          <w:rFonts w:ascii="Times New Roman" w:hAnsi="Times New Roman"/>
          <w:sz w:val="24"/>
          <w:szCs w:val="24"/>
          <w:lang w:eastAsia="ru-RU"/>
        </w:rPr>
        <w:t>T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emperature </w:t>
      </w:r>
      <w:r>
        <w:rPr>
          <w:rFonts w:ascii="Times New Roman" w:hAnsi="Times New Roman"/>
          <w:sz w:val="24"/>
          <w:szCs w:val="24"/>
          <w:lang w:eastAsia="ru-RU"/>
        </w:rPr>
        <w:t>i</w:t>
      </w:r>
      <w:r w:rsidRPr="009D28EF">
        <w:rPr>
          <w:rFonts w:ascii="Times New Roman" w:hAnsi="Times New Roman"/>
          <w:sz w:val="24"/>
          <w:szCs w:val="24"/>
          <w:lang w:eastAsia="ru-RU"/>
        </w:rPr>
        <w:t>ncreas</w:t>
      </w:r>
      <w:r>
        <w:rPr>
          <w:rFonts w:ascii="Times New Roman" w:hAnsi="Times New Roman"/>
          <w:sz w:val="24"/>
          <w:szCs w:val="24"/>
          <w:lang w:eastAsia="ru-RU"/>
        </w:rPr>
        <w:t>e leads to the growth of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 thermal vibrations of the adsorbed molecules, whereby the mechanical strength of the surface layer attenuated.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28EF">
        <w:rPr>
          <w:rFonts w:ascii="Times New Roman" w:hAnsi="Times New Roman"/>
          <w:sz w:val="24"/>
          <w:szCs w:val="24"/>
          <w:lang w:eastAsia="ru-RU"/>
        </w:rPr>
        <w:t>Furthermore, the viscosity of the foam a</w:t>
      </w:r>
      <w:r>
        <w:rPr>
          <w:rFonts w:ascii="Times New Roman" w:hAnsi="Times New Roman"/>
          <w:sz w:val="24"/>
          <w:szCs w:val="24"/>
          <w:lang w:eastAsia="ru-RU"/>
        </w:rPr>
        <w:t>nd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 solution decreases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 respectively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which </w:t>
      </w:r>
      <w:r w:rsidRPr="009D28EF">
        <w:rPr>
          <w:rFonts w:ascii="Times New Roman" w:hAnsi="Times New Roman"/>
          <w:sz w:val="24"/>
          <w:szCs w:val="24"/>
          <w:lang w:eastAsia="ru-RU"/>
        </w:rPr>
        <w:t xml:space="preserve">increases the </w:t>
      </w:r>
      <w:r>
        <w:rPr>
          <w:rFonts w:ascii="Times New Roman" w:hAnsi="Times New Roman"/>
          <w:sz w:val="24"/>
          <w:szCs w:val="24"/>
          <w:lang w:eastAsia="ru-RU"/>
        </w:rPr>
        <w:t xml:space="preserve">drainage rate </w:t>
      </w:r>
      <w:r w:rsidRPr="009D28EF">
        <w:rPr>
          <w:rFonts w:ascii="Times New Roman" w:hAnsi="Times New Roman"/>
          <w:sz w:val="24"/>
          <w:szCs w:val="24"/>
          <w:lang w:eastAsia="ru-RU"/>
        </w:rPr>
        <w:t>of liquid from the foam.</w:t>
      </w:r>
      <w:r w:rsidRPr="00E7469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69502C" w:rsidRPr="0085167E" w:rsidRDefault="0069502C" w:rsidP="006950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17119">
        <w:rPr>
          <w:rFonts w:ascii="Times New Roman" w:hAnsi="Times New Roman"/>
          <w:sz w:val="24"/>
          <w:szCs w:val="24"/>
          <w:lang w:eastAsia="ru-RU"/>
        </w:rPr>
        <w:t xml:space="preserve">In this paper we studied the effect of temperature on the foaming capacity of surfactants </w:t>
      </w:r>
      <w:r>
        <w:rPr>
          <w:rFonts w:ascii="Times New Roman" w:hAnsi="Times New Roman"/>
          <w:sz w:val="24"/>
          <w:szCs w:val="24"/>
          <w:lang w:eastAsia="ru-RU"/>
        </w:rPr>
        <w:t xml:space="preserve">of 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different </w:t>
      </w:r>
      <w:proofErr w:type="gramStart"/>
      <w:r w:rsidRPr="00817119">
        <w:rPr>
          <w:rFonts w:ascii="Times New Roman" w:hAnsi="Times New Roman"/>
          <w:sz w:val="24"/>
          <w:szCs w:val="24"/>
          <w:lang w:eastAsia="ru-RU"/>
        </w:rPr>
        <w:t>nature :</w:t>
      </w:r>
      <w:proofErr w:type="gramEnd"/>
      <w:r w:rsidRPr="00817119">
        <w:rPr>
          <w:rFonts w:ascii="Times New Roman" w:hAnsi="Times New Roman"/>
          <w:sz w:val="24"/>
          <w:szCs w:val="24"/>
          <w:lang w:eastAsia="ru-RU"/>
        </w:rPr>
        <w:t xml:space="preserve"> anionic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sodium dodecyl sulphate (SDS)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and cationic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cetylpyridinium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bromide (</w:t>
      </w:r>
      <w:r w:rsidRPr="00817119">
        <w:rPr>
          <w:rFonts w:ascii="Times New Roman" w:hAnsi="Times New Roman"/>
          <w:sz w:val="24"/>
          <w:szCs w:val="24"/>
          <w:lang w:eastAsia="ru-RU"/>
        </w:rPr>
        <w:t>CP</w:t>
      </w:r>
      <w:r>
        <w:rPr>
          <w:rFonts w:ascii="Times New Roman" w:hAnsi="Times New Roman"/>
          <w:sz w:val="24"/>
          <w:szCs w:val="24"/>
          <w:lang w:eastAsia="ru-RU"/>
        </w:rPr>
        <w:t>B)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in a wide temperature range. The studies were conducted on </w:t>
      </w:r>
      <w:r>
        <w:rPr>
          <w:rFonts w:ascii="Times New Roman" w:hAnsi="Times New Roman"/>
          <w:sz w:val="24"/>
          <w:szCs w:val="24"/>
          <w:lang w:eastAsia="ru-RU"/>
        </w:rPr>
        <w:t>a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device </w:t>
      </w:r>
      <w:r>
        <w:rPr>
          <w:rFonts w:ascii="Times New Roman" w:hAnsi="Times New Roman"/>
          <w:sz w:val="24"/>
          <w:szCs w:val="24"/>
          <w:lang w:eastAsia="ru-RU"/>
        </w:rPr>
        <w:t xml:space="preserve">based on the </w:t>
      </w:r>
      <w:r w:rsidRPr="00817119">
        <w:rPr>
          <w:rFonts w:ascii="Times New Roman" w:hAnsi="Times New Roman"/>
          <w:sz w:val="24"/>
          <w:szCs w:val="24"/>
          <w:lang w:eastAsia="ru-RU"/>
        </w:rPr>
        <w:t>Ross-Miles</w:t>
      </w:r>
      <w:r>
        <w:rPr>
          <w:rFonts w:ascii="Times New Roman" w:hAnsi="Times New Roman"/>
          <w:sz w:val="24"/>
          <w:szCs w:val="24"/>
          <w:lang w:eastAsia="ru-RU"/>
        </w:rPr>
        <w:t xml:space="preserve"> protocol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. The concentration of the surfactant solutions was equal - </w:t>
      </w:r>
      <w:r w:rsidRPr="00415110">
        <w:rPr>
          <w:rFonts w:ascii="Times New Roman" w:hAnsi="Times New Roman"/>
          <w:sz w:val="24"/>
          <w:szCs w:val="24"/>
          <w:lang w:eastAsia="ru-RU"/>
        </w:rPr>
        <w:t>1 × 10</w:t>
      </w:r>
      <w:r w:rsidRPr="00C10766">
        <w:rPr>
          <w:rFonts w:ascii="Times New Roman" w:hAnsi="Times New Roman"/>
          <w:sz w:val="24"/>
          <w:szCs w:val="24"/>
          <w:vertAlign w:val="superscript"/>
          <w:lang w:eastAsia="ru-RU"/>
        </w:rPr>
        <w:t>-3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5110">
        <w:rPr>
          <w:rFonts w:ascii="Times New Roman" w:hAnsi="Times New Roman"/>
          <w:sz w:val="24"/>
          <w:szCs w:val="24"/>
          <w:lang w:eastAsia="ru-RU"/>
        </w:rPr>
        <w:t>mol</w:t>
      </w:r>
      <w:proofErr w:type="spellEnd"/>
      <w:r w:rsidRPr="00415110">
        <w:rPr>
          <w:rFonts w:ascii="Times New Roman" w:hAnsi="Times New Roman"/>
          <w:sz w:val="24"/>
          <w:szCs w:val="24"/>
          <w:lang w:eastAsia="ru-RU"/>
        </w:rPr>
        <w:t>/l.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167E">
        <w:rPr>
          <w:rFonts w:ascii="Times New Roman" w:hAnsi="Times New Roman"/>
          <w:sz w:val="24"/>
          <w:szCs w:val="24"/>
          <w:lang w:eastAsia="ru-RU"/>
        </w:rPr>
        <w:t>With increasing temperature, the foaming ability of surfactant solutions increases. With increasing temperature,</w:t>
      </w:r>
      <w:r>
        <w:rPr>
          <w:rFonts w:ascii="Times New Roman" w:hAnsi="Times New Roman"/>
          <w:sz w:val="24"/>
          <w:szCs w:val="24"/>
          <w:lang w:eastAsia="ru-RU"/>
        </w:rPr>
        <w:t xml:space="preserve"> the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increasing volume of the </w:t>
      </w:r>
      <w:r>
        <w:rPr>
          <w:rFonts w:ascii="Times New Roman" w:hAnsi="Times New Roman"/>
          <w:sz w:val="24"/>
          <w:szCs w:val="24"/>
          <w:lang w:eastAsia="ru-RU"/>
        </w:rPr>
        <w:t xml:space="preserve">produced </w:t>
      </w:r>
      <w:r w:rsidRPr="0085167E">
        <w:rPr>
          <w:rFonts w:ascii="Times New Roman" w:hAnsi="Times New Roman"/>
          <w:sz w:val="24"/>
          <w:szCs w:val="24"/>
          <w:lang w:eastAsia="ru-RU"/>
        </w:rPr>
        <w:t>foam may be associated with an increased air pressure inside the bubble, the improve</w:t>
      </w:r>
      <w:r>
        <w:rPr>
          <w:rFonts w:ascii="Times New Roman" w:hAnsi="Times New Roman"/>
          <w:sz w:val="24"/>
          <w:szCs w:val="24"/>
          <w:lang w:eastAsia="ru-RU"/>
        </w:rPr>
        <w:t>d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solubility of </w:t>
      </w:r>
      <w:r>
        <w:rPr>
          <w:rFonts w:ascii="Times New Roman" w:hAnsi="Times New Roman"/>
          <w:sz w:val="24"/>
          <w:szCs w:val="24"/>
          <w:lang w:eastAsia="ru-RU"/>
        </w:rPr>
        <w:t>the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surfactant and decreas</w:t>
      </w:r>
      <w:r>
        <w:rPr>
          <w:rFonts w:ascii="Times New Roman" w:hAnsi="Times New Roman"/>
          <w:sz w:val="24"/>
          <w:szCs w:val="24"/>
          <w:lang w:eastAsia="ru-RU"/>
        </w:rPr>
        <w:t>ed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surface tension. The foam life time with increas</w:t>
      </w:r>
      <w:r>
        <w:rPr>
          <w:rFonts w:ascii="Times New Roman" w:hAnsi="Times New Roman"/>
          <w:sz w:val="24"/>
          <w:szCs w:val="24"/>
          <w:lang w:eastAsia="ru-RU"/>
        </w:rPr>
        <w:t>ing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temperature go</w:t>
      </w:r>
      <w:r>
        <w:rPr>
          <w:rFonts w:ascii="Times New Roman" w:hAnsi="Times New Roman"/>
          <w:sz w:val="24"/>
          <w:szCs w:val="24"/>
          <w:lang w:eastAsia="ru-RU"/>
        </w:rPr>
        <w:t>es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through a maximum in the temperature range </w:t>
      </w:r>
      <w:r>
        <w:rPr>
          <w:rFonts w:ascii="Times New Roman" w:hAnsi="Times New Roman"/>
          <w:sz w:val="24"/>
          <w:szCs w:val="24"/>
          <w:lang w:eastAsia="ru-RU"/>
        </w:rPr>
        <w:t>between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Pr="0085167E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C </w:t>
      </w:r>
      <w:r>
        <w:rPr>
          <w:rFonts w:ascii="Times New Roman" w:hAnsi="Times New Roman"/>
          <w:sz w:val="24"/>
          <w:szCs w:val="24"/>
          <w:lang w:eastAsia="ru-RU"/>
        </w:rPr>
        <w:t>and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40-50</w:t>
      </w:r>
      <w:r w:rsidRPr="0085167E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and </w:t>
      </w:r>
      <w:r w:rsidRPr="0085167E">
        <w:rPr>
          <w:rFonts w:ascii="Times New Roman" w:hAnsi="Times New Roman"/>
          <w:sz w:val="24"/>
          <w:szCs w:val="24"/>
          <w:lang w:eastAsia="ru-RU"/>
        </w:rPr>
        <w:t>begins to decrease at higher temperatures 60-70</w:t>
      </w:r>
      <w:r w:rsidRPr="0085167E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85167E">
        <w:rPr>
          <w:rFonts w:ascii="Times New Roman" w:hAnsi="Times New Roman"/>
          <w:sz w:val="24"/>
          <w:szCs w:val="24"/>
          <w:lang w:eastAsia="ru-RU"/>
        </w:rPr>
        <w:t>. Apparently, this is due to a decrease in the strength of foam films and increase</w:t>
      </w:r>
      <w:r>
        <w:rPr>
          <w:rFonts w:ascii="Times New Roman" w:hAnsi="Times New Roman"/>
          <w:sz w:val="24"/>
          <w:szCs w:val="24"/>
          <w:lang w:eastAsia="ru-RU"/>
        </w:rPr>
        <w:t xml:space="preserve"> of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the diffusion process owing to </w:t>
      </w:r>
      <w:r>
        <w:rPr>
          <w:rFonts w:ascii="Times New Roman" w:hAnsi="Times New Roman"/>
          <w:sz w:val="24"/>
          <w:szCs w:val="24"/>
          <w:lang w:eastAsia="ru-RU"/>
        </w:rPr>
        <w:t>an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increas</w:t>
      </w:r>
      <w:r>
        <w:rPr>
          <w:rFonts w:ascii="Times New Roman" w:hAnsi="Times New Roman"/>
          <w:sz w:val="24"/>
          <w:szCs w:val="24"/>
          <w:lang w:eastAsia="ru-RU"/>
        </w:rPr>
        <w:t>ed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thermal motion of the adsorbed molecules.</w:t>
      </w:r>
    </w:p>
    <w:p w:rsidR="0069502C" w:rsidRDefault="0069502C" w:rsidP="006950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67E">
        <w:rPr>
          <w:rFonts w:ascii="Times New Roman" w:hAnsi="Times New Roman"/>
          <w:sz w:val="24"/>
          <w:szCs w:val="24"/>
          <w:lang w:eastAsia="ru-RU"/>
        </w:rPr>
        <w:t>It is known that the</w:t>
      </w:r>
      <w:r>
        <w:rPr>
          <w:rFonts w:ascii="Times New Roman" w:hAnsi="Times New Roman"/>
          <w:sz w:val="24"/>
          <w:szCs w:val="24"/>
          <w:lang w:eastAsia="ru-RU"/>
        </w:rPr>
        <w:t xml:space="preserve"> addition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of polymer to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a surfactant 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solution enhances </w:t>
      </w:r>
      <w:r>
        <w:rPr>
          <w:rFonts w:ascii="Times New Roman" w:hAnsi="Times New Roman"/>
          <w:sz w:val="24"/>
          <w:szCs w:val="24"/>
          <w:lang w:eastAsia="ru-RU"/>
        </w:rPr>
        <w:t xml:space="preserve">the </w:t>
      </w:r>
      <w:r w:rsidRPr="0085167E">
        <w:rPr>
          <w:rFonts w:ascii="Times New Roman" w:hAnsi="Times New Roman"/>
          <w:sz w:val="24"/>
          <w:szCs w:val="24"/>
          <w:lang w:eastAsia="ru-RU"/>
        </w:rPr>
        <w:t>foam stability by increasing the viscosity of the solution and reduc</w:t>
      </w:r>
      <w:r>
        <w:rPr>
          <w:rFonts w:ascii="Times New Roman" w:hAnsi="Times New Roman"/>
          <w:sz w:val="24"/>
          <w:szCs w:val="24"/>
          <w:lang w:eastAsia="ru-RU"/>
        </w:rPr>
        <w:t>tion of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the surface tension.</w:t>
      </w:r>
      <w:r w:rsidRPr="00851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The </w:t>
      </w:r>
      <w:r w:rsidRPr="0085167E">
        <w:rPr>
          <w:rFonts w:ascii="Times New Roman" w:hAnsi="Times New Roman"/>
          <w:sz w:val="24"/>
          <w:szCs w:val="24"/>
          <w:lang w:eastAsia="ru-RU"/>
        </w:rPr>
        <w:t>effect of temperature o</w:t>
      </w:r>
      <w:r>
        <w:rPr>
          <w:rFonts w:ascii="Times New Roman" w:hAnsi="Times New Roman"/>
          <w:sz w:val="24"/>
          <w:szCs w:val="24"/>
          <w:lang w:eastAsia="ru-RU"/>
        </w:rPr>
        <w:t>n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the surfactant compositions </w:t>
      </w:r>
      <w:r>
        <w:rPr>
          <w:rFonts w:ascii="Times New Roman" w:hAnsi="Times New Roman"/>
          <w:sz w:val="24"/>
          <w:szCs w:val="24"/>
          <w:lang w:eastAsia="ru-RU"/>
        </w:rPr>
        <w:t>w</w:t>
      </w:r>
      <w:r w:rsidRPr="0085167E">
        <w:rPr>
          <w:rFonts w:ascii="Times New Roman" w:hAnsi="Times New Roman"/>
          <w:sz w:val="24"/>
          <w:szCs w:val="24"/>
          <w:lang w:eastAsia="ru-RU"/>
        </w:rPr>
        <w:t>as studie</w:t>
      </w:r>
      <w:r>
        <w:rPr>
          <w:rFonts w:ascii="Times New Roman" w:hAnsi="Times New Roman"/>
          <w:sz w:val="24"/>
          <w:szCs w:val="24"/>
          <w:lang w:eastAsia="ru-RU"/>
        </w:rPr>
        <w:t>d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for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gelatine. Gelatine basically has collagen - animal protein. For sustainable foams binary </w:t>
      </w:r>
      <w:r>
        <w:rPr>
          <w:rFonts w:ascii="Times New Roman" w:hAnsi="Times New Roman"/>
          <w:sz w:val="24"/>
          <w:szCs w:val="24"/>
          <w:lang w:eastAsia="ru-RU"/>
        </w:rPr>
        <w:t>s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urfactant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85167E">
        <w:rPr>
          <w:rFonts w:ascii="Times New Roman" w:hAnsi="Times New Roman"/>
          <w:sz w:val="24"/>
          <w:szCs w:val="24"/>
          <w:lang w:eastAsia="ru-RU"/>
        </w:rPr>
        <w:t>gelatine</w:t>
      </w:r>
      <w:r w:rsidRPr="007733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167E">
        <w:rPr>
          <w:rFonts w:ascii="Times New Roman" w:hAnsi="Times New Roman"/>
          <w:sz w:val="24"/>
          <w:szCs w:val="24"/>
          <w:lang w:eastAsia="ru-RU"/>
        </w:rPr>
        <w:t>composition</w:t>
      </w:r>
      <w:r>
        <w:rPr>
          <w:rFonts w:ascii="Times New Roman" w:hAnsi="Times New Roman"/>
          <w:sz w:val="24"/>
          <w:szCs w:val="24"/>
          <w:lang w:eastAsia="ru-RU"/>
        </w:rPr>
        <w:t>s</w:t>
      </w:r>
      <w:r w:rsidRPr="0085167E">
        <w:rPr>
          <w:rFonts w:ascii="Times New Roman" w:hAnsi="Times New Roman"/>
          <w:sz w:val="24"/>
          <w:szCs w:val="24"/>
          <w:lang w:eastAsia="ru-RU"/>
        </w:rPr>
        <w:t xml:space="preserve"> were </w:t>
      </w:r>
      <w:r>
        <w:rPr>
          <w:rFonts w:ascii="Times New Roman" w:hAnsi="Times New Roman"/>
          <w:sz w:val="24"/>
          <w:szCs w:val="24"/>
          <w:lang w:eastAsia="ru-RU"/>
        </w:rPr>
        <w:t>investigated</w:t>
      </w:r>
      <w:r w:rsidRPr="0085167E">
        <w:rPr>
          <w:rFonts w:ascii="Times New Roman" w:hAnsi="Times New Roman"/>
          <w:sz w:val="24"/>
          <w:szCs w:val="24"/>
          <w:lang w:eastAsia="ru-RU"/>
        </w:rPr>
        <w:t>.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The concentration of gelatine in the mixtures was 2%, and the concentration of surfactant </w:t>
      </w:r>
      <w:r>
        <w:rPr>
          <w:rFonts w:ascii="Times New Roman" w:hAnsi="Times New Roman"/>
          <w:sz w:val="24"/>
          <w:szCs w:val="24"/>
          <w:lang w:eastAsia="ru-RU"/>
        </w:rPr>
        <w:t>was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 1 × 10</w:t>
      </w:r>
      <w:r w:rsidRPr="00C10766">
        <w:rPr>
          <w:rFonts w:ascii="Times New Roman" w:hAnsi="Times New Roman"/>
          <w:sz w:val="24"/>
          <w:szCs w:val="24"/>
          <w:vertAlign w:val="superscript"/>
          <w:lang w:eastAsia="ru-RU"/>
        </w:rPr>
        <w:t>-3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5110">
        <w:rPr>
          <w:rFonts w:ascii="Times New Roman" w:hAnsi="Times New Roman"/>
          <w:sz w:val="24"/>
          <w:szCs w:val="24"/>
          <w:lang w:eastAsia="ru-RU"/>
        </w:rPr>
        <w:t>mol</w:t>
      </w:r>
      <w:proofErr w:type="spellEnd"/>
      <w:r w:rsidRPr="00415110">
        <w:rPr>
          <w:rFonts w:ascii="Times New Roman" w:hAnsi="Times New Roman"/>
          <w:sz w:val="24"/>
          <w:szCs w:val="24"/>
          <w:lang w:eastAsia="ru-RU"/>
        </w:rPr>
        <w:t xml:space="preserve">/l. </w:t>
      </w:r>
      <w:proofErr w:type="gramStart"/>
      <w:r w:rsidRPr="00415110">
        <w:rPr>
          <w:rFonts w:ascii="Times New Roman" w:hAnsi="Times New Roman"/>
          <w:sz w:val="24"/>
          <w:szCs w:val="24"/>
          <w:lang w:eastAsia="ru-RU"/>
        </w:rPr>
        <w:t>Previously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the 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foaming capacity of aqueous solutions of gelatine has been studied without </w:t>
      </w:r>
      <w:r>
        <w:rPr>
          <w:rFonts w:ascii="Times New Roman" w:hAnsi="Times New Roman"/>
          <w:sz w:val="24"/>
          <w:szCs w:val="24"/>
          <w:lang w:eastAsia="ru-RU"/>
        </w:rPr>
        <w:t xml:space="preserve">added 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surfactant. It was established that </w:t>
      </w:r>
      <w:r>
        <w:rPr>
          <w:rFonts w:ascii="Times New Roman" w:hAnsi="Times New Roman"/>
          <w:sz w:val="24"/>
          <w:szCs w:val="24"/>
          <w:lang w:eastAsia="ru-RU"/>
        </w:rPr>
        <w:t xml:space="preserve">a </w:t>
      </w:r>
      <w:r w:rsidRPr="00415110">
        <w:rPr>
          <w:rFonts w:ascii="Times New Roman" w:hAnsi="Times New Roman"/>
          <w:sz w:val="24"/>
          <w:szCs w:val="24"/>
          <w:lang w:eastAsia="ru-RU"/>
        </w:rPr>
        <w:t>2% gelatine solution ha</w:t>
      </w:r>
      <w:r>
        <w:rPr>
          <w:rFonts w:ascii="Times New Roman" w:hAnsi="Times New Roman"/>
          <w:sz w:val="24"/>
          <w:szCs w:val="24"/>
          <w:lang w:eastAsia="ru-RU"/>
        </w:rPr>
        <w:t>s</w:t>
      </w:r>
      <w:r w:rsidRPr="00415110">
        <w:rPr>
          <w:rFonts w:ascii="Times New Roman" w:hAnsi="Times New Roman"/>
          <w:sz w:val="24"/>
          <w:szCs w:val="24"/>
          <w:lang w:eastAsia="ru-RU"/>
        </w:rPr>
        <w:t xml:space="preserve"> low foaming ability.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The foaming ability of gelatine 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SDS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 and</w:t>
      </w:r>
      <w:proofErr w:type="gramEnd"/>
      <w:r w:rsidRPr="00817119">
        <w:rPr>
          <w:rFonts w:ascii="Times New Roman" w:hAnsi="Times New Roman"/>
          <w:sz w:val="24"/>
          <w:szCs w:val="24"/>
          <w:lang w:eastAsia="ru-RU"/>
        </w:rPr>
        <w:t xml:space="preserve"> gelatine - CP</w:t>
      </w:r>
      <w:r>
        <w:rPr>
          <w:rFonts w:ascii="Times New Roman" w:hAnsi="Times New Roman"/>
          <w:sz w:val="24"/>
          <w:szCs w:val="24"/>
          <w:lang w:eastAsia="ru-RU"/>
        </w:rPr>
        <w:t>B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compositions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has been studied over </w:t>
      </w:r>
      <w:r>
        <w:rPr>
          <w:rFonts w:ascii="Times New Roman" w:hAnsi="Times New Roman"/>
          <w:sz w:val="24"/>
          <w:szCs w:val="24"/>
          <w:lang w:eastAsia="ru-RU"/>
        </w:rPr>
        <w:t>the</w:t>
      </w:r>
      <w:r w:rsidRPr="00817119">
        <w:rPr>
          <w:rFonts w:ascii="Times New Roman" w:hAnsi="Times New Roman"/>
          <w:sz w:val="24"/>
          <w:szCs w:val="24"/>
          <w:lang w:eastAsia="ru-RU"/>
        </w:rPr>
        <w:t xml:space="preserve"> temperature range 30-60</w:t>
      </w:r>
      <w:r w:rsidRPr="00C1076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C</w:t>
      </w:r>
      <w:r w:rsidRPr="0081711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0766">
        <w:rPr>
          <w:rFonts w:ascii="Times New Roman" w:hAnsi="Times New Roman"/>
          <w:sz w:val="24"/>
          <w:szCs w:val="24"/>
          <w:lang w:eastAsia="ru-RU"/>
        </w:rPr>
        <w:t xml:space="preserve">Foams produced from </w:t>
      </w:r>
      <w:r>
        <w:rPr>
          <w:rFonts w:ascii="Times New Roman" w:hAnsi="Times New Roman"/>
          <w:sz w:val="24"/>
          <w:szCs w:val="24"/>
          <w:lang w:eastAsia="ru-RU"/>
        </w:rPr>
        <w:t xml:space="preserve">these </w:t>
      </w:r>
      <w:r w:rsidRPr="00C10766">
        <w:rPr>
          <w:rFonts w:ascii="Times New Roman" w:hAnsi="Times New Roman"/>
          <w:sz w:val="24"/>
          <w:szCs w:val="24"/>
          <w:lang w:eastAsia="ru-RU"/>
        </w:rPr>
        <w:t xml:space="preserve">solutions showed </w:t>
      </w:r>
      <w:r>
        <w:rPr>
          <w:rFonts w:ascii="Times New Roman" w:hAnsi="Times New Roman"/>
          <w:sz w:val="24"/>
          <w:szCs w:val="24"/>
          <w:lang w:eastAsia="ru-RU"/>
        </w:rPr>
        <w:t>larger</w:t>
      </w:r>
      <w:r w:rsidRPr="00C10766">
        <w:rPr>
          <w:rFonts w:ascii="Times New Roman" w:hAnsi="Times New Roman"/>
          <w:sz w:val="24"/>
          <w:szCs w:val="24"/>
          <w:lang w:eastAsia="ru-RU"/>
        </w:rPr>
        <w:t xml:space="preserve"> stability than the foam</w:t>
      </w:r>
      <w:r>
        <w:rPr>
          <w:rFonts w:ascii="Times New Roman" w:hAnsi="Times New Roman"/>
          <w:sz w:val="24"/>
          <w:szCs w:val="24"/>
          <w:lang w:eastAsia="ru-RU"/>
        </w:rPr>
        <w:t>s</w:t>
      </w:r>
      <w:r w:rsidRPr="00C10766">
        <w:rPr>
          <w:rFonts w:ascii="Times New Roman" w:hAnsi="Times New Roman"/>
          <w:sz w:val="24"/>
          <w:szCs w:val="24"/>
          <w:lang w:eastAsia="ru-RU"/>
        </w:rPr>
        <w:t xml:space="preserve"> from surfactant solutions</w:t>
      </w:r>
      <w:r>
        <w:rPr>
          <w:rFonts w:ascii="Times New Roman" w:hAnsi="Times New Roman"/>
          <w:sz w:val="24"/>
          <w:szCs w:val="24"/>
          <w:lang w:eastAsia="ru-RU"/>
        </w:rPr>
        <w:t xml:space="preserve"> alone</w:t>
      </w:r>
      <w:r w:rsidRPr="00C10766">
        <w:rPr>
          <w:rFonts w:ascii="Times New Roman" w:hAnsi="Times New Roman"/>
          <w:sz w:val="24"/>
          <w:szCs w:val="24"/>
          <w:lang w:eastAsia="ru-RU"/>
        </w:rPr>
        <w:t>. The calculat</w:t>
      </w:r>
      <w:r>
        <w:rPr>
          <w:rFonts w:ascii="Times New Roman" w:hAnsi="Times New Roman"/>
          <w:sz w:val="24"/>
          <w:szCs w:val="24"/>
          <w:lang w:eastAsia="ru-RU"/>
        </w:rPr>
        <w:t xml:space="preserve">ed </w:t>
      </w:r>
      <w:r w:rsidRPr="00C10766">
        <w:rPr>
          <w:rFonts w:ascii="Times New Roman" w:hAnsi="Times New Roman"/>
          <w:sz w:val="24"/>
          <w:szCs w:val="24"/>
          <w:lang w:eastAsia="ru-RU"/>
        </w:rPr>
        <w:t xml:space="preserve">stability </w:t>
      </w:r>
      <w:proofErr w:type="gramStart"/>
      <w:r w:rsidRPr="00C10766">
        <w:rPr>
          <w:rFonts w:ascii="Times New Roman" w:hAnsi="Times New Roman"/>
          <w:sz w:val="24"/>
          <w:szCs w:val="24"/>
          <w:lang w:eastAsia="ru-RU"/>
        </w:rPr>
        <w:t>coefficient are</w:t>
      </w:r>
      <w:proofErr w:type="gramEnd"/>
      <w:r w:rsidRPr="00C107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summarized</w:t>
      </w:r>
      <w:r w:rsidRPr="00C10766">
        <w:rPr>
          <w:rFonts w:ascii="Times New Roman" w:hAnsi="Times New Roman"/>
          <w:sz w:val="24"/>
          <w:szCs w:val="24"/>
          <w:lang w:eastAsia="ru-RU"/>
        </w:rPr>
        <w:t xml:space="preserve"> in Table 1.</w:t>
      </w:r>
    </w:p>
    <w:p w:rsidR="0069502C" w:rsidRDefault="0069502C" w:rsidP="006950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502C" w:rsidRPr="00876FED" w:rsidRDefault="0069502C" w:rsidP="0069502C">
      <w:pPr>
        <w:spacing w:after="0" w:line="240" w:lineRule="auto"/>
        <w:ind w:firstLine="426"/>
        <w:jc w:val="both"/>
        <w:rPr>
          <w:rStyle w:val="hps"/>
          <w:rFonts w:ascii="Times New Roman" w:hAnsi="Times New Roman"/>
          <w:sz w:val="20"/>
          <w:szCs w:val="20"/>
        </w:rPr>
      </w:pPr>
      <w:proofErr w:type="gramStart"/>
      <w:r w:rsidRPr="00876FED">
        <w:rPr>
          <w:rStyle w:val="hps"/>
          <w:rFonts w:ascii="Times New Roman" w:hAnsi="Times New Roman"/>
          <w:sz w:val="20"/>
          <w:szCs w:val="20"/>
        </w:rPr>
        <w:t>Table</w:t>
      </w:r>
      <w:r w:rsidRPr="00876FED">
        <w:rPr>
          <w:rFonts w:ascii="Times New Roman" w:hAnsi="Times New Roman"/>
          <w:sz w:val="20"/>
          <w:szCs w:val="20"/>
        </w:rPr>
        <w:t xml:space="preserve"> </w:t>
      </w:r>
      <w:r w:rsidRPr="00876FED">
        <w:rPr>
          <w:rStyle w:val="hps"/>
          <w:rFonts w:ascii="Times New Roman" w:hAnsi="Times New Roman"/>
          <w:sz w:val="20"/>
          <w:szCs w:val="20"/>
        </w:rPr>
        <w:t>1</w:t>
      </w:r>
      <w:r w:rsidRPr="00876FED">
        <w:rPr>
          <w:rFonts w:ascii="Times New Roman" w:hAnsi="Times New Roman"/>
          <w:sz w:val="20"/>
          <w:szCs w:val="20"/>
        </w:rPr>
        <w:t>.</w:t>
      </w:r>
      <w:proofErr w:type="gramEnd"/>
      <w:r w:rsidRPr="00876FED">
        <w:rPr>
          <w:rFonts w:ascii="Times New Roman" w:hAnsi="Times New Roman"/>
          <w:sz w:val="20"/>
          <w:szCs w:val="20"/>
        </w:rPr>
        <w:t xml:space="preserve"> </w:t>
      </w:r>
      <w:r w:rsidRPr="00876FED">
        <w:rPr>
          <w:rStyle w:val="hps"/>
          <w:rFonts w:ascii="Times New Roman" w:hAnsi="Times New Roman"/>
          <w:sz w:val="20"/>
          <w:szCs w:val="20"/>
        </w:rPr>
        <w:t>Effect of temperature</w:t>
      </w:r>
      <w:r w:rsidRPr="00876FED">
        <w:rPr>
          <w:rFonts w:ascii="Times New Roman" w:hAnsi="Times New Roman"/>
          <w:sz w:val="20"/>
          <w:szCs w:val="20"/>
        </w:rPr>
        <w:t xml:space="preserve"> </w:t>
      </w:r>
      <w:r w:rsidRPr="00876FED">
        <w:rPr>
          <w:rStyle w:val="hps"/>
          <w:rFonts w:ascii="Times New Roman" w:hAnsi="Times New Roman"/>
          <w:sz w:val="20"/>
          <w:szCs w:val="20"/>
        </w:rPr>
        <w:t>on the stability of</w:t>
      </w:r>
      <w:r w:rsidRPr="00876FED">
        <w:rPr>
          <w:rFonts w:ascii="Times New Roman" w:hAnsi="Times New Roman"/>
          <w:sz w:val="20"/>
          <w:szCs w:val="20"/>
        </w:rPr>
        <w:t xml:space="preserve"> </w:t>
      </w:r>
      <w:r w:rsidRPr="00876FED">
        <w:rPr>
          <w:rStyle w:val="hps"/>
          <w:rFonts w:ascii="Times New Roman" w:hAnsi="Times New Roman"/>
          <w:sz w:val="20"/>
          <w:szCs w:val="20"/>
        </w:rPr>
        <w:t>foams</w:t>
      </w: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3"/>
        <w:gridCol w:w="1092"/>
        <w:gridCol w:w="1037"/>
        <w:gridCol w:w="1037"/>
        <w:gridCol w:w="1148"/>
        <w:gridCol w:w="1033"/>
      </w:tblGrid>
      <w:tr w:rsidR="0069502C" w:rsidRPr="00876FED" w:rsidTr="007046FD">
        <w:trPr>
          <w:trHeight w:val="193"/>
          <w:jc w:val="center"/>
        </w:trPr>
        <w:tc>
          <w:tcPr>
            <w:tcW w:w="2174" w:type="pct"/>
          </w:tcPr>
          <w:p w:rsidR="0069502C" w:rsidRPr="00876FED" w:rsidRDefault="0069502C" w:rsidP="007046F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Surfactant</w:t>
            </w:r>
          </w:p>
        </w:tc>
        <w:tc>
          <w:tcPr>
            <w:tcW w:w="577" w:type="pct"/>
          </w:tcPr>
          <w:p w:rsidR="0069502C" w:rsidRPr="00876FED" w:rsidRDefault="0069502C" w:rsidP="007046FD">
            <w:pPr>
              <w:tabs>
                <w:tab w:val="num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30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40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50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60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46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70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69502C" w:rsidRPr="00876FED" w:rsidTr="007046FD">
        <w:trPr>
          <w:trHeight w:val="225"/>
          <w:jc w:val="center"/>
        </w:trPr>
        <w:tc>
          <w:tcPr>
            <w:tcW w:w="2174" w:type="pct"/>
          </w:tcPr>
          <w:p w:rsidR="0069502C" w:rsidRPr="00876FED" w:rsidRDefault="0069502C" w:rsidP="007046FD">
            <w:pPr>
              <w:tabs>
                <w:tab w:val="num" w:pos="3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  <w:lang w:val="en-US"/>
              </w:rPr>
              <w:t>SDS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1 × 10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mol</w:t>
            </w:r>
            <w:proofErr w:type="spellEnd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l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60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46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</w:tr>
      <w:tr w:rsidR="0069502C" w:rsidRPr="00876FED" w:rsidTr="007046FD">
        <w:trPr>
          <w:trHeight w:val="143"/>
          <w:jc w:val="center"/>
        </w:trPr>
        <w:tc>
          <w:tcPr>
            <w:tcW w:w="2174" w:type="pct"/>
          </w:tcPr>
          <w:p w:rsidR="0069502C" w:rsidRPr="00876FED" w:rsidRDefault="0069502C" w:rsidP="007046FD">
            <w:pPr>
              <w:tabs>
                <w:tab w:val="num" w:pos="3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  <w:lang w:val="en-US"/>
              </w:rPr>
              <w:t>CPB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1 × 10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mol</w:t>
            </w:r>
            <w:proofErr w:type="spellEnd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l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548" w:type="pct"/>
            <w:vAlign w:val="center"/>
          </w:tcPr>
          <w:p w:rsidR="0069502C" w:rsidRPr="00876FED" w:rsidRDefault="0069502C" w:rsidP="007046FD">
            <w:pPr>
              <w:tabs>
                <w:tab w:val="center" w:pos="-1404"/>
                <w:tab w:val="right" w:pos="634"/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548" w:type="pct"/>
            <w:vAlign w:val="center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607" w:type="pct"/>
            <w:vAlign w:val="center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546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</w:tr>
      <w:tr w:rsidR="0069502C" w:rsidRPr="00876FED" w:rsidTr="007046FD">
        <w:trPr>
          <w:trHeight w:val="176"/>
          <w:jc w:val="center"/>
        </w:trPr>
        <w:tc>
          <w:tcPr>
            <w:tcW w:w="2174" w:type="pct"/>
          </w:tcPr>
          <w:p w:rsidR="0069502C" w:rsidRPr="00876FED" w:rsidRDefault="0069502C" w:rsidP="007046FD">
            <w:pPr>
              <w:tabs>
                <w:tab w:val="num" w:pos="3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  <w:lang w:val="en-US"/>
              </w:rPr>
              <w:t>SDS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1 × 10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mol</w:t>
            </w:r>
            <w:proofErr w:type="spellEnd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l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) and</w:t>
            </w: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gelatine</w:t>
            </w: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%</w:t>
            </w: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7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60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546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502C" w:rsidRPr="00876FED" w:rsidTr="007046FD">
        <w:trPr>
          <w:trHeight w:val="79"/>
          <w:jc w:val="center"/>
        </w:trPr>
        <w:tc>
          <w:tcPr>
            <w:tcW w:w="2174" w:type="pct"/>
          </w:tcPr>
          <w:p w:rsidR="0069502C" w:rsidRPr="00876FED" w:rsidRDefault="0069502C" w:rsidP="007046FD">
            <w:pPr>
              <w:tabs>
                <w:tab w:val="num" w:pos="3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  <w:lang w:val="en-US"/>
              </w:rPr>
              <w:t>CPB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1 × 10</w:t>
            </w:r>
            <w:r w:rsidRPr="00876FE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mol</w:t>
            </w:r>
            <w:proofErr w:type="spellEnd"/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l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)</w:t>
            </w:r>
            <w:r w:rsidRPr="00876F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</w:t>
            </w: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876FED">
              <w:rPr>
                <w:rFonts w:ascii="Times New Roman" w:hAnsi="Times New Roman"/>
                <w:sz w:val="20"/>
                <w:szCs w:val="20"/>
              </w:rPr>
              <w:t>%</w:t>
            </w: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76FED">
              <w:rPr>
                <w:rFonts w:ascii="Times New Roman" w:hAnsi="Times New Roman"/>
                <w:sz w:val="20"/>
                <w:szCs w:val="20"/>
                <w:lang w:eastAsia="ru-RU"/>
              </w:rPr>
              <w:t>gelatine</w:t>
            </w:r>
            <w:r w:rsidRPr="00876F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7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548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07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546" w:type="pct"/>
          </w:tcPr>
          <w:p w:rsidR="0069502C" w:rsidRPr="00876FED" w:rsidRDefault="0069502C" w:rsidP="007046FD">
            <w:pPr>
              <w:tabs>
                <w:tab w:val="num" w:pos="8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4CCE" w:rsidRDefault="00A04CCE"/>
    <w:sectPr w:rsidR="00A0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65"/>
    <w:rsid w:val="00025527"/>
    <w:rsid w:val="0007711F"/>
    <w:rsid w:val="00080230"/>
    <w:rsid w:val="0009338C"/>
    <w:rsid w:val="000F5174"/>
    <w:rsid w:val="001212AC"/>
    <w:rsid w:val="0018626F"/>
    <w:rsid w:val="00186665"/>
    <w:rsid w:val="001C19A2"/>
    <w:rsid w:val="001D1423"/>
    <w:rsid w:val="001E534D"/>
    <w:rsid w:val="002E5AB8"/>
    <w:rsid w:val="00300B15"/>
    <w:rsid w:val="0030465D"/>
    <w:rsid w:val="00351A85"/>
    <w:rsid w:val="00436247"/>
    <w:rsid w:val="00504463"/>
    <w:rsid w:val="005A260C"/>
    <w:rsid w:val="005C5576"/>
    <w:rsid w:val="005F303F"/>
    <w:rsid w:val="00654276"/>
    <w:rsid w:val="006832C3"/>
    <w:rsid w:val="0069502C"/>
    <w:rsid w:val="006B0417"/>
    <w:rsid w:val="006B0A66"/>
    <w:rsid w:val="006F4219"/>
    <w:rsid w:val="007334DD"/>
    <w:rsid w:val="007413C8"/>
    <w:rsid w:val="00743A2B"/>
    <w:rsid w:val="007943A0"/>
    <w:rsid w:val="00797C6A"/>
    <w:rsid w:val="007B4A53"/>
    <w:rsid w:val="007D799E"/>
    <w:rsid w:val="00823F19"/>
    <w:rsid w:val="0083029E"/>
    <w:rsid w:val="0084369B"/>
    <w:rsid w:val="008A0D87"/>
    <w:rsid w:val="008C51B8"/>
    <w:rsid w:val="008D3CA2"/>
    <w:rsid w:val="009975B6"/>
    <w:rsid w:val="009F280D"/>
    <w:rsid w:val="00A04CCE"/>
    <w:rsid w:val="00A456DC"/>
    <w:rsid w:val="00AE771E"/>
    <w:rsid w:val="00AE7755"/>
    <w:rsid w:val="00B42731"/>
    <w:rsid w:val="00BC49BB"/>
    <w:rsid w:val="00C416F6"/>
    <w:rsid w:val="00C83AB5"/>
    <w:rsid w:val="00CC7A6F"/>
    <w:rsid w:val="00DD4507"/>
    <w:rsid w:val="00DF439D"/>
    <w:rsid w:val="00E564A6"/>
    <w:rsid w:val="00F14371"/>
    <w:rsid w:val="00F225F0"/>
    <w:rsid w:val="00F43ABD"/>
    <w:rsid w:val="00F44075"/>
    <w:rsid w:val="00F566BD"/>
    <w:rsid w:val="00F739A0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2C"/>
    <w:rPr>
      <w:rFonts w:ascii="Calibri" w:eastAsia="Times New Roman" w:hAnsi="Calibri" w:cs="Times New Roman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69502C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character" w:customStyle="1" w:styleId="hps">
    <w:name w:val="hps"/>
    <w:basedOn w:val="a0"/>
    <w:rsid w:val="0069502C"/>
  </w:style>
  <w:style w:type="paragraph" w:styleId="a3">
    <w:name w:val="No Spacing"/>
    <w:uiPriority w:val="1"/>
    <w:qFormat/>
    <w:rsid w:val="0069502C"/>
    <w:pPr>
      <w:spacing w:after="0" w:line="240" w:lineRule="auto"/>
    </w:pPr>
    <w:rPr>
      <w:rFonts w:eastAsiaTheme="minorHAns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2C"/>
    <w:rPr>
      <w:rFonts w:ascii="Calibri" w:eastAsia="Times New Roman" w:hAnsi="Calibri" w:cs="Times New Roman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69502C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character" w:customStyle="1" w:styleId="hps">
    <w:name w:val="hps"/>
    <w:basedOn w:val="a0"/>
    <w:rsid w:val="0069502C"/>
  </w:style>
  <w:style w:type="paragraph" w:styleId="a3">
    <w:name w:val="No Spacing"/>
    <w:uiPriority w:val="1"/>
    <w:qFormat/>
    <w:rsid w:val="0069502C"/>
    <w:pPr>
      <w:spacing w:after="0" w:line="240" w:lineRule="auto"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Оспанова Жанар</cp:lastModifiedBy>
  <cp:revision>2</cp:revision>
  <dcterms:created xsi:type="dcterms:W3CDTF">2016-05-10T05:20:00Z</dcterms:created>
  <dcterms:modified xsi:type="dcterms:W3CDTF">2016-05-10T05:20:00Z</dcterms:modified>
</cp:coreProperties>
</file>