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B0" w:rsidRPr="00DB52B0" w:rsidRDefault="00DB52B0" w:rsidP="00DB52B0">
      <w:pPr>
        <w:spacing w:after="0" w:line="240" w:lineRule="auto"/>
        <w:jc w:val="right"/>
        <w:rPr>
          <w:rFonts w:ascii="Times New Roman" w:hAnsi="Times New Roman" w:cs="Times New Roman"/>
          <w:b/>
          <w:i/>
          <w:sz w:val="24"/>
          <w:szCs w:val="24"/>
          <w:lang w:val="kk-KZ"/>
        </w:rPr>
      </w:pPr>
      <w:r w:rsidRPr="00DB52B0">
        <w:rPr>
          <w:rFonts w:ascii="Times New Roman" w:hAnsi="Times New Roman" w:cs="Times New Roman"/>
          <w:b/>
          <w:i/>
          <w:sz w:val="24"/>
          <w:szCs w:val="24"/>
          <w:lang w:val="kk-KZ"/>
        </w:rPr>
        <w:t>әл-Фараби атындағы ҚазҰУ</w:t>
      </w:r>
    </w:p>
    <w:p w:rsidR="00DB52B0" w:rsidRPr="00DB52B0" w:rsidRDefault="00DB52B0" w:rsidP="00DB52B0">
      <w:pPr>
        <w:spacing w:after="0" w:line="240" w:lineRule="auto"/>
        <w:jc w:val="right"/>
        <w:rPr>
          <w:rFonts w:ascii="Times New Roman" w:hAnsi="Times New Roman" w:cs="Times New Roman"/>
          <w:b/>
          <w:i/>
          <w:sz w:val="24"/>
          <w:szCs w:val="24"/>
          <w:lang w:val="kk-KZ"/>
        </w:rPr>
      </w:pPr>
      <w:r w:rsidRPr="00DB52B0">
        <w:rPr>
          <w:rFonts w:ascii="Times New Roman" w:hAnsi="Times New Roman" w:cs="Times New Roman"/>
          <w:b/>
          <w:i/>
          <w:sz w:val="24"/>
          <w:szCs w:val="24"/>
          <w:lang w:val="kk-KZ"/>
        </w:rPr>
        <w:t xml:space="preserve">соц.ғ.д., профессор Әбдірайымова Г.С., </w:t>
      </w:r>
    </w:p>
    <w:p w:rsidR="00DB52B0" w:rsidRDefault="00DB52B0" w:rsidP="00DB52B0">
      <w:pPr>
        <w:spacing w:after="0" w:line="240" w:lineRule="auto"/>
        <w:jc w:val="right"/>
        <w:rPr>
          <w:rFonts w:ascii="Times New Roman" w:hAnsi="Times New Roman" w:cs="Times New Roman"/>
          <w:b/>
          <w:i/>
          <w:sz w:val="24"/>
          <w:szCs w:val="24"/>
          <w:lang w:val="kk-KZ"/>
        </w:rPr>
      </w:pPr>
      <w:r w:rsidRPr="00DB52B0">
        <w:rPr>
          <w:rFonts w:ascii="Times New Roman" w:hAnsi="Times New Roman" w:cs="Times New Roman"/>
          <w:b/>
          <w:i/>
          <w:sz w:val="24"/>
          <w:szCs w:val="24"/>
          <w:lang w:val="kk-KZ"/>
        </w:rPr>
        <w:t>оқытушы Болысбаева С.М.</w:t>
      </w:r>
    </w:p>
    <w:p w:rsidR="00DB52B0" w:rsidRPr="00DB52B0" w:rsidRDefault="00DB52B0" w:rsidP="00DB52B0">
      <w:pPr>
        <w:spacing w:after="0" w:line="240" w:lineRule="auto"/>
        <w:jc w:val="right"/>
        <w:rPr>
          <w:rFonts w:ascii="Times New Roman" w:hAnsi="Times New Roman" w:cs="Times New Roman"/>
          <w:b/>
          <w:i/>
          <w:sz w:val="24"/>
          <w:szCs w:val="24"/>
          <w:lang w:val="kk-KZ"/>
        </w:rPr>
      </w:pPr>
    </w:p>
    <w:p w:rsidR="00DB52B0" w:rsidRDefault="00DB52B0" w:rsidP="005A3591">
      <w:pPr>
        <w:spacing w:after="0" w:line="240" w:lineRule="auto"/>
        <w:jc w:val="center"/>
        <w:rPr>
          <w:rFonts w:ascii="Times New Roman" w:hAnsi="Times New Roman" w:cs="Times New Roman"/>
          <w:b/>
          <w:sz w:val="24"/>
          <w:szCs w:val="24"/>
          <w:lang w:val="kk-KZ"/>
        </w:rPr>
      </w:pPr>
    </w:p>
    <w:p w:rsidR="00CF5298" w:rsidRPr="00CF5298" w:rsidRDefault="005A3591" w:rsidP="005A3591">
      <w:pPr>
        <w:spacing w:after="0" w:line="240" w:lineRule="auto"/>
        <w:jc w:val="center"/>
        <w:rPr>
          <w:rFonts w:ascii="Times New Roman" w:hAnsi="Times New Roman" w:cs="Times New Roman"/>
          <w:b/>
          <w:sz w:val="24"/>
          <w:szCs w:val="24"/>
          <w:lang w:val="kk-KZ"/>
        </w:rPr>
      </w:pPr>
      <w:r w:rsidRPr="005A3591">
        <w:rPr>
          <w:rFonts w:ascii="Times New Roman" w:hAnsi="Times New Roman" w:cs="Times New Roman"/>
          <w:b/>
          <w:sz w:val="24"/>
          <w:szCs w:val="24"/>
          <w:lang w:val="kk-KZ"/>
        </w:rPr>
        <w:t xml:space="preserve">БҮГІНГІ ҚАЗАҚСТАНДЫҚ ЖАС </w:t>
      </w:r>
      <w:r w:rsidRPr="005E54CA">
        <w:rPr>
          <w:rFonts w:ascii="Times New Roman" w:hAnsi="Times New Roman" w:cs="Times New Roman"/>
          <w:b/>
          <w:sz w:val="24"/>
          <w:szCs w:val="24"/>
          <w:lang w:val="kk-KZ"/>
        </w:rPr>
        <w:t xml:space="preserve">ҒАЛЫМДАРДЫҢ </w:t>
      </w:r>
      <w:r w:rsidR="005E54CA" w:rsidRPr="005E54CA">
        <w:rPr>
          <w:rFonts w:ascii="Times New Roman" w:hAnsi="Times New Roman" w:cs="Times New Roman"/>
          <w:b/>
          <w:sz w:val="24"/>
          <w:szCs w:val="24"/>
          <w:lang w:val="kk-KZ"/>
        </w:rPr>
        <w:t>ӘЛЕУМЕТТІК-ЭКОНОМИКАЛЫҚ ӨМІР ЖАҒДАЙЛАРЫ</w:t>
      </w:r>
    </w:p>
    <w:p w:rsidR="00F90B92" w:rsidRDefault="00F90B92" w:rsidP="005A3591">
      <w:pPr>
        <w:pStyle w:val="2"/>
        <w:spacing w:before="0" w:line="240" w:lineRule="auto"/>
        <w:rPr>
          <w:rFonts w:ascii="Times New Roman" w:hAnsi="Times New Roman" w:cs="Times New Roman"/>
          <w:b w:val="0"/>
          <w:i/>
          <w:color w:val="auto"/>
          <w:sz w:val="24"/>
          <w:szCs w:val="24"/>
          <w:lang w:val="kk-KZ"/>
        </w:rPr>
      </w:pPr>
    </w:p>
    <w:p w:rsidR="00472DCD" w:rsidRDefault="00EC0A04" w:rsidP="00472DCD">
      <w:pPr>
        <w:spacing w:after="0" w:line="240" w:lineRule="auto"/>
        <w:ind w:firstLine="539"/>
        <w:jc w:val="both"/>
        <w:rPr>
          <w:rStyle w:val="ab"/>
          <w:rFonts w:ascii="Times New Roman" w:hAnsi="Times New Roman" w:cs="Times New Roman"/>
          <w:b w:val="0"/>
          <w:color w:val="000000"/>
          <w:sz w:val="24"/>
          <w:szCs w:val="24"/>
          <w:shd w:val="clear" w:color="auto" w:fill="FFFFFF"/>
          <w:lang w:val="kk-KZ"/>
        </w:rPr>
      </w:pPr>
      <w:r w:rsidRPr="00472DCD">
        <w:rPr>
          <w:rFonts w:ascii="Times New Roman" w:hAnsi="Times New Roman" w:cs="Times New Roman"/>
          <w:sz w:val="24"/>
          <w:szCs w:val="24"/>
          <w:shd w:val="clear" w:color="auto" w:fill="FFFFFF"/>
          <w:lang w:val="kk-KZ"/>
        </w:rPr>
        <w:t>Ғылым - қоғамның рухани мәдениетінің қ</w:t>
      </w:r>
      <w:r w:rsidR="00472DCD" w:rsidRPr="00472DCD">
        <w:rPr>
          <w:rFonts w:ascii="Times New Roman" w:hAnsi="Times New Roman" w:cs="Times New Roman"/>
          <w:sz w:val="24"/>
          <w:szCs w:val="24"/>
          <w:shd w:val="clear" w:color="auto" w:fill="FFFFFF"/>
          <w:lang w:val="kk-KZ"/>
        </w:rPr>
        <w:t>ұ</w:t>
      </w:r>
      <w:r w:rsidRPr="00472DCD">
        <w:rPr>
          <w:rFonts w:ascii="Times New Roman" w:hAnsi="Times New Roman" w:cs="Times New Roman"/>
          <w:sz w:val="24"/>
          <w:szCs w:val="24"/>
          <w:shd w:val="clear" w:color="auto" w:fill="FFFFFF"/>
          <w:lang w:val="kk-KZ"/>
        </w:rPr>
        <w:t>рамдас бөлігі болып табылады. Адамзат дамуының белгілі бір кезеңінде ғылым дами келе, қоғамдық сананың дербес формасына айналды.</w:t>
      </w:r>
      <w:r w:rsidRPr="00472DCD">
        <w:rPr>
          <w:rStyle w:val="apple-converted-space"/>
          <w:rFonts w:ascii="Times New Roman" w:hAnsi="Times New Roman" w:cs="Times New Roman"/>
          <w:sz w:val="24"/>
          <w:szCs w:val="24"/>
          <w:shd w:val="clear" w:color="auto" w:fill="FFFFFF"/>
          <w:lang w:val="kk-KZ"/>
        </w:rPr>
        <w:t> </w:t>
      </w:r>
      <w:r w:rsidRPr="00472DCD">
        <w:rPr>
          <w:rStyle w:val="ab"/>
          <w:rFonts w:ascii="Times New Roman" w:hAnsi="Times New Roman" w:cs="Times New Roman"/>
          <w:b w:val="0"/>
          <w:sz w:val="24"/>
          <w:szCs w:val="24"/>
          <w:shd w:val="clear" w:color="auto" w:fill="FFFFFF"/>
          <w:lang w:val="kk-KZ"/>
        </w:rPr>
        <w:t>Дамыған</w:t>
      </w:r>
      <w:r w:rsidRPr="00472DCD">
        <w:rPr>
          <w:rStyle w:val="ab"/>
          <w:rFonts w:ascii="Times New Roman" w:hAnsi="Times New Roman" w:cs="Times New Roman"/>
          <w:b w:val="0"/>
          <w:color w:val="000000"/>
          <w:sz w:val="24"/>
          <w:szCs w:val="24"/>
          <w:shd w:val="clear" w:color="auto" w:fill="FFFFFF"/>
          <w:lang w:val="kk-KZ"/>
        </w:rPr>
        <w:t xml:space="preserve"> елдердің биік деңгейге көтерілуінің негізі – ғылым мен білімді дамытуға басты назар аудар</w:t>
      </w:r>
      <w:r w:rsidR="00472DCD" w:rsidRPr="00472DCD">
        <w:rPr>
          <w:rStyle w:val="ab"/>
          <w:rFonts w:ascii="Times New Roman" w:hAnsi="Times New Roman" w:cs="Times New Roman"/>
          <w:b w:val="0"/>
          <w:color w:val="000000"/>
          <w:sz w:val="24"/>
          <w:szCs w:val="24"/>
          <w:shd w:val="clear" w:color="auto" w:fill="FFFFFF"/>
          <w:lang w:val="kk-KZ"/>
        </w:rPr>
        <w:t>у</w:t>
      </w:r>
      <w:r w:rsidRPr="00472DCD">
        <w:rPr>
          <w:rStyle w:val="ab"/>
          <w:rFonts w:ascii="Times New Roman" w:hAnsi="Times New Roman" w:cs="Times New Roman"/>
          <w:b w:val="0"/>
          <w:color w:val="000000"/>
          <w:sz w:val="24"/>
          <w:szCs w:val="24"/>
          <w:shd w:val="clear" w:color="auto" w:fill="FFFFFF"/>
          <w:lang w:val="kk-KZ"/>
        </w:rPr>
        <w:t>ы</w:t>
      </w:r>
      <w:r w:rsidR="00472DCD" w:rsidRPr="00472DCD">
        <w:rPr>
          <w:rStyle w:val="ab"/>
          <w:rFonts w:ascii="Times New Roman" w:hAnsi="Times New Roman" w:cs="Times New Roman"/>
          <w:b w:val="0"/>
          <w:color w:val="000000"/>
          <w:sz w:val="24"/>
          <w:szCs w:val="24"/>
          <w:shd w:val="clear" w:color="auto" w:fill="FFFFFF"/>
          <w:lang w:val="kk-KZ"/>
        </w:rPr>
        <w:t xml:space="preserve">нан негіз алады. </w:t>
      </w:r>
    </w:p>
    <w:p w:rsidR="00472DCD" w:rsidRPr="00472DCD" w:rsidRDefault="00472DCD" w:rsidP="00472DCD">
      <w:pPr>
        <w:spacing w:after="0" w:line="240" w:lineRule="auto"/>
        <w:ind w:firstLine="539"/>
        <w:jc w:val="both"/>
        <w:rPr>
          <w:rStyle w:val="ab"/>
          <w:rFonts w:ascii="Times New Roman" w:hAnsi="Times New Roman" w:cs="Times New Roman"/>
          <w:b w:val="0"/>
          <w:color w:val="000000"/>
          <w:sz w:val="24"/>
          <w:szCs w:val="24"/>
          <w:shd w:val="clear" w:color="auto" w:fill="FFFFFF"/>
          <w:lang w:val="kk-KZ"/>
        </w:rPr>
      </w:pPr>
      <w:r w:rsidRPr="004C334E">
        <w:rPr>
          <w:rFonts w:ascii="Times New Roman" w:eastAsia="Times New Roman" w:hAnsi="Times New Roman" w:cs="Times New Roman"/>
          <w:color w:val="000000"/>
          <w:sz w:val="24"/>
          <w:szCs w:val="24"/>
          <w:lang w:val="kk-KZ"/>
        </w:rPr>
        <w:t>Қазақстанның ғылымның дамуына қосар үлесі көңілді алаңдатады. Шетелдік сарапшылардың деректеріне сүйенсек, егер мемлекет ғылымды қаржыландырудың көлемін ЖІӨ-нің 1 пайызынан төмендетсе, онда ол мемлекеттің ғылымы құлдырауға ұшырайды екен. Ал ол 0,5 пайыздан төмендесе, онда ғылым саласын қайтып қалпына келтіру мүмкін еместігін, ғылым жүйесінің қирайтындығын айтады. Дамыған елдер ғылымға орта есеппен ЖІӨ-нің 3 пайыз қаржысын жұмсайды. Жапонияда - 3,1 пайыз, Ресейде - 1,2 пайыз. Даму жолына түскен елдердің де бөлетін қаржысы осымен қарайлас. Ал бізде бұл көрсеткіш 0,24, яғни 0,3</w:t>
      </w:r>
      <w:r>
        <w:rPr>
          <w:rFonts w:ascii="Times New Roman" w:eastAsia="Times New Roman" w:hAnsi="Times New Roman" w:cs="Times New Roman"/>
          <w:color w:val="000000"/>
          <w:sz w:val="24"/>
          <w:szCs w:val="24"/>
          <w:lang w:val="kk-KZ"/>
        </w:rPr>
        <w:t xml:space="preserve"> пайыздай</w:t>
      </w:r>
      <w:r w:rsidRPr="00472DCD">
        <w:rPr>
          <w:rFonts w:ascii="Times New Roman" w:eastAsia="Times New Roman" w:hAnsi="Times New Roman" w:cs="Times New Roman"/>
          <w:color w:val="000000"/>
          <w:sz w:val="24"/>
          <w:szCs w:val="24"/>
          <w:lang w:val="kk-KZ"/>
        </w:rPr>
        <w:t>. М</w:t>
      </w:r>
      <w:r w:rsidRPr="004C334E">
        <w:rPr>
          <w:rFonts w:ascii="Times New Roman" w:eastAsia="Times New Roman" w:hAnsi="Times New Roman" w:cs="Times New Roman"/>
          <w:color w:val="000000"/>
          <w:sz w:val="24"/>
          <w:szCs w:val="24"/>
          <w:lang w:val="kk-KZ"/>
        </w:rPr>
        <w:t>әселе бөлінген қаражатта, мамандықтың абыройында емес десек те, жастардың ғылымға ден қоймауына материалдық жағдай көбірек әсер етеді</w:t>
      </w:r>
      <w:r w:rsidRPr="00472DCD">
        <w:rPr>
          <w:rFonts w:ascii="Times New Roman" w:eastAsia="Times New Roman" w:hAnsi="Times New Roman" w:cs="Times New Roman"/>
          <w:color w:val="000000"/>
          <w:sz w:val="24"/>
          <w:szCs w:val="24"/>
          <w:lang w:val="kk-KZ"/>
        </w:rPr>
        <w:t>.</w:t>
      </w:r>
      <w:r>
        <w:rPr>
          <w:rFonts w:ascii="Arial" w:eastAsia="Times New Roman" w:hAnsi="Arial" w:cs="Arial"/>
          <w:color w:val="000000"/>
          <w:sz w:val="18"/>
          <w:szCs w:val="18"/>
          <w:lang w:val="kk-KZ"/>
        </w:rPr>
        <w:t xml:space="preserve"> </w:t>
      </w:r>
      <w:r w:rsidRPr="004C334E">
        <w:rPr>
          <w:rFonts w:ascii="Arial" w:eastAsia="Times New Roman" w:hAnsi="Arial" w:cs="Arial"/>
          <w:color w:val="000000"/>
          <w:sz w:val="18"/>
          <w:lang w:val="kk-KZ"/>
        </w:rPr>
        <w:t> </w:t>
      </w:r>
    </w:p>
    <w:p w:rsidR="00AE3FDA" w:rsidRPr="00120B0D" w:rsidRDefault="00472DCD" w:rsidP="00AE3FDA">
      <w:pPr>
        <w:pStyle w:val="a3"/>
        <w:spacing w:line="240" w:lineRule="auto"/>
        <w:ind w:left="0" w:firstLine="708"/>
        <w:rPr>
          <w:rFonts w:ascii="Times New Roman" w:hAnsi="Times New Roman" w:cs="Times New Roman"/>
          <w:sz w:val="24"/>
          <w:szCs w:val="24"/>
          <w:lang w:val="kk-KZ"/>
        </w:rPr>
      </w:pPr>
      <w:r w:rsidRPr="00472DCD">
        <w:rPr>
          <w:rFonts w:ascii="Times New Roman" w:hAnsi="Times New Roman" w:cs="Times New Roman"/>
          <w:sz w:val="24"/>
          <w:szCs w:val="24"/>
          <w:lang w:val="kk-KZ"/>
        </w:rPr>
        <w:t xml:space="preserve">Бүгінгі таңда қазақстандық жас ғалымдардың </w:t>
      </w:r>
      <w:r w:rsidR="003056CA">
        <w:rPr>
          <w:rFonts w:ascii="Times New Roman" w:hAnsi="Times New Roman" w:cs="Times New Roman"/>
          <w:sz w:val="24"/>
          <w:szCs w:val="24"/>
          <w:lang w:val="kk-KZ"/>
        </w:rPr>
        <w:t>әлеуметтік-экономикалық</w:t>
      </w:r>
      <w:r w:rsidR="008D7F5E">
        <w:rPr>
          <w:rFonts w:ascii="Times New Roman" w:hAnsi="Times New Roman" w:cs="Times New Roman"/>
          <w:sz w:val="24"/>
          <w:szCs w:val="24"/>
          <w:lang w:val="kk-KZ"/>
        </w:rPr>
        <w:t xml:space="preserve">, тұрмыстық </w:t>
      </w:r>
      <w:r w:rsidR="003056CA">
        <w:rPr>
          <w:rFonts w:ascii="Times New Roman" w:hAnsi="Times New Roman" w:cs="Times New Roman"/>
          <w:sz w:val="24"/>
          <w:szCs w:val="24"/>
          <w:lang w:val="kk-KZ"/>
        </w:rPr>
        <w:t xml:space="preserve">жағдайлары </w:t>
      </w:r>
      <w:r w:rsidRPr="00472DCD">
        <w:rPr>
          <w:rFonts w:ascii="Times New Roman" w:hAnsi="Times New Roman" w:cs="Times New Roman"/>
          <w:sz w:val="24"/>
          <w:szCs w:val="24"/>
          <w:lang w:val="kk-KZ"/>
        </w:rPr>
        <w:t xml:space="preserve">қандай? </w:t>
      </w:r>
      <w:r w:rsidR="008D7F5E">
        <w:rPr>
          <w:rFonts w:ascii="Times New Roman" w:hAnsi="Times New Roman" w:cs="Times New Roman"/>
          <w:sz w:val="24"/>
          <w:szCs w:val="24"/>
          <w:lang w:val="kk-KZ"/>
        </w:rPr>
        <w:t>О</w:t>
      </w:r>
      <w:r w:rsidR="00AE3FDA">
        <w:rPr>
          <w:rFonts w:ascii="Times New Roman" w:hAnsi="Times New Roman" w:cs="Times New Roman"/>
          <w:sz w:val="24"/>
          <w:szCs w:val="24"/>
          <w:lang w:val="kk-KZ"/>
        </w:rPr>
        <w:t xml:space="preserve">сы сұрақтардың жауабын </w:t>
      </w:r>
      <w:r w:rsidR="00AE3FDA" w:rsidRPr="00B225CC">
        <w:rPr>
          <w:rFonts w:ascii="Times New Roman" w:hAnsi="Times New Roman" w:cs="Times New Roman"/>
          <w:sz w:val="24"/>
          <w:szCs w:val="24"/>
          <w:lang w:val="kk-KZ"/>
        </w:rPr>
        <w:t xml:space="preserve">Ұлт Көшбасшысы – ҚР Тұңғыш Президенті Қорының «Қазақстанның жас ғалымдары: қазіргі және болашақ сценарийі» атты жобасы аясында </w:t>
      </w:r>
      <w:r w:rsidR="00AE3FDA" w:rsidRPr="00B225CC">
        <w:rPr>
          <w:rFonts w:ascii="Times New Roman" w:hAnsi="Times New Roman" w:cs="Times New Roman"/>
          <w:color w:val="000000" w:themeColor="text1"/>
          <w:sz w:val="24"/>
          <w:szCs w:val="24"/>
          <w:lang w:val="kk-KZ"/>
        </w:rPr>
        <w:t>2012 жылы жүргізілген «Қазақстанның жас ғалымдары: социологиялық талдау» зерттеуінің нәтижелері</w:t>
      </w:r>
      <w:r w:rsidR="00AE3FDA">
        <w:rPr>
          <w:rFonts w:ascii="Times New Roman" w:hAnsi="Times New Roman" w:cs="Times New Roman"/>
          <w:color w:val="000000" w:themeColor="text1"/>
          <w:sz w:val="24"/>
          <w:szCs w:val="24"/>
          <w:lang w:val="kk-KZ"/>
        </w:rPr>
        <w:t>н талдау арқылы табуға болады.</w:t>
      </w:r>
      <w:r w:rsidR="00AE3FDA">
        <w:rPr>
          <w:rStyle w:val="a6"/>
          <w:rFonts w:ascii="Times New Roman" w:hAnsi="Times New Roman" w:cs="Times New Roman"/>
          <w:color w:val="000000" w:themeColor="text1"/>
          <w:sz w:val="24"/>
          <w:szCs w:val="24"/>
          <w:lang w:val="kk-KZ"/>
        </w:rPr>
        <w:footnoteReference w:id="2"/>
      </w:r>
    </w:p>
    <w:p w:rsidR="00AE3FDA" w:rsidRPr="006B7CA6" w:rsidRDefault="00AE3FDA" w:rsidP="00AE3FDA">
      <w:pPr>
        <w:pStyle w:val="a3"/>
        <w:spacing w:line="240" w:lineRule="auto"/>
        <w:ind w:left="927" w:hanging="360"/>
        <w:rPr>
          <w:rFonts w:ascii="Times New Roman" w:hAnsi="Times New Roman" w:cs="Times New Roman"/>
          <w:i/>
          <w:sz w:val="24"/>
          <w:szCs w:val="24"/>
          <w:lang w:val="kk-KZ"/>
        </w:rPr>
      </w:pPr>
      <w:r w:rsidRPr="006B7CA6">
        <w:rPr>
          <w:rFonts w:ascii="Times New Roman" w:hAnsi="Times New Roman" w:cs="Times New Roman"/>
          <w:i/>
          <w:sz w:val="24"/>
          <w:szCs w:val="24"/>
          <w:lang w:val="kk-KZ"/>
        </w:rPr>
        <w:t>Зерттеудің ішінара жиынтығы.</w:t>
      </w:r>
    </w:p>
    <w:p w:rsidR="00AE3FDA" w:rsidRPr="00CF22E4" w:rsidRDefault="00AE3FDA" w:rsidP="00AE3FDA">
      <w:pPr>
        <w:pStyle w:val="a3"/>
        <w:spacing w:line="240" w:lineRule="auto"/>
        <w:ind w:left="0" w:firstLine="567"/>
        <w:rPr>
          <w:rFonts w:ascii="Times New Roman" w:hAnsi="Times New Roman" w:cs="Times New Roman"/>
          <w:sz w:val="24"/>
          <w:szCs w:val="24"/>
          <w:lang w:val="kk-KZ"/>
        </w:rPr>
      </w:pPr>
      <w:r w:rsidRPr="00CF22E4">
        <w:rPr>
          <w:rFonts w:ascii="Times New Roman" w:hAnsi="Times New Roman" w:cs="Times New Roman"/>
          <w:sz w:val="24"/>
          <w:szCs w:val="24"/>
          <w:lang w:val="kk-KZ"/>
        </w:rPr>
        <w:t>Берілген социологиялық зерттеудің ішінара жиынтығын қалыптастыру, ең алдымен, өзінің институционалды анықтамасын соңына дейін толығымен алмаған «жас ғалым» ұғымын жалпыла</w:t>
      </w:r>
      <w:r>
        <w:rPr>
          <w:rFonts w:ascii="Times New Roman" w:hAnsi="Times New Roman" w:cs="Times New Roman"/>
          <w:sz w:val="24"/>
          <w:szCs w:val="24"/>
          <w:lang w:val="kk-KZ"/>
        </w:rPr>
        <w:t>уға және ресмилеуге бағытталған.</w:t>
      </w:r>
    </w:p>
    <w:p w:rsidR="00AE3FDA" w:rsidRPr="00CF22E4" w:rsidRDefault="00AE3FDA" w:rsidP="00AE3FDA">
      <w:pPr>
        <w:pStyle w:val="a3"/>
        <w:spacing w:line="240" w:lineRule="auto"/>
        <w:ind w:left="0" w:firstLine="567"/>
        <w:rPr>
          <w:rFonts w:ascii="Times New Roman" w:hAnsi="Times New Roman" w:cs="Times New Roman"/>
          <w:sz w:val="24"/>
          <w:szCs w:val="24"/>
          <w:lang w:val="kk-KZ"/>
        </w:rPr>
      </w:pPr>
      <w:r w:rsidRPr="00CF22E4">
        <w:rPr>
          <w:rFonts w:ascii="Times New Roman" w:hAnsi="Times New Roman" w:cs="Times New Roman"/>
          <w:sz w:val="24"/>
          <w:szCs w:val="24"/>
          <w:lang w:val="kk-KZ"/>
        </w:rPr>
        <w:t>Жас ғалымдар деп тек зерттеу институттарының қызметкерлері мен авторлық ғылыми ұжымдарды ғана емес, сонымен қатар, ғылыммен белсенді айналысатын, болашағы бар ғылыми зерттеулерге ие магистр және ғылым докторы дәрежесін ізденушілерді, тіпті студенттерді де айтуға болады. Жоғары оқу орнына</w:t>
      </w:r>
      <w:r>
        <w:rPr>
          <w:rFonts w:ascii="Times New Roman" w:hAnsi="Times New Roman" w:cs="Times New Roman"/>
          <w:sz w:val="24"/>
          <w:szCs w:val="24"/>
          <w:lang w:val="kk-KZ"/>
        </w:rPr>
        <w:t>н</w:t>
      </w:r>
      <w:r w:rsidRPr="00CF22E4">
        <w:rPr>
          <w:rFonts w:ascii="Times New Roman" w:hAnsi="Times New Roman" w:cs="Times New Roman"/>
          <w:sz w:val="24"/>
          <w:szCs w:val="24"/>
          <w:lang w:val="kk-KZ"/>
        </w:rPr>
        <w:t xml:space="preserve"> кейінгі білім беру жүйесінде оқитын (PhD докторантура және магистратура) жас ғалымдардың қатарына магистранттар мен докторанттардың жоспарланған міндетті ғылыми-зерттеу жұмыстары 15,6% (МҒЗЖ) және 31,6% (ДҒЗЖ) құрайтындықтан ресми белгілеріне қарай жатқызуға болады. </w:t>
      </w:r>
    </w:p>
    <w:p w:rsidR="00AE3FDA" w:rsidRDefault="00AE3FDA" w:rsidP="00AE3FDA">
      <w:pPr>
        <w:pStyle w:val="a3"/>
        <w:tabs>
          <w:tab w:val="left" w:pos="851"/>
        </w:tabs>
        <w:spacing w:line="240" w:lineRule="auto"/>
        <w:ind w:left="0" w:firstLine="567"/>
        <w:rPr>
          <w:rFonts w:ascii="Times New Roman" w:hAnsi="Times New Roman" w:cs="Times New Roman"/>
          <w:sz w:val="24"/>
          <w:szCs w:val="24"/>
          <w:lang w:val="kk-KZ"/>
        </w:rPr>
      </w:pPr>
      <w:r w:rsidRPr="00CF22E4">
        <w:rPr>
          <w:rFonts w:ascii="Times New Roman" w:hAnsi="Times New Roman" w:cs="Times New Roman"/>
          <w:sz w:val="24"/>
          <w:szCs w:val="24"/>
          <w:lang w:val="kk-KZ"/>
        </w:rPr>
        <w:t>Зерттеуді дайындау процесінде құрамдастырылған және көпсатылы іріктеу қолданылды. Ғылыми мекемелерді іріктеу кезеңінде квоталық іріктеу қолданылды. Мекемелердегі бөлімшелерді іріктеу кезеңінде – кластерлік іріктеу (кластерлер ретінде факультеттер, кафедралар, бөлімдер, секторлар ұсынылады). Респонденттерді іріктеу кезеңінде қызметкерлердің тізімі негізінде кездейсоқ интервалды квоталық іріктеу қолданылды.</w:t>
      </w:r>
    </w:p>
    <w:p w:rsidR="00AE3FDA" w:rsidRPr="00460FF6" w:rsidRDefault="00AE3FDA" w:rsidP="00AE3FDA">
      <w:pPr>
        <w:spacing w:after="0" w:line="240" w:lineRule="auto"/>
        <w:ind w:firstLine="567"/>
        <w:jc w:val="both"/>
        <w:rPr>
          <w:rFonts w:ascii="Times New Roman" w:hAnsi="Times New Roman" w:cs="Times New Roman"/>
          <w:sz w:val="24"/>
          <w:szCs w:val="24"/>
          <w:lang w:val="kk-KZ"/>
        </w:rPr>
      </w:pPr>
      <w:r w:rsidRPr="00460FF6">
        <w:rPr>
          <w:rFonts w:ascii="Times New Roman" w:hAnsi="Times New Roman" w:cs="Times New Roman"/>
          <w:sz w:val="24"/>
          <w:szCs w:val="24"/>
          <w:lang w:val="kk-KZ"/>
        </w:rPr>
        <w:lastRenderedPageBreak/>
        <w:t>Зерттелініп отырған мәселелер бойынша қорытындыларды 2008 жылы жүргізілген осы тақырыптағы ұқсас зерттеудің эмпирикалық мәліметтерімен салыстыра отырып толықтыруға болады.</w:t>
      </w:r>
      <w:r w:rsidRPr="00460FF6">
        <w:rPr>
          <w:rStyle w:val="a6"/>
          <w:rFonts w:ascii="Times New Roman" w:hAnsi="Times New Roman" w:cs="Times New Roman"/>
          <w:sz w:val="24"/>
          <w:szCs w:val="24"/>
        </w:rPr>
        <w:footnoteReference w:id="3"/>
      </w:r>
    </w:p>
    <w:p w:rsidR="00823137" w:rsidRPr="00CF22E4" w:rsidRDefault="006B7CA6" w:rsidP="00AE3FDA">
      <w:pPr>
        <w:spacing w:after="0" w:line="240" w:lineRule="auto"/>
        <w:ind w:firstLine="567"/>
        <w:jc w:val="both"/>
        <w:rPr>
          <w:rFonts w:ascii="Times New Roman" w:hAnsi="Times New Roman" w:cs="Times New Roman"/>
          <w:sz w:val="24"/>
          <w:szCs w:val="24"/>
          <w:lang w:val="kk-KZ"/>
        </w:rPr>
      </w:pPr>
      <w:r>
        <w:rPr>
          <w:rFonts w:ascii="Times New Roman" w:eastAsia="Georgia" w:hAnsi="Times New Roman" w:cs="Times New Roman"/>
          <w:sz w:val="24"/>
          <w:szCs w:val="24"/>
          <w:lang w:val="kk-KZ"/>
        </w:rPr>
        <w:t>Зерттеу нәтижесі келесідей көрсеткіштерді көрсетті:</w:t>
      </w:r>
    </w:p>
    <w:p w:rsidR="005A3591" w:rsidRPr="005A3591" w:rsidRDefault="005A3591" w:rsidP="00C00B72">
      <w:pPr>
        <w:pStyle w:val="2"/>
        <w:numPr>
          <w:ilvl w:val="0"/>
          <w:numId w:val="9"/>
        </w:numPr>
        <w:spacing w:before="0" w:line="240" w:lineRule="auto"/>
        <w:rPr>
          <w:rFonts w:ascii="Times New Roman" w:hAnsi="Times New Roman" w:cs="Times New Roman"/>
          <w:b w:val="0"/>
          <w:i/>
          <w:color w:val="auto"/>
          <w:sz w:val="24"/>
          <w:szCs w:val="24"/>
          <w:lang w:val="kk-KZ"/>
        </w:rPr>
      </w:pPr>
      <w:r w:rsidRPr="005A3591">
        <w:rPr>
          <w:rFonts w:ascii="Times New Roman" w:hAnsi="Times New Roman" w:cs="Times New Roman"/>
          <w:b w:val="0"/>
          <w:i/>
          <w:color w:val="auto"/>
          <w:sz w:val="24"/>
          <w:szCs w:val="24"/>
          <w:lang w:val="kk-KZ"/>
        </w:rPr>
        <w:t>Тұрмыстық жағдайлары</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Өмір сүру жағдайларына қатысты </w:t>
      </w:r>
      <w:r w:rsidR="00C00B72">
        <w:rPr>
          <w:rFonts w:ascii="Times New Roman" w:hAnsi="Times New Roman" w:cs="Times New Roman"/>
          <w:sz w:val="24"/>
          <w:szCs w:val="24"/>
          <w:lang w:val="kk-KZ"/>
        </w:rPr>
        <w:t xml:space="preserve">«Қайда тұрасыз?» деген </w:t>
      </w:r>
      <w:r w:rsidRPr="005A3591">
        <w:rPr>
          <w:rFonts w:ascii="Times New Roman" w:hAnsi="Times New Roman" w:cs="Times New Roman"/>
          <w:sz w:val="24"/>
          <w:szCs w:val="24"/>
          <w:lang w:val="kk-KZ"/>
        </w:rPr>
        <w:t xml:space="preserve">сұраққа жауап бере отырып, сұрауға қатысқан жас ғалымдар «жеке пәтерде (үйде) тұрамын» деген жауап нұсқасын көбірек таңдады – 44,0%. Әрі қарай, «Пәтер жалдап тұрамын» - 25,0% және «Ата-анаммен тұрамын» - 21,0% деген жауап нұсқалары кездеседі.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Ең аз таңдалған жауап «жатақханада тұрамын» нұсқасы – 6,0%.  «Басқа» графасында «Ипотека» деген нұсқа сұрыпталған анкеталардың ішінде тек 0,9%</w:t>
      </w:r>
      <w:r w:rsidR="009F5979">
        <w:rPr>
          <w:rFonts w:ascii="Times New Roman" w:hAnsi="Times New Roman" w:cs="Times New Roman"/>
          <w:sz w:val="24"/>
          <w:szCs w:val="24"/>
          <w:lang w:val="kk-KZ"/>
        </w:rPr>
        <w:t>-</w:t>
      </w:r>
      <w:r w:rsidRPr="005A3591">
        <w:rPr>
          <w:rFonts w:ascii="Times New Roman" w:hAnsi="Times New Roman" w:cs="Times New Roman"/>
          <w:sz w:val="24"/>
          <w:szCs w:val="24"/>
          <w:lang w:val="kk-KZ"/>
        </w:rPr>
        <w:t xml:space="preserve">ды құрады. </w:t>
      </w:r>
    </w:p>
    <w:p w:rsidR="005A3591" w:rsidRPr="008D3788" w:rsidRDefault="005A3591" w:rsidP="005A3591">
      <w:pPr>
        <w:spacing w:after="0" w:line="240" w:lineRule="auto"/>
        <w:ind w:firstLine="567"/>
        <w:jc w:val="both"/>
        <w:rPr>
          <w:rFonts w:ascii="Times New Roman" w:hAnsi="Times New Roman" w:cs="Times New Roman"/>
          <w:sz w:val="20"/>
          <w:szCs w:val="20"/>
          <w:lang w:val="kk-KZ"/>
        </w:rPr>
      </w:pPr>
    </w:p>
    <w:p w:rsidR="005A3591" w:rsidRPr="008D3788" w:rsidRDefault="005A3591" w:rsidP="005A3591">
      <w:pPr>
        <w:spacing w:after="0" w:line="240" w:lineRule="auto"/>
        <w:ind w:firstLine="567"/>
        <w:jc w:val="both"/>
        <w:rPr>
          <w:rFonts w:ascii="Times New Roman" w:hAnsi="Times New Roman" w:cs="Times New Roman"/>
          <w:i/>
          <w:sz w:val="20"/>
          <w:szCs w:val="20"/>
          <w:lang w:val="kk-KZ"/>
        </w:rPr>
      </w:pPr>
      <w:r w:rsidRPr="008D3788">
        <w:rPr>
          <w:rFonts w:ascii="Times New Roman" w:hAnsi="Times New Roman" w:cs="Times New Roman"/>
          <w:b/>
          <w:sz w:val="20"/>
          <w:szCs w:val="20"/>
          <w:lang w:val="kk-KZ"/>
        </w:rPr>
        <w:t xml:space="preserve">Кесте </w:t>
      </w:r>
      <w:r w:rsidR="00BA4599" w:rsidRPr="008D3788">
        <w:rPr>
          <w:rFonts w:ascii="Times New Roman" w:hAnsi="Times New Roman" w:cs="Times New Roman"/>
          <w:b/>
          <w:sz w:val="20"/>
          <w:szCs w:val="20"/>
          <w:lang w:val="kk-KZ"/>
        </w:rPr>
        <w:t>1</w:t>
      </w:r>
      <w:r w:rsidRPr="008D3788">
        <w:rPr>
          <w:rFonts w:ascii="Times New Roman" w:hAnsi="Times New Roman" w:cs="Times New Roman"/>
          <w:b/>
          <w:i/>
          <w:sz w:val="20"/>
          <w:szCs w:val="20"/>
          <w:lang w:val="kk-KZ"/>
        </w:rPr>
        <w:t xml:space="preserve"> – </w:t>
      </w:r>
      <w:r w:rsidRPr="008D3788">
        <w:rPr>
          <w:rFonts w:ascii="Times New Roman" w:hAnsi="Times New Roman" w:cs="Times New Roman"/>
          <w:sz w:val="20"/>
          <w:szCs w:val="20"/>
          <w:lang w:val="kk-KZ"/>
        </w:rPr>
        <w:t>Респонденттердің жауабын өмір сүру жағдайына қарай бөлу</w:t>
      </w:r>
      <w:r w:rsidRPr="008D3788">
        <w:rPr>
          <w:rFonts w:ascii="Times New Roman" w:hAnsi="Times New Roman" w:cs="Times New Roman"/>
          <w:b/>
          <w:sz w:val="20"/>
          <w:szCs w:val="20"/>
          <w:lang w:val="kk-KZ"/>
        </w:rPr>
        <w:t xml:space="preserve"> </w:t>
      </w:r>
      <w:r w:rsidRPr="008D3788">
        <w:rPr>
          <w:rFonts w:ascii="Times New Roman" w:hAnsi="Times New Roman" w:cs="Times New Roman"/>
          <w:i/>
          <w:sz w:val="20"/>
          <w:szCs w:val="20"/>
          <w:lang w:val="kk-KZ"/>
        </w:rPr>
        <w:t>(респонденттердің жалпы санынан, %).</w:t>
      </w:r>
    </w:p>
    <w:p w:rsidR="005A3591" w:rsidRPr="005A3591" w:rsidRDefault="005A3591" w:rsidP="005A3591">
      <w:pPr>
        <w:spacing w:after="0" w:line="240" w:lineRule="auto"/>
        <w:ind w:firstLine="567"/>
        <w:jc w:val="both"/>
        <w:rPr>
          <w:rFonts w:ascii="Times New Roman" w:hAnsi="Times New Roman" w:cs="Times New Roman"/>
          <w:i/>
          <w:sz w:val="24"/>
          <w:szCs w:val="24"/>
          <w:lang w:val="kk-KZ"/>
        </w:rPr>
      </w:pPr>
    </w:p>
    <w:tbl>
      <w:tblPr>
        <w:tblStyle w:val="-11"/>
        <w:tblW w:w="0" w:type="auto"/>
        <w:tblLook w:val="04A0"/>
      </w:tblPr>
      <w:tblGrid>
        <w:gridCol w:w="801"/>
        <w:gridCol w:w="4269"/>
        <w:gridCol w:w="4252"/>
      </w:tblGrid>
      <w:tr w:rsidR="005A3591" w:rsidRPr="005A3591" w:rsidTr="00CF5069">
        <w:trPr>
          <w:cnfStyle w:val="10000000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w:t>
            </w:r>
          </w:p>
        </w:tc>
        <w:tc>
          <w:tcPr>
            <w:tcW w:w="4269" w:type="dxa"/>
            <w:hideMark/>
          </w:tcPr>
          <w:p w:rsidR="005A3591" w:rsidRPr="00F64EE3" w:rsidRDefault="005A3591" w:rsidP="005A3591">
            <w:pPr>
              <w:cnfStyle w:val="100000000000"/>
              <w:rPr>
                <w:rFonts w:ascii="Times New Roman" w:hAnsi="Times New Roman" w:cs="Times New Roman"/>
                <w:sz w:val="20"/>
                <w:szCs w:val="20"/>
              </w:rPr>
            </w:pPr>
            <w:r w:rsidRPr="00F64EE3">
              <w:rPr>
                <w:rFonts w:ascii="Times New Roman" w:hAnsi="Times New Roman" w:cs="Times New Roman"/>
                <w:sz w:val="20"/>
                <w:szCs w:val="20"/>
                <w:lang w:val="kk-KZ"/>
              </w:rPr>
              <w:t>Жауап нұсқалары</w:t>
            </w:r>
            <w:r w:rsidRPr="00F64EE3">
              <w:rPr>
                <w:rFonts w:ascii="Times New Roman" w:hAnsi="Times New Roman" w:cs="Times New Roman"/>
                <w:sz w:val="20"/>
                <w:szCs w:val="20"/>
              </w:rPr>
              <w:t xml:space="preserve"> </w:t>
            </w:r>
          </w:p>
        </w:tc>
        <w:tc>
          <w:tcPr>
            <w:tcW w:w="4252" w:type="dxa"/>
            <w:hideMark/>
          </w:tcPr>
          <w:p w:rsidR="005A3591" w:rsidRPr="00F64EE3" w:rsidRDefault="005A3591" w:rsidP="005A3591">
            <w:pPr>
              <w:jc w:val="center"/>
              <w:cnfStyle w:val="100000000000"/>
              <w:rPr>
                <w:rFonts w:ascii="Times New Roman" w:hAnsi="Times New Roman" w:cs="Times New Roman"/>
                <w:sz w:val="20"/>
                <w:szCs w:val="20"/>
                <w:lang w:val="kk-KZ"/>
              </w:rPr>
            </w:pPr>
            <w:r w:rsidRPr="00F64EE3">
              <w:rPr>
                <w:rFonts w:ascii="Times New Roman" w:hAnsi="Times New Roman" w:cs="Times New Roman"/>
                <w:sz w:val="20"/>
                <w:szCs w:val="20"/>
                <w:lang w:val="kk-KZ"/>
              </w:rPr>
              <w:t>Барлығы</w:t>
            </w:r>
          </w:p>
        </w:tc>
      </w:tr>
      <w:tr w:rsidR="005A3591" w:rsidRPr="005A3591" w:rsidTr="00CF5069">
        <w:trPr>
          <w:cnfStyle w:val="00000010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1</w:t>
            </w:r>
          </w:p>
        </w:tc>
        <w:tc>
          <w:tcPr>
            <w:tcW w:w="4269" w:type="dxa"/>
          </w:tcPr>
          <w:p w:rsidR="005A3591" w:rsidRPr="00F64EE3" w:rsidRDefault="005A3591" w:rsidP="005A3591">
            <w:pPr>
              <w:pStyle w:val="a3"/>
              <w:tabs>
                <w:tab w:val="left" w:pos="840"/>
              </w:tabs>
              <w:ind w:left="0"/>
              <w:jc w:val="left"/>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 xml:space="preserve">Жеке пәтерде (үйде) тұрамын </w:t>
            </w:r>
          </w:p>
        </w:tc>
        <w:tc>
          <w:tcPr>
            <w:tcW w:w="4252"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44,0%</w:t>
            </w:r>
          </w:p>
        </w:tc>
      </w:tr>
      <w:tr w:rsidR="005A3591" w:rsidRPr="005A3591" w:rsidTr="00CF5069">
        <w:trPr>
          <w:cnfStyle w:val="00000001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2</w:t>
            </w:r>
          </w:p>
        </w:tc>
        <w:tc>
          <w:tcPr>
            <w:tcW w:w="4269" w:type="dxa"/>
          </w:tcPr>
          <w:p w:rsidR="005A3591" w:rsidRPr="00F64EE3" w:rsidRDefault="005A3591" w:rsidP="005A3591">
            <w:pPr>
              <w:pStyle w:val="a3"/>
              <w:tabs>
                <w:tab w:val="left" w:pos="840"/>
              </w:tabs>
              <w:ind w:left="0"/>
              <w:jc w:val="left"/>
              <w:cnfStyle w:val="000000010000"/>
              <w:rPr>
                <w:rFonts w:ascii="Times New Roman" w:hAnsi="Times New Roman" w:cs="Times New Roman"/>
                <w:sz w:val="20"/>
                <w:szCs w:val="20"/>
              </w:rPr>
            </w:pPr>
            <w:r w:rsidRPr="00F64EE3">
              <w:rPr>
                <w:rFonts w:ascii="Times New Roman" w:hAnsi="Times New Roman" w:cs="Times New Roman"/>
                <w:sz w:val="20"/>
                <w:szCs w:val="20"/>
                <w:lang w:val="kk-KZ"/>
              </w:rPr>
              <w:t>Пәтер жалдап тұрамын</w:t>
            </w:r>
          </w:p>
        </w:tc>
        <w:tc>
          <w:tcPr>
            <w:tcW w:w="4252" w:type="dxa"/>
            <w:hideMark/>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25,0%</w:t>
            </w:r>
          </w:p>
        </w:tc>
      </w:tr>
      <w:tr w:rsidR="005A3591" w:rsidRPr="005A3591" w:rsidTr="00CF5069">
        <w:trPr>
          <w:cnfStyle w:val="00000010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3</w:t>
            </w:r>
          </w:p>
        </w:tc>
        <w:tc>
          <w:tcPr>
            <w:tcW w:w="4269" w:type="dxa"/>
          </w:tcPr>
          <w:p w:rsidR="005A3591" w:rsidRPr="00F64EE3" w:rsidRDefault="005A3591" w:rsidP="005A3591">
            <w:pPr>
              <w:pStyle w:val="a3"/>
              <w:tabs>
                <w:tab w:val="left" w:pos="840"/>
              </w:tabs>
              <w:ind w:left="0"/>
              <w:jc w:val="left"/>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Ата-анаммен тұрамын</w:t>
            </w:r>
          </w:p>
        </w:tc>
        <w:tc>
          <w:tcPr>
            <w:tcW w:w="4252"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21,0%</w:t>
            </w:r>
          </w:p>
        </w:tc>
      </w:tr>
      <w:tr w:rsidR="005A3591" w:rsidRPr="005A3591" w:rsidTr="00CF5069">
        <w:trPr>
          <w:cnfStyle w:val="000000010000"/>
        </w:trPr>
        <w:tc>
          <w:tcPr>
            <w:cnfStyle w:val="001000000000"/>
            <w:tcW w:w="801" w:type="dxa"/>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4</w:t>
            </w:r>
          </w:p>
        </w:tc>
        <w:tc>
          <w:tcPr>
            <w:tcW w:w="4269" w:type="dxa"/>
          </w:tcPr>
          <w:p w:rsidR="005A3591" w:rsidRPr="00F64EE3" w:rsidRDefault="005A3591" w:rsidP="005A3591">
            <w:pPr>
              <w:pStyle w:val="a3"/>
              <w:tabs>
                <w:tab w:val="left" w:pos="840"/>
              </w:tabs>
              <w:ind w:left="0"/>
              <w:jc w:val="left"/>
              <w:cnfStyle w:val="000000010000"/>
              <w:rPr>
                <w:rFonts w:ascii="Times New Roman" w:hAnsi="Times New Roman" w:cs="Times New Roman"/>
                <w:sz w:val="20"/>
                <w:szCs w:val="20"/>
              </w:rPr>
            </w:pPr>
            <w:r w:rsidRPr="00F64EE3">
              <w:rPr>
                <w:rFonts w:ascii="Times New Roman" w:hAnsi="Times New Roman" w:cs="Times New Roman"/>
                <w:sz w:val="20"/>
                <w:szCs w:val="20"/>
                <w:lang w:val="kk-KZ"/>
              </w:rPr>
              <w:t>Жатақханада тұрамын</w:t>
            </w:r>
          </w:p>
        </w:tc>
        <w:tc>
          <w:tcPr>
            <w:tcW w:w="4252" w:type="dxa"/>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6,0%</w:t>
            </w:r>
          </w:p>
        </w:tc>
      </w:tr>
      <w:tr w:rsidR="005A3591" w:rsidRPr="005A3591" w:rsidTr="00CF5069">
        <w:trPr>
          <w:cnfStyle w:val="000000100000"/>
        </w:trPr>
        <w:tc>
          <w:tcPr>
            <w:cnfStyle w:val="001000000000"/>
            <w:tcW w:w="801" w:type="dxa"/>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5</w:t>
            </w:r>
          </w:p>
        </w:tc>
        <w:tc>
          <w:tcPr>
            <w:tcW w:w="4269" w:type="dxa"/>
          </w:tcPr>
          <w:p w:rsidR="005A3591" w:rsidRPr="00F64EE3" w:rsidRDefault="005A3591" w:rsidP="005A3591">
            <w:pPr>
              <w:pStyle w:val="a3"/>
              <w:tabs>
                <w:tab w:val="left" w:pos="840"/>
              </w:tabs>
              <w:ind w:left="0"/>
              <w:jc w:val="left"/>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Басқа</w:t>
            </w:r>
            <w:r w:rsidRPr="00F64EE3">
              <w:rPr>
                <w:rFonts w:ascii="Times New Roman" w:hAnsi="Times New Roman" w:cs="Times New Roman"/>
                <w:sz w:val="20"/>
                <w:szCs w:val="20"/>
              </w:rPr>
              <w:t xml:space="preserve"> (ипотека)</w:t>
            </w:r>
          </w:p>
        </w:tc>
        <w:tc>
          <w:tcPr>
            <w:tcW w:w="4252" w:type="dxa"/>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0,9%</w:t>
            </w:r>
          </w:p>
        </w:tc>
      </w:tr>
      <w:tr w:rsidR="005A3591" w:rsidRPr="005A3591" w:rsidTr="00CF5069">
        <w:trPr>
          <w:cnfStyle w:val="000000010000"/>
        </w:trPr>
        <w:tc>
          <w:tcPr>
            <w:cnfStyle w:val="001000000000"/>
            <w:tcW w:w="801" w:type="dxa"/>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6</w:t>
            </w:r>
          </w:p>
        </w:tc>
        <w:tc>
          <w:tcPr>
            <w:tcW w:w="4269" w:type="dxa"/>
          </w:tcPr>
          <w:p w:rsidR="005A3591" w:rsidRPr="00F64EE3" w:rsidRDefault="005A3591" w:rsidP="005A3591">
            <w:pPr>
              <w:pStyle w:val="a3"/>
              <w:tabs>
                <w:tab w:val="left" w:pos="840"/>
              </w:tabs>
              <w:ind w:left="0"/>
              <w:jc w:val="left"/>
              <w:cnfStyle w:val="000000010000"/>
              <w:rPr>
                <w:rFonts w:ascii="Times New Roman" w:hAnsi="Times New Roman" w:cs="Times New Roman"/>
                <w:sz w:val="20"/>
                <w:szCs w:val="20"/>
              </w:rPr>
            </w:pPr>
            <w:r w:rsidRPr="00F64EE3">
              <w:rPr>
                <w:rFonts w:ascii="Times New Roman" w:hAnsi="Times New Roman" w:cs="Times New Roman"/>
                <w:sz w:val="20"/>
                <w:szCs w:val="20"/>
                <w:lang w:val="kk-KZ"/>
              </w:rPr>
              <w:t>Жауап жоқ</w:t>
            </w:r>
            <w:r w:rsidRPr="00F64EE3">
              <w:rPr>
                <w:rFonts w:ascii="Times New Roman" w:hAnsi="Times New Roman" w:cs="Times New Roman"/>
                <w:sz w:val="20"/>
                <w:szCs w:val="20"/>
              </w:rPr>
              <w:t xml:space="preserve"> </w:t>
            </w:r>
          </w:p>
        </w:tc>
        <w:tc>
          <w:tcPr>
            <w:tcW w:w="4252" w:type="dxa"/>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3,4%</w:t>
            </w:r>
          </w:p>
        </w:tc>
      </w:tr>
      <w:tr w:rsidR="005A3591" w:rsidRPr="005A3591" w:rsidTr="00CF5069">
        <w:trPr>
          <w:cnfStyle w:val="000000100000"/>
        </w:trPr>
        <w:tc>
          <w:tcPr>
            <w:cnfStyle w:val="001000000000"/>
            <w:tcW w:w="801" w:type="dxa"/>
          </w:tcPr>
          <w:p w:rsidR="005A3591" w:rsidRPr="00F64EE3" w:rsidRDefault="005A3591" w:rsidP="005A3591">
            <w:pPr>
              <w:rPr>
                <w:rFonts w:ascii="Times New Roman" w:hAnsi="Times New Roman" w:cs="Times New Roman"/>
                <w:sz w:val="20"/>
                <w:szCs w:val="20"/>
              </w:rPr>
            </w:pPr>
          </w:p>
        </w:tc>
        <w:tc>
          <w:tcPr>
            <w:tcW w:w="4269" w:type="dxa"/>
            <w:hideMark/>
          </w:tcPr>
          <w:p w:rsidR="005A3591" w:rsidRPr="00F64EE3" w:rsidRDefault="005A3591" w:rsidP="005A3591">
            <w:pPr>
              <w:cnfStyle w:val="000000100000"/>
              <w:rPr>
                <w:rFonts w:ascii="Times New Roman" w:hAnsi="Times New Roman" w:cs="Times New Roman"/>
                <w:b/>
                <w:sz w:val="20"/>
                <w:szCs w:val="20"/>
                <w:lang w:val="kk-KZ"/>
              </w:rPr>
            </w:pPr>
            <w:r w:rsidRPr="00F64EE3">
              <w:rPr>
                <w:rFonts w:ascii="Times New Roman" w:hAnsi="Times New Roman" w:cs="Times New Roman"/>
                <w:b/>
                <w:sz w:val="20"/>
                <w:szCs w:val="20"/>
                <w:lang w:val="kk-KZ"/>
              </w:rPr>
              <w:t>Барлығы</w:t>
            </w:r>
          </w:p>
        </w:tc>
        <w:tc>
          <w:tcPr>
            <w:tcW w:w="4252"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100%</w:t>
            </w:r>
          </w:p>
        </w:tc>
      </w:tr>
    </w:tbl>
    <w:p w:rsidR="005A3591" w:rsidRPr="008D3788" w:rsidRDefault="005A3591" w:rsidP="005A3591">
      <w:pPr>
        <w:spacing w:after="0" w:line="240" w:lineRule="auto"/>
        <w:ind w:firstLine="567"/>
        <w:jc w:val="both"/>
        <w:rPr>
          <w:rFonts w:ascii="Times New Roman" w:hAnsi="Times New Roman" w:cs="Times New Roman"/>
          <w:sz w:val="20"/>
          <w:szCs w:val="20"/>
        </w:rPr>
      </w:pPr>
    </w:p>
    <w:p w:rsidR="005A3591" w:rsidRPr="008D3788" w:rsidRDefault="005A3591" w:rsidP="005A3591">
      <w:pPr>
        <w:spacing w:after="0" w:line="240" w:lineRule="auto"/>
        <w:rPr>
          <w:rFonts w:ascii="Times New Roman" w:hAnsi="Times New Roman" w:cs="Times New Roman"/>
          <w:b/>
          <w:i/>
          <w:sz w:val="20"/>
          <w:szCs w:val="20"/>
          <w:lang w:val="kk-KZ"/>
        </w:rPr>
      </w:pPr>
      <w:r w:rsidRPr="008D3788">
        <w:rPr>
          <w:rFonts w:ascii="Times New Roman" w:hAnsi="Times New Roman" w:cs="Times New Roman"/>
          <w:b/>
          <w:sz w:val="20"/>
          <w:szCs w:val="20"/>
          <w:lang w:val="kk-KZ"/>
        </w:rPr>
        <w:t xml:space="preserve">Сурет </w:t>
      </w:r>
      <w:r w:rsidR="006B7CA6" w:rsidRPr="008D3788">
        <w:rPr>
          <w:rFonts w:ascii="Times New Roman" w:hAnsi="Times New Roman" w:cs="Times New Roman"/>
          <w:b/>
          <w:sz w:val="20"/>
          <w:szCs w:val="20"/>
          <w:lang w:val="kk-KZ"/>
        </w:rPr>
        <w:t>1</w:t>
      </w:r>
      <w:r w:rsidRPr="008D3788">
        <w:rPr>
          <w:rFonts w:ascii="Times New Roman" w:hAnsi="Times New Roman" w:cs="Times New Roman"/>
          <w:sz w:val="20"/>
          <w:szCs w:val="20"/>
          <w:lang w:val="kk-KZ"/>
        </w:rPr>
        <w:t xml:space="preserve">. </w:t>
      </w:r>
      <w:r w:rsidRPr="008D3788">
        <w:rPr>
          <w:rFonts w:ascii="Times New Roman" w:hAnsi="Times New Roman" w:cs="Times New Roman"/>
          <w:b/>
          <w:sz w:val="20"/>
          <w:szCs w:val="20"/>
          <w:lang w:val="kk-KZ"/>
        </w:rPr>
        <w:t xml:space="preserve">«Жас ғалымдардың өмір сүру жағдайлары» </w:t>
      </w:r>
      <w:r w:rsidRPr="008D3788">
        <w:rPr>
          <w:rFonts w:ascii="Times New Roman" w:hAnsi="Times New Roman" w:cs="Times New Roman"/>
          <w:sz w:val="20"/>
          <w:szCs w:val="20"/>
          <w:lang w:val="kk-KZ"/>
        </w:rPr>
        <w:t xml:space="preserve">диаграммасы </w:t>
      </w:r>
      <w:r w:rsidRPr="008D3788">
        <w:rPr>
          <w:rFonts w:ascii="Times New Roman" w:hAnsi="Times New Roman" w:cs="Times New Roman"/>
          <w:i/>
          <w:sz w:val="20"/>
          <w:szCs w:val="20"/>
          <w:lang w:val="kk-KZ"/>
        </w:rPr>
        <w:t xml:space="preserve">(категорияларда көрсетілген респонденттердің жалпы санынан, %). </w:t>
      </w:r>
      <w:r w:rsidRPr="008D3788">
        <w:rPr>
          <w:rFonts w:ascii="Times New Roman" w:hAnsi="Times New Roman" w:cs="Times New Roman"/>
          <w:b/>
          <w:i/>
          <w:sz w:val="20"/>
          <w:szCs w:val="20"/>
          <w:lang w:val="kk-KZ"/>
        </w:rPr>
        <w:t xml:space="preserve">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p>
    <w:p w:rsidR="005A3591" w:rsidRPr="005A3591" w:rsidRDefault="005A3591" w:rsidP="005A3591">
      <w:pPr>
        <w:spacing w:after="0" w:line="240" w:lineRule="auto"/>
        <w:jc w:val="center"/>
        <w:rPr>
          <w:rFonts w:ascii="Times New Roman" w:hAnsi="Times New Roman" w:cs="Times New Roman"/>
          <w:sz w:val="24"/>
          <w:szCs w:val="24"/>
        </w:rPr>
      </w:pPr>
      <w:r w:rsidRPr="005A3591">
        <w:rPr>
          <w:rFonts w:ascii="Times New Roman" w:hAnsi="Times New Roman" w:cs="Times New Roman"/>
          <w:noProof/>
          <w:sz w:val="24"/>
          <w:szCs w:val="24"/>
        </w:rPr>
        <w:drawing>
          <wp:inline distT="0" distB="0" distL="0" distR="0">
            <wp:extent cx="5200650" cy="2543175"/>
            <wp:effectExtent l="1905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3591" w:rsidRPr="005A3591" w:rsidRDefault="005A3591" w:rsidP="005A3591">
      <w:pPr>
        <w:spacing w:after="0" w:line="240" w:lineRule="auto"/>
        <w:ind w:firstLine="567"/>
        <w:jc w:val="both"/>
        <w:rPr>
          <w:rFonts w:ascii="Times New Roman" w:hAnsi="Times New Roman" w:cs="Times New Roman"/>
          <w:sz w:val="24"/>
          <w:szCs w:val="24"/>
        </w:rPr>
      </w:pPr>
    </w:p>
    <w:p w:rsidR="005A3591" w:rsidRPr="005A3591" w:rsidRDefault="006B7CA6" w:rsidP="005A359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5A3591" w:rsidRPr="005A3591">
        <w:rPr>
          <w:rFonts w:ascii="Times New Roman" w:hAnsi="Times New Roman" w:cs="Times New Roman"/>
          <w:sz w:val="24"/>
          <w:szCs w:val="24"/>
          <w:lang w:val="kk-KZ"/>
        </w:rPr>
        <w:t xml:space="preserve">-суреттегі мәліметтерден байқағанымыздай, некеде тұратындардың басым бөлігі жеке үйде немесе пәтерде тұратын отбасылар – </w:t>
      </w:r>
      <w:r w:rsidR="005A3591" w:rsidRPr="005A3591">
        <w:rPr>
          <w:rFonts w:ascii="Times New Roman" w:hAnsi="Times New Roman" w:cs="Times New Roman"/>
          <w:sz w:val="24"/>
          <w:szCs w:val="24"/>
        </w:rPr>
        <w:t>65,6%.</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Сонымен қатар, жастар арасында пәтер жалдап тұруға мәжбүр отбасылардың проценті үлкен. Олардың ішінде, отбасылылар – 15,6%, некеде тұрмайтындар – 34,7%</w:t>
      </w:r>
      <w:r w:rsidR="009F5979">
        <w:rPr>
          <w:rFonts w:ascii="Times New Roman" w:hAnsi="Times New Roman" w:cs="Times New Roman"/>
          <w:sz w:val="24"/>
          <w:szCs w:val="24"/>
          <w:lang w:val="kk-KZ"/>
        </w:rPr>
        <w:t>-ды</w:t>
      </w:r>
      <w:r w:rsidRPr="005A3591">
        <w:rPr>
          <w:rFonts w:ascii="Times New Roman" w:hAnsi="Times New Roman" w:cs="Times New Roman"/>
          <w:sz w:val="24"/>
          <w:szCs w:val="24"/>
          <w:lang w:val="kk-KZ"/>
        </w:rPr>
        <w:t xml:space="preserve"> құрайды.</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p>
    <w:p w:rsidR="008D3788" w:rsidRDefault="008D3788" w:rsidP="005A3591">
      <w:pPr>
        <w:spacing w:after="0" w:line="240" w:lineRule="auto"/>
        <w:ind w:firstLine="567"/>
        <w:jc w:val="both"/>
        <w:rPr>
          <w:rFonts w:ascii="Times New Roman" w:hAnsi="Times New Roman" w:cs="Times New Roman"/>
          <w:b/>
          <w:sz w:val="20"/>
          <w:szCs w:val="20"/>
          <w:lang w:val="kk-KZ"/>
        </w:rPr>
      </w:pPr>
    </w:p>
    <w:p w:rsidR="008D3788" w:rsidRDefault="008D3788" w:rsidP="005A3591">
      <w:pPr>
        <w:spacing w:after="0" w:line="240" w:lineRule="auto"/>
        <w:ind w:firstLine="567"/>
        <w:jc w:val="both"/>
        <w:rPr>
          <w:rFonts w:ascii="Times New Roman" w:hAnsi="Times New Roman" w:cs="Times New Roman"/>
          <w:b/>
          <w:sz w:val="20"/>
          <w:szCs w:val="20"/>
          <w:lang w:val="kk-KZ"/>
        </w:rPr>
      </w:pPr>
    </w:p>
    <w:p w:rsidR="005A3591" w:rsidRPr="008D3788" w:rsidRDefault="005A3591" w:rsidP="005A3591">
      <w:pPr>
        <w:spacing w:after="0" w:line="240" w:lineRule="auto"/>
        <w:ind w:firstLine="567"/>
        <w:jc w:val="both"/>
        <w:rPr>
          <w:rFonts w:ascii="Times New Roman" w:hAnsi="Times New Roman" w:cs="Times New Roman"/>
          <w:i/>
          <w:sz w:val="20"/>
          <w:szCs w:val="20"/>
          <w:lang w:val="kk-KZ"/>
        </w:rPr>
      </w:pPr>
      <w:r w:rsidRPr="008D3788">
        <w:rPr>
          <w:rFonts w:ascii="Times New Roman" w:hAnsi="Times New Roman" w:cs="Times New Roman"/>
          <w:b/>
          <w:sz w:val="20"/>
          <w:szCs w:val="20"/>
          <w:lang w:val="kk-KZ"/>
        </w:rPr>
        <w:lastRenderedPageBreak/>
        <w:t>Кесте 2</w:t>
      </w:r>
      <w:r w:rsidRPr="008D3788">
        <w:rPr>
          <w:rFonts w:ascii="Times New Roman" w:hAnsi="Times New Roman" w:cs="Times New Roman"/>
          <w:b/>
          <w:i/>
          <w:sz w:val="20"/>
          <w:szCs w:val="20"/>
          <w:lang w:val="kk-KZ"/>
        </w:rPr>
        <w:t xml:space="preserve"> – </w:t>
      </w:r>
      <w:r w:rsidRPr="008D3788">
        <w:rPr>
          <w:rFonts w:ascii="Times New Roman" w:hAnsi="Times New Roman" w:cs="Times New Roman"/>
          <w:sz w:val="20"/>
          <w:szCs w:val="20"/>
          <w:lang w:val="kk-KZ"/>
        </w:rPr>
        <w:t>Қазақстанның аймақтары бойынша жас ғалымдардың өмір сүру жағдайлары</w:t>
      </w:r>
      <w:r w:rsidRPr="008D3788">
        <w:rPr>
          <w:rFonts w:ascii="Times New Roman" w:hAnsi="Times New Roman" w:cs="Times New Roman"/>
          <w:i/>
          <w:sz w:val="20"/>
          <w:szCs w:val="20"/>
          <w:lang w:val="kk-KZ"/>
        </w:rPr>
        <w:t xml:space="preserve"> (респонденттердің жалпы санынан, %).</w:t>
      </w:r>
    </w:p>
    <w:tbl>
      <w:tblPr>
        <w:tblStyle w:val="-11"/>
        <w:tblW w:w="0" w:type="auto"/>
        <w:tblLayout w:type="fixed"/>
        <w:tblLook w:val="04A0"/>
      </w:tblPr>
      <w:tblGrid>
        <w:gridCol w:w="684"/>
        <w:gridCol w:w="2826"/>
        <w:gridCol w:w="1701"/>
        <w:gridCol w:w="1701"/>
        <w:gridCol w:w="1276"/>
        <w:gridCol w:w="1383"/>
      </w:tblGrid>
      <w:tr w:rsidR="005A3591" w:rsidRPr="005A3591" w:rsidTr="00CF5069">
        <w:trPr>
          <w:cnfStyle w:val="100000000000"/>
        </w:trPr>
        <w:tc>
          <w:tcPr>
            <w:cnfStyle w:val="001000000000"/>
            <w:tcW w:w="684" w:type="dxa"/>
            <w:vMerge w:val="restart"/>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w:t>
            </w:r>
          </w:p>
        </w:tc>
        <w:tc>
          <w:tcPr>
            <w:tcW w:w="2826" w:type="dxa"/>
            <w:vMerge w:val="restart"/>
            <w:vAlign w:val="center"/>
          </w:tcPr>
          <w:p w:rsidR="005A3591" w:rsidRPr="00F64EE3" w:rsidRDefault="005A3591" w:rsidP="005A3591">
            <w:pPr>
              <w:jc w:val="center"/>
              <w:cnfStyle w:val="100000000000"/>
              <w:rPr>
                <w:rFonts w:ascii="Times New Roman" w:hAnsi="Times New Roman" w:cs="Times New Roman"/>
                <w:sz w:val="20"/>
                <w:szCs w:val="20"/>
                <w:lang w:val="kk-KZ"/>
              </w:rPr>
            </w:pPr>
            <w:r w:rsidRPr="00F64EE3">
              <w:rPr>
                <w:rFonts w:ascii="Times New Roman" w:hAnsi="Times New Roman" w:cs="Times New Roman"/>
                <w:sz w:val="20"/>
                <w:szCs w:val="20"/>
                <w:lang w:val="kk-KZ"/>
              </w:rPr>
              <w:t>Аймақтар</w:t>
            </w:r>
          </w:p>
        </w:tc>
        <w:tc>
          <w:tcPr>
            <w:tcW w:w="6061" w:type="dxa"/>
            <w:gridSpan w:val="4"/>
            <w:tcBorders>
              <w:bottom w:val="single" w:sz="4" w:space="0" w:color="365F91" w:themeColor="accent1" w:themeShade="BF"/>
            </w:tcBorders>
          </w:tcPr>
          <w:p w:rsidR="005A3591" w:rsidRPr="00F64EE3" w:rsidRDefault="005A3591" w:rsidP="005A3591">
            <w:pPr>
              <w:jc w:val="center"/>
              <w:cnfStyle w:val="100000000000"/>
              <w:rPr>
                <w:rFonts w:ascii="Times New Roman" w:hAnsi="Times New Roman" w:cs="Times New Roman"/>
                <w:sz w:val="20"/>
                <w:szCs w:val="20"/>
              </w:rPr>
            </w:pPr>
            <w:r w:rsidRPr="00F64EE3">
              <w:rPr>
                <w:rFonts w:ascii="Times New Roman" w:hAnsi="Times New Roman" w:cs="Times New Roman"/>
                <w:sz w:val="20"/>
                <w:szCs w:val="20"/>
                <w:lang w:val="kk-KZ"/>
              </w:rPr>
              <w:t>Жауап нұсқалары</w:t>
            </w:r>
            <w:r w:rsidRPr="00F64EE3">
              <w:rPr>
                <w:rFonts w:ascii="Times New Roman" w:hAnsi="Times New Roman" w:cs="Times New Roman"/>
                <w:sz w:val="20"/>
                <w:szCs w:val="20"/>
              </w:rPr>
              <w:t xml:space="preserve"> </w:t>
            </w:r>
          </w:p>
        </w:tc>
      </w:tr>
      <w:tr w:rsidR="005A3591" w:rsidRPr="005A3591" w:rsidTr="00CF5069">
        <w:trPr>
          <w:cnfStyle w:val="000000100000"/>
        </w:trPr>
        <w:tc>
          <w:tcPr>
            <w:cnfStyle w:val="001000000000"/>
            <w:tcW w:w="684" w:type="dxa"/>
            <w:vMerge/>
            <w:tcBorders>
              <w:bottom w:val="single" w:sz="18" w:space="0" w:color="365F91" w:themeColor="accent1" w:themeShade="BF"/>
            </w:tcBorders>
            <w:hideMark/>
          </w:tcPr>
          <w:p w:rsidR="005A3591" w:rsidRPr="00F64EE3" w:rsidRDefault="005A3591" w:rsidP="005A3591">
            <w:pPr>
              <w:rPr>
                <w:rFonts w:ascii="Times New Roman" w:hAnsi="Times New Roman" w:cs="Times New Roman"/>
                <w:sz w:val="20"/>
                <w:szCs w:val="20"/>
              </w:rPr>
            </w:pPr>
          </w:p>
        </w:tc>
        <w:tc>
          <w:tcPr>
            <w:tcW w:w="2826" w:type="dxa"/>
            <w:vMerge/>
            <w:tcBorders>
              <w:bottom w:val="single" w:sz="18" w:space="0" w:color="4B4B7D"/>
            </w:tcBorders>
            <w:hideMark/>
          </w:tcPr>
          <w:p w:rsidR="005A3591" w:rsidRPr="00F64EE3" w:rsidRDefault="005A3591" w:rsidP="005A3591">
            <w:pPr>
              <w:cnfStyle w:val="000000100000"/>
              <w:rPr>
                <w:rFonts w:ascii="Times New Roman" w:hAnsi="Times New Roman" w:cs="Times New Roman"/>
                <w:sz w:val="20"/>
                <w:szCs w:val="20"/>
              </w:rPr>
            </w:pPr>
          </w:p>
        </w:tc>
        <w:tc>
          <w:tcPr>
            <w:tcW w:w="1701" w:type="dxa"/>
            <w:tcBorders>
              <w:top w:val="single" w:sz="4" w:space="0" w:color="365F91" w:themeColor="accent1" w:themeShade="BF"/>
              <w:bottom w:val="single" w:sz="18" w:space="0" w:color="4B4B7D"/>
            </w:tcBorders>
          </w:tcPr>
          <w:p w:rsidR="005A3591" w:rsidRPr="00F64EE3" w:rsidRDefault="005A3591" w:rsidP="005A3591">
            <w:pPr>
              <w:pStyle w:val="a3"/>
              <w:tabs>
                <w:tab w:val="left" w:pos="840"/>
              </w:tabs>
              <w:ind w:left="0"/>
              <w:jc w:val="left"/>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 xml:space="preserve">Ата-аналарыммен бірге тұрамын </w:t>
            </w:r>
          </w:p>
        </w:tc>
        <w:tc>
          <w:tcPr>
            <w:tcW w:w="1701" w:type="dxa"/>
            <w:tcBorders>
              <w:top w:val="single" w:sz="4" w:space="0" w:color="365F91" w:themeColor="accent1" w:themeShade="BF"/>
              <w:bottom w:val="single" w:sz="18" w:space="0" w:color="4B4B7D"/>
            </w:tcBorders>
          </w:tcPr>
          <w:p w:rsidR="005A3591" w:rsidRPr="00F64EE3" w:rsidRDefault="005A3591" w:rsidP="005A3591">
            <w:pPr>
              <w:pStyle w:val="a3"/>
              <w:tabs>
                <w:tab w:val="left" w:pos="840"/>
              </w:tabs>
              <w:ind w:left="0"/>
              <w:jc w:val="left"/>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Жатақханада тұрамын</w:t>
            </w:r>
          </w:p>
        </w:tc>
        <w:tc>
          <w:tcPr>
            <w:tcW w:w="1276" w:type="dxa"/>
            <w:tcBorders>
              <w:top w:val="single" w:sz="4" w:space="0" w:color="365F91" w:themeColor="accent1" w:themeShade="BF"/>
              <w:bottom w:val="single" w:sz="18" w:space="0" w:color="4B4B7D"/>
            </w:tcBorders>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Жеке пәтерде (үйде) тұрамын</w:t>
            </w:r>
          </w:p>
        </w:tc>
        <w:tc>
          <w:tcPr>
            <w:tcW w:w="1383" w:type="dxa"/>
            <w:tcBorders>
              <w:top w:val="single" w:sz="4" w:space="0" w:color="365F91" w:themeColor="accent1" w:themeShade="BF"/>
              <w:bottom w:val="single" w:sz="18" w:space="0" w:color="4B4B7D"/>
            </w:tcBorders>
          </w:tcPr>
          <w:p w:rsidR="005A3591" w:rsidRPr="00F64EE3" w:rsidRDefault="005A3591" w:rsidP="005A3591">
            <w:pPr>
              <w:pStyle w:val="a3"/>
              <w:tabs>
                <w:tab w:val="left" w:pos="840"/>
              </w:tabs>
              <w:ind w:left="0"/>
              <w:jc w:val="left"/>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Пәтер жалдап тұрамын</w:t>
            </w:r>
          </w:p>
        </w:tc>
      </w:tr>
      <w:tr w:rsidR="005A3591" w:rsidRPr="005A3591" w:rsidTr="00CF5069">
        <w:trPr>
          <w:cnfStyle w:val="000000010000"/>
        </w:trPr>
        <w:tc>
          <w:tcPr>
            <w:cnfStyle w:val="001000000000"/>
            <w:tcW w:w="684" w:type="dxa"/>
            <w:tcBorders>
              <w:top w:val="single" w:sz="18" w:space="0" w:color="365F91" w:themeColor="accent1" w:themeShade="BF"/>
            </w:tcBorders>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1</w:t>
            </w:r>
          </w:p>
        </w:tc>
        <w:tc>
          <w:tcPr>
            <w:tcW w:w="2826" w:type="dxa"/>
            <w:tcBorders>
              <w:top w:val="single" w:sz="18" w:space="0" w:color="4B4B7D"/>
            </w:tcBorders>
            <w:hideMark/>
          </w:tcPr>
          <w:p w:rsidR="005A3591" w:rsidRPr="00F64EE3" w:rsidRDefault="005A3591" w:rsidP="005A3591">
            <w:pPr>
              <w:tabs>
                <w:tab w:val="left" w:pos="840"/>
              </w:tabs>
              <w:cnfStyle w:val="000000010000"/>
              <w:rPr>
                <w:rFonts w:ascii="Times New Roman" w:hAnsi="Times New Roman" w:cs="Times New Roman"/>
                <w:sz w:val="20"/>
                <w:szCs w:val="20"/>
              </w:rPr>
            </w:pPr>
            <w:r w:rsidRPr="00F64EE3">
              <w:rPr>
                <w:rFonts w:ascii="Times New Roman" w:hAnsi="Times New Roman" w:cs="Times New Roman"/>
                <w:sz w:val="20"/>
                <w:szCs w:val="20"/>
              </w:rPr>
              <w:t>Астана</w:t>
            </w:r>
            <w:r w:rsidRPr="00F64EE3">
              <w:rPr>
                <w:rFonts w:ascii="Times New Roman" w:hAnsi="Times New Roman" w:cs="Times New Roman"/>
                <w:sz w:val="20"/>
                <w:szCs w:val="20"/>
                <w:lang w:val="kk-KZ"/>
              </w:rPr>
              <w:t xml:space="preserve"> қ.</w:t>
            </w:r>
            <w:r w:rsidRPr="00F64EE3">
              <w:rPr>
                <w:rFonts w:ascii="Times New Roman" w:hAnsi="Times New Roman" w:cs="Times New Roman"/>
                <w:bCs/>
                <w:sz w:val="20"/>
                <w:szCs w:val="20"/>
              </w:rPr>
              <w:t xml:space="preserve"> </w:t>
            </w:r>
          </w:p>
        </w:tc>
        <w:tc>
          <w:tcPr>
            <w:tcW w:w="1701"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20%</w:t>
            </w:r>
          </w:p>
        </w:tc>
        <w:tc>
          <w:tcPr>
            <w:tcW w:w="1701"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18%</w:t>
            </w:r>
          </w:p>
        </w:tc>
        <w:tc>
          <w:tcPr>
            <w:tcW w:w="1276"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34,0%</w:t>
            </w:r>
          </w:p>
        </w:tc>
        <w:tc>
          <w:tcPr>
            <w:tcW w:w="1383"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26,0%</w:t>
            </w:r>
          </w:p>
        </w:tc>
      </w:tr>
      <w:tr w:rsidR="005A3591" w:rsidRPr="005A3591" w:rsidTr="00CF5069">
        <w:trPr>
          <w:cnfStyle w:val="000000100000"/>
        </w:trPr>
        <w:tc>
          <w:tcPr>
            <w:cnfStyle w:val="001000000000"/>
            <w:tcW w:w="684"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2</w:t>
            </w:r>
          </w:p>
        </w:tc>
        <w:tc>
          <w:tcPr>
            <w:tcW w:w="2826" w:type="dxa"/>
            <w:vAlign w:val="center"/>
            <w:hideMark/>
          </w:tcPr>
          <w:p w:rsidR="005A3591" w:rsidRPr="00F64EE3" w:rsidRDefault="005A3591" w:rsidP="005A3591">
            <w:pPr>
              <w:tabs>
                <w:tab w:val="left" w:pos="318"/>
                <w:tab w:val="left" w:pos="459"/>
              </w:tabs>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Батыс Қ</w:t>
            </w:r>
            <w:r w:rsidRPr="00F64EE3">
              <w:rPr>
                <w:rFonts w:ascii="Times New Roman" w:hAnsi="Times New Roman" w:cs="Times New Roman"/>
                <w:sz w:val="20"/>
                <w:szCs w:val="20"/>
              </w:rPr>
              <w:t>аза</w:t>
            </w:r>
            <w:r w:rsidRPr="00F64EE3">
              <w:rPr>
                <w:rFonts w:ascii="Times New Roman" w:hAnsi="Times New Roman" w:cs="Times New Roman"/>
                <w:sz w:val="20"/>
                <w:szCs w:val="20"/>
                <w:lang w:val="kk-KZ"/>
              </w:rPr>
              <w:t>қ</w:t>
            </w:r>
            <w:r w:rsidRPr="00F64EE3">
              <w:rPr>
                <w:rFonts w:ascii="Times New Roman" w:hAnsi="Times New Roman" w:cs="Times New Roman"/>
                <w:sz w:val="20"/>
                <w:szCs w:val="20"/>
              </w:rPr>
              <w:t>стан облысы (</w:t>
            </w:r>
            <w:r w:rsidRPr="00F64EE3">
              <w:rPr>
                <w:rFonts w:ascii="Times New Roman" w:hAnsi="Times New Roman" w:cs="Times New Roman"/>
                <w:sz w:val="20"/>
                <w:szCs w:val="20"/>
                <w:lang w:val="kk-KZ"/>
              </w:rPr>
              <w:t>Орал қаласы</w:t>
            </w:r>
            <w:r w:rsidRPr="00F64EE3">
              <w:rPr>
                <w:rFonts w:ascii="Times New Roman" w:hAnsi="Times New Roman" w:cs="Times New Roman"/>
                <w:sz w:val="20"/>
                <w:szCs w:val="20"/>
              </w:rPr>
              <w:t>)</w:t>
            </w:r>
          </w:p>
        </w:tc>
        <w:tc>
          <w:tcPr>
            <w:tcW w:w="170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8,3%</w:t>
            </w:r>
          </w:p>
        </w:tc>
        <w:tc>
          <w:tcPr>
            <w:tcW w:w="170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0%</w:t>
            </w:r>
          </w:p>
        </w:tc>
        <w:tc>
          <w:tcPr>
            <w:tcW w:w="1276"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75,0%</w:t>
            </w:r>
          </w:p>
        </w:tc>
        <w:tc>
          <w:tcPr>
            <w:tcW w:w="1383"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12,5%</w:t>
            </w:r>
          </w:p>
        </w:tc>
      </w:tr>
      <w:tr w:rsidR="005A3591" w:rsidRPr="005A3591" w:rsidTr="00CF5069">
        <w:trPr>
          <w:cnfStyle w:val="000000010000"/>
        </w:trPr>
        <w:tc>
          <w:tcPr>
            <w:cnfStyle w:val="001000000000"/>
            <w:tcW w:w="684" w:type="dxa"/>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3</w:t>
            </w:r>
          </w:p>
        </w:tc>
        <w:tc>
          <w:tcPr>
            <w:tcW w:w="2826" w:type="dxa"/>
            <w:vAlign w:val="center"/>
          </w:tcPr>
          <w:p w:rsidR="005A3591" w:rsidRPr="00F64EE3" w:rsidRDefault="005A3591" w:rsidP="005A3591">
            <w:pPr>
              <w:tabs>
                <w:tab w:val="left" w:pos="318"/>
                <w:tab w:val="left" w:pos="459"/>
              </w:tabs>
              <w:cnfStyle w:val="000000010000"/>
              <w:rPr>
                <w:rFonts w:ascii="Times New Roman" w:hAnsi="Times New Roman" w:cs="Times New Roman"/>
                <w:sz w:val="20"/>
                <w:szCs w:val="20"/>
              </w:rPr>
            </w:pPr>
            <w:r w:rsidRPr="00F64EE3">
              <w:rPr>
                <w:rFonts w:ascii="Times New Roman" w:hAnsi="Times New Roman" w:cs="Times New Roman"/>
                <w:sz w:val="20"/>
                <w:szCs w:val="20"/>
                <w:lang w:val="kk-KZ"/>
              </w:rPr>
              <w:t xml:space="preserve">Ақтөбе </w:t>
            </w:r>
            <w:r w:rsidRPr="00F64EE3">
              <w:rPr>
                <w:rFonts w:ascii="Times New Roman" w:hAnsi="Times New Roman" w:cs="Times New Roman"/>
                <w:sz w:val="20"/>
                <w:szCs w:val="20"/>
              </w:rPr>
              <w:t xml:space="preserve">облысы </w:t>
            </w:r>
            <w:r w:rsidRPr="00F64EE3">
              <w:rPr>
                <w:rFonts w:ascii="Times New Roman" w:hAnsi="Times New Roman" w:cs="Times New Roman"/>
                <w:sz w:val="20"/>
                <w:szCs w:val="20"/>
              </w:rPr>
              <w:br/>
              <w:t>(А</w:t>
            </w:r>
            <w:r w:rsidRPr="00F64EE3">
              <w:rPr>
                <w:rFonts w:ascii="Times New Roman" w:hAnsi="Times New Roman" w:cs="Times New Roman"/>
                <w:sz w:val="20"/>
                <w:szCs w:val="20"/>
                <w:lang w:val="kk-KZ"/>
              </w:rPr>
              <w:t>қ</w:t>
            </w:r>
            <w:r w:rsidRPr="00F64EE3">
              <w:rPr>
                <w:rFonts w:ascii="Times New Roman" w:hAnsi="Times New Roman" w:cs="Times New Roman"/>
                <w:sz w:val="20"/>
                <w:szCs w:val="20"/>
              </w:rPr>
              <w:t>төбе</w:t>
            </w:r>
            <w:r w:rsidRPr="00F64EE3">
              <w:rPr>
                <w:rFonts w:ascii="Times New Roman" w:hAnsi="Times New Roman" w:cs="Times New Roman"/>
                <w:sz w:val="20"/>
                <w:szCs w:val="20"/>
                <w:lang w:val="kk-KZ"/>
              </w:rPr>
              <w:t xml:space="preserve"> қ.</w:t>
            </w:r>
            <w:r w:rsidRPr="00F64EE3">
              <w:rPr>
                <w:rFonts w:ascii="Times New Roman" w:hAnsi="Times New Roman" w:cs="Times New Roman"/>
                <w:sz w:val="20"/>
                <w:szCs w:val="20"/>
              </w:rPr>
              <w:t>)</w:t>
            </w:r>
          </w:p>
        </w:tc>
        <w:tc>
          <w:tcPr>
            <w:tcW w:w="170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28,6%</w:t>
            </w:r>
          </w:p>
        </w:tc>
        <w:tc>
          <w:tcPr>
            <w:tcW w:w="170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5,7%</w:t>
            </w:r>
          </w:p>
        </w:tc>
        <w:tc>
          <w:tcPr>
            <w:tcW w:w="1276"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25,7%</w:t>
            </w:r>
          </w:p>
        </w:tc>
        <w:tc>
          <w:tcPr>
            <w:tcW w:w="1383"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34,3%</w:t>
            </w:r>
          </w:p>
        </w:tc>
      </w:tr>
      <w:tr w:rsidR="005A3591" w:rsidRPr="005A3591" w:rsidTr="00CF5069">
        <w:trPr>
          <w:cnfStyle w:val="000000100000"/>
        </w:trPr>
        <w:tc>
          <w:tcPr>
            <w:cnfStyle w:val="001000000000"/>
            <w:tcW w:w="684" w:type="dxa"/>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4</w:t>
            </w:r>
          </w:p>
        </w:tc>
        <w:tc>
          <w:tcPr>
            <w:tcW w:w="2826" w:type="dxa"/>
            <w:vAlign w:val="center"/>
          </w:tcPr>
          <w:p w:rsidR="005A3591" w:rsidRPr="00F64EE3" w:rsidRDefault="005A3591" w:rsidP="005A3591">
            <w:pPr>
              <w:tabs>
                <w:tab w:val="left" w:pos="318"/>
                <w:tab w:val="left" w:pos="459"/>
              </w:tabs>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 xml:space="preserve">Оңтүстік </w:t>
            </w:r>
            <w:r w:rsidRPr="00F64EE3">
              <w:rPr>
                <w:rFonts w:ascii="Times New Roman" w:hAnsi="Times New Roman" w:cs="Times New Roman"/>
                <w:sz w:val="20"/>
                <w:szCs w:val="20"/>
              </w:rPr>
              <w:t xml:space="preserve"> </w:t>
            </w:r>
            <w:r w:rsidRPr="00F64EE3">
              <w:rPr>
                <w:rFonts w:ascii="Times New Roman" w:hAnsi="Times New Roman" w:cs="Times New Roman"/>
                <w:sz w:val="20"/>
                <w:szCs w:val="20"/>
                <w:lang w:val="kk-KZ"/>
              </w:rPr>
              <w:t>Қ</w:t>
            </w:r>
            <w:r w:rsidRPr="00F64EE3">
              <w:rPr>
                <w:rFonts w:ascii="Times New Roman" w:hAnsi="Times New Roman" w:cs="Times New Roman"/>
                <w:sz w:val="20"/>
                <w:szCs w:val="20"/>
              </w:rPr>
              <w:t>аза</w:t>
            </w:r>
            <w:r w:rsidRPr="00F64EE3">
              <w:rPr>
                <w:rFonts w:ascii="Times New Roman" w:hAnsi="Times New Roman" w:cs="Times New Roman"/>
                <w:sz w:val="20"/>
                <w:szCs w:val="20"/>
                <w:lang w:val="kk-KZ"/>
              </w:rPr>
              <w:t>қ</w:t>
            </w:r>
            <w:r w:rsidRPr="00F64EE3">
              <w:rPr>
                <w:rFonts w:ascii="Times New Roman" w:hAnsi="Times New Roman" w:cs="Times New Roman"/>
                <w:sz w:val="20"/>
                <w:szCs w:val="20"/>
              </w:rPr>
              <w:t>стан облысы</w:t>
            </w:r>
          </w:p>
          <w:p w:rsidR="005A3591" w:rsidRPr="00F64EE3" w:rsidRDefault="005A3591" w:rsidP="005A3591">
            <w:pPr>
              <w:tabs>
                <w:tab w:val="left" w:pos="318"/>
                <w:tab w:val="left" w:pos="459"/>
              </w:tabs>
              <w:cnfStyle w:val="000000100000"/>
              <w:rPr>
                <w:rFonts w:ascii="Times New Roman" w:hAnsi="Times New Roman" w:cs="Times New Roman"/>
                <w:sz w:val="20"/>
                <w:szCs w:val="20"/>
              </w:rPr>
            </w:pPr>
            <w:r w:rsidRPr="00F64EE3">
              <w:rPr>
                <w:rFonts w:ascii="Times New Roman" w:hAnsi="Times New Roman" w:cs="Times New Roman"/>
                <w:sz w:val="20"/>
                <w:szCs w:val="20"/>
              </w:rPr>
              <w:t>(Шымкент</w:t>
            </w:r>
            <w:r w:rsidRPr="00F64EE3">
              <w:rPr>
                <w:rFonts w:ascii="Times New Roman" w:hAnsi="Times New Roman" w:cs="Times New Roman"/>
                <w:sz w:val="20"/>
                <w:szCs w:val="20"/>
                <w:lang w:val="kk-KZ"/>
              </w:rPr>
              <w:t xml:space="preserve"> қ.</w:t>
            </w:r>
            <w:r w:rsidRPr="00F64EE3">
              <w:rPr>
                <w:rFonts w:ascii="Times New Roman" w:hAnsi="Times New Roman" w:cs="Times New Roman"/>
                <w:sz w:val="20"/>
                <w:szCs w:val="20"/>
              </w:rPr>
              <w:t>)</w:t>
            </w:r>
          </w:p>
        </w:tc>
        <w:tc>
          <w:tcPr>
            <w:tcW w:w="1701"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34%</w:t>
            </w:r>
          </w:p>
        </w:tc>
        <w:tc>
          <w:tcPr>
            <w:tcW w:w="170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6,0%</w:t>
            </w:r>
          </w:p>
        </w:tc>
        <w:tc>
          <w:tcPr>
            <w:tcW w:w="1276"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46,0%</w:t>
            </w:r>
          </w:p>
        </w:tc>
        <w:tc>
          <w:tcPr>
            <w:tcW w:w="1383"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10,0%</w:t>
            </w:r>
          </w:p>
        </w:tc>
      </w:tr>
      <w:tr w:rsidR="005A3591" w:rsidRPr="005A3591" w:rsidTr="00CF5069">
        <w:trPr>
          <w:cnfStyle w:val="000000010000"/>
        </w:trPr>
        <w:tc>
          <w:tcPr>
            <w:cnfStyle w:val="001000000000"/>
            <w:tcW w:w="684"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5</w:t>
            </w:r>
          </w:p>
        </w:tc>
        <w:tc>
          <w:tcPr>
            <w:tcW w:w="2826" w:type="dxa"/>
            <w:hideMark/>
          </w:tcPr>
          <w:p w:rsidR="005A3591" w:rsidRPr="00F64EE3" w:rsidRDefault="005A3591" w:rsidP="005A3591">
            <w:pPr>
              <w:tabs>
                <w:tab w:val="left" w:pos="840"/>
              </w:tabs>
              <w:cnfStyle w:val="000000010000"/>
              <w:rPr>
                <w:rFonts w:ascii="Times New Roman" w:hAnsi="Times New Roman" w:cs="Times New Roman"/>
                <w:sz w:val="20"/>
                <w:szCs w:val="20"/>
                <w:lang w:val="kk-KZ"/>
              </w:rPr>
            </w:pPr>
            <w:r w:rsidRPr="00F64EE3">
              <w:rPr>
                <w:rFonts w:ascii="Times New Roman" w:hAnsi="Times New Roman" w:cs="Times New Roman"/>
                <w:sz w:val="20"/>
                <w:szCs w:val="20"/>
              </w:rPr>
              <w:t xml:space="preserve"> Алматы</w:t>
            </w:r>
            <w:r w:rsidRPr="00F64EE3">
              <w:rPr>
                <w:rFonts w:ascii="Times New Roman" w:hAnsi="Times New Roman" w:cs="Times New Roman"/>
                <w:bCs/>
                <w:sz w:val="20"/>
                <w:szCs w:val="20"/>
              </w:rPr>
              <w:t xml:space="preserve"> </w:t>
            </w:r>
            <w:r w:rsidRPr="00F64EE3">
              <w:rPr>
                <w:rFonts w:ascii="Times New Roman" w:hAnsi="Times New Roman" w:cs="Times New Roman"/>
                <w:bCs/>
                <w:sz w:val="20"/>
                <w:szCs w:val="20"/>
                <w:lang w:val="kk-KZ"/>
              </w:rPr>
              <w:t>қ.</w:t>
            </w:r>
          </w:p>
        </w:tc>
        <w:tc>
          <w:tcPr>
            <w:tcW w:w="170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18,9%</w:t>
            </w:r>
          </w:p>
        </w:tc>
        <w:tc>
          <w:tcPr>
            <w:tcW w:w="170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3,2%</w:t>
            </w:r>
          </w:p>
        </w:tc>
        <w:tc>
          <w:tcPr>
            <w:tcW w:w="1276"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34,4%</w:t>
            </w:r>
          </w:p>
        </w:tc>
        <w:tc>
          <w:tcPr>
            <w:tcW w:w="1383" w:type="dxa"/>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38,5%</w:t>
            </w:r>
          </w:p>
        </w:tc>
      </w:tr>
      <w:tr w:rsidR="005A3591" w:rsidRPr="005A3591" w:rsidTr="00CF5069">
        <w:trPr>
          <w:cnfStyle w:val="000000100000"/>
        </w:trPr>
        <w:tc>
          <w:tcPr>
            <w:cnfStyle w:val="001000000000"/>
            <w:tcW w:w="684" w:type="dxa"/>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6</w:t>
            </w:r>
          </w:p>
        </w:tc>
        <w:tc>
          <w:tcPr>
            <w:tcW w:w="2826" w:type="dxa"/>
            <w:vAlign w:val="center"/>
          </w:tcPr>
          <w:p w:rsidR="005A3591" w:rsidRPr="00F64EE3" w:rsidRDefault="005A3591" w:rsidP="005A3591">
            <w:pPr>
              <w:tabs>
                <w:tab w:val="left" w:pos="318"/>
                <w:tab w:val="left" w:pos="459"/>
              </w:tabs>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 xml:space="preserve">Қарағанды </w:t>
            </w:r>
            <w:r w:rsidRPr="00F64EE3">
              <w:rPr>
                <w:rFonts w:ascii="Times New Roman" w:hAnsi="Times New Roman" w:cs="Times New Roman"/>
                <w:sz w:val="20"/>
                <w:szCs w:val="20"/>
              </w:rPr>
              <w:t>облысы</w:t>
            </w:r>
          </w:p>
          <w:p w:rsidR="005A3591" w:rsidRPr="00F64EE3" w:rsidRDefault="005A3591" w:rsidP="005A3591">
            <w:pPr>
              <w:tabs>
                <w:tab w:val="left" w:pos="318"/>
                <w:tab w:val="left" w:pos="459"/>
              </w:tabs>
              <w:cnfStyle w:val="000000100000"/>
              <w:rPr>
                <w:rFonts w:ascii="Times New Roman" w:hAnsi="Times New Roman" w:cs="Times New Roman"/>
                <w:sz w:val="20"/>
                <w:szCs w:val="20"/>
                <w:lang w:val="kk-KZ"/>
              </w:rPr>
            </w:pPr>
            <w:r w:rsidRPr="00F64EE3">
              <w:rPr>
                <w:rFonts w:ascii="Times New Roman" w:hAnsi="Times New Roman" w:cs="Times New Roman"/>
                <w:sz w:val="20"/>
                <w:szCs w:val="20"/>
              </w:rPr>
              <w:t xml:space="preserve"> (</w:t>
            </w:r>
            <w:r w:rsidRPr="00F64EE3">
              <w:rPr>
                <w:rFonts w:ascii="Times New Roman" w:hAnsi="Times New Roman" w:cs="Times New Roman"/>
                <w:sz w:val="20"/>
                <w:szCs w:val="20"/>
                <w:lang w:val="kk-KZ"/>
              </w:rPr>
              <w:t>Қ</w:t>
            </w:r>
            <w:r w:rsidRPr="00F64EE3">
              <w:rPr>
                <w:rFonts w:ascii="Times New Roman" w:hAnsi="Times New Roman" w:cs="Times New Roman"/>
                <w:sz w:val="20"/>
                <w:szCs w:val="20"/>
              </w:rPr>
              <w:t>ар</w:t>
            </w:r>
            <w:r w:rsidRPr="00F64EE3">
              <w:rPr>
                <w:rFonts w:ascii="Times New Roman" w:hAnsi="Times New Roman" w:cs="Times New Roman"/>
                <w:sz w:val="20"/>
                <w:szCs w:val="20"/>
                <w:lang w:val="kk-KZ"/>
              </w:rPr>
              <w:t>ағ</w:t>
            </w:r>
            <w:r w:rsidRPr="00F64EE3">
              <w:rPr>
                <w:rFonts w:ascii="Times New Roman" w:hAnsi="Times New Roman" w:cs="Times New Roman"/>
                <w:sz w:val="20"/>
                <w:szCs w:val="20"/>
              </w:rPr>
              <w:t>анд</w:t>
            </w:r>
            <w:r w:rsidRPr="00F64EE3">
              <w:rPr>
                <w:rFonts w:ascii="Times New Roman" w:hAnsi="Times New Roman" w:cs="Times New Roman"/>
                <w:sz w:val="20"/>
                <w:szCs w:val="20"/>
                <w:lang w:val="kk-KZ"/>
              </w:rPr>
              <w:t>ы қ.</w:t>
            </w:r>
            <w:r w:rsidRPr="00F64EE3">
              <w:rPr>
                <w:rFonts w:ascii="Times New Roman" w:hAnsi="Times New Roman" w:cs="Times New Roman"/>
                <w:sz w:val="20"/>
                <w:szCs w:val="20"/>
              </w:rPr>
              <w:t>)</w:t>
            </w:r>
          </w:p>
        </w:tc>
        <w:tc>
          <w:tcPr>
            <w:tcW w:w="170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16,4%</w:t>
            </w:r>
          </w:p>
        </w:tc>
        <w:tc>
          <w:tcPr>
            <w:tcW w:w="170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4,4%</w:t>
            </w:r>
          </w:p>
        </w:tc>
        <w:tc>
          <w:tcPr>
            <w:tcW w:w="1276"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65,7%</w:t>
            </w:r>
          </w:p>
        </w:tc>
        <w:tc>
          <w:tcPr>
            <w:tcW w:w="1383"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10,4%</w:t>
            </w:r>
          </w:p>
        </w:tc>
      </w:tr>
      <w:tr w:rsidR="005A3591" w:rsidRPr="005A3591" w:rsidTr="00CF5069">
        <w:trPr>
          <w:cnfStyle w:val="000000010000"/>
        </w:trPr>
        <w:tc>
          <w:tcPr>
            <w:cnfStyle w:val="001000000000"/>
            <w:tcW w:w="684" w:type="dxa"/>
          </w:tcPr>
          <w:p w:rsidR="005A3591" w:rsidRPr="00F64EE3" w:rsidRDefault="005A3591" w:rsidP="005A3591">
            <w:pPr>
              <w:rPr>
                <w:rFonts w:ascii="Times New Roman" w:hAnsi="Times New Roman" w:cs="Times New Roman"/>
                <w:sz w:val="20"/>
                <w:szCs w:val="20"/>
              </w:rPr>
            </w:pPr>
          </w:p>
        </w:tc>
        <w:tc>
          <w:tcPr>
            <w:tcW w:w="2826" w:type="dxa"/>
          </w:tcPr>
          <w:p w:rsidR="005A3591" w:rsidRPr="00F64EE3" w:rsidRDefault="005A3591" w:rsidP="005A3591">
            <w:pPr>
              <w:cnfStyle w:val="000000010000"/>
              <w:rPr>
                <w:rFonts w:ascii="Times New Roman" w:hAnsi="Times New Roman" w:cs="Times New Roman"/>
                <w:b/>
                <w:sz w:val="20"/>
                <w:szCs w:val="20"/>
              </w:rPr>
            </w:pPr>
          </w:p>
        </w:tc>
        <w:tc>
          <w:tcPr>
            <w:tcW w:w="6061" w:type="dxa"/>
            <w:gridSpan w:val="4"/>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100%</w:t>
            </w:r>
          </w:p>
        </w:tc>
      </w:tr>
    </w:tbl>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2</w:t>
      </w:r>
      <w:r w:rsidR="000841BC">
        <w:rPr>
          <w:rFonts w:ascii="Times New Roman" w:hAnsi="Times New Roman" w:cs="Times New Roman"/>
          <w:sz w:val="24"/>
          <w:szCs w:val="24"/>
          <w:lang w:val="kk-KZ"/>
        </w:rPr>
        <w:t>-</w:t>
      </w:r>
      <w:r w:rsidRPr="005A3591">
        <w:rPr>
          <w:rFonts w:ascii="Times New Roman" w:hAnsi="Times New Roman" w:cs="Times New Roman"/>
          <w:sz w:val="24"/>
          <w:szCs w:val="24"/>
          <w:lang w:val="kk-KZ"/>
        </w:rPr>
        <w:t>кестеде зерттеу жүргізілген аймақтар бойынша жас ғалымдардың өмір сүру жағдайы т</w:t>
      </w:r>
      <w:r w:rsidR="006B7CA6">
        <w:rPr>
          <w:rFonts w:ascii="Times New Roman" w:hAnsi="Times New Roman" w:cs="Times New Roman"/>
          <w:sz w:val="24"/>
          <w:szCs w:val="24"/>
          <w:lang w:val="kk-KZ"/>
        </w:rPr>
        <w:t>у</w:t>
      </w:r>
      <w:r w:rsidRPr="005A3591">
        <w:rPr>
          <w:rFonts w:ascii="Times New Roman" w:hAnsi="Times New Roman" w:cs="Times New Roman"/>
          <w:sz w:val="24"/>
          <w:szCs w:val="24"/>
          <w:lang w:val="kk-KZ"/>
        </w:rPr>
        <w:t xml:space="preserve">ралы мәліметтер ұсынылған.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Эмпирикалық мәліметтердің көрсетуі бойынша, пәтер жалдап тұратын жас мамандардың басым пайызы Алматы (38,5%) және Ақтөбе (34,3%) қалаларында көрініс табады. Астана қаласы бойынша сұралған респонденттердің ¼ пәтер жалдап тұрады. Астанымыздағы жас ғалымдардың 18%</w:t>
      </w:r>
      <w:r w:rsidR="009F5979">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жатақханада тұратындарын да айта кету керек.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Зерттелініп отырған мәселе бойынша жағымды ахуал Батыс Қазақстан және Қарағанды облыстарынан байқалады. Аталған аймақтардағы анкеталардың көбінде «Жеке пәтерде (үйде) тұрамын» позициясы басым түседі – 75,0% және 65,7%.</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Жас ғалымдардың өмір сүру жағдайлары туралы мәліметтерді нақтылау үшін анкетаға олардың тұрмыс жағдайымен жалпы қанағаттануы туралы сұрақ енгізілген болатын.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Сұрыпталған анкеталардың ішінде жиынтықталған жағымды баға 59,7%</w:t>
      </w:r>
      <w:r w:rsidR="009F5979">
        <w:rPr>
          <w:rFonts w:ascii="Times New Roman" w:hAnsi="Times New Roman" w:cs="Times New Roman"/>
          <w:sz w:val="24"/>
          <w:szCs w:val="24"/>
          <w:lang w:val="kk-KZ"/>
        </w:rPr>
        <w:t>-</w:t>
      </w:r>
      <w:r w:rsidRPr="005A3591">
        <w:rPr>
          <w:rFonts w:ascii="Times New Roman" w:hAnsi="Times New Roman" w:cs="Times New Roman"/>
          <w:sz w:val="24"/>
          <w:szCs w:val="24"/>
          <w:lang w:val="kk-KZ"/>
        </w:rPr>
        <w:t>бен көрінді. Соның ішінде, толық қанағаттанатындардың үлесі – 33,6%, аса қанағаттанышулардың үлесі – 26,2%.</w:t>
      </w:r>
    </w:p>
    <w:p w:rsidR="005A3591" w:rsidRPr="005A3591" w:rsidRDefault="005A3591" w:rsidP="005A3591">
      <w:pPr>
        <w:pStyle w:val="3"/>
        <w:tabs>
          <w:tab w:val="left" w:pos="993"/>
        </w:tabs>
        <w:spacing w:after="0"/>
        <w:ind w:left="0" w:firstLine="567"/>
        <w:jc w:val="both"/>
        <w:rPr>
          <w:sz w:val="24"/>
          <w:szCs w:val="24"/>
          <w:lang w:val="kk-KZ"/>
        </w:rPr>
      </w:pPr>
      <w:r w:rsidRPr="005A3591">
        <w:rPr>
          <w:sz w:val="24"/>
          <w:szCs w:val="24"/>
          <w:lang w:val="kk-KZ"/>
        </w:rPr>
        <w:t>Жағымсыз баға бергендердің үлесі – 34,7%, яғни, респонденттердің үштен көбі. Соның ішінде, сұралған жас ғалымдардың 15,2% «иә» жауабына</w:t>
      </w:r>
      <w:r w:rsidR="009F5979">
        <w:rPr>
          <w:sz w:val="24"/>
          <w:szCs w:val="24"/>
          <w:lang w:val="kk-KZ"/>
        </w:rPr>
        <w:t>н көрі</w:t>
      </w:r>
      <w:r w:rsidRPr="005A3591">
        <w:rPr>
          <w:sz w:val="24"/>
          <w:szCs w:val="24"/>
          <w:lang w:val="kk-KZ"/>
        </w:rPr>
        <w:t xml:space="preserve"> «жоқ» жауабын таңдаймын» деп жауап берді. Сұралғандардың 19,5% пайызы толығымен қанағаттанбайтындықтарын жеткізді. </w:t>
      </w:r>
    </w:p>
    <w:p w:rsidR="005A3591" w:rsidRPr="005A3591" w:rsidRDefault="005A3591" w:rsidP="005A3591">
      <w:pPr>
        <w:pStyle w:val="3"/>
        <w:tabs>
          <w:tab w:val="left" w:pos="993"/>
        </w:tabs>
        <w:spacing w:after="0"/>
        <w:ind w:left="0" w:firstLine="567"/>
        <w:jc w:val="both"/>
        <w:rPr>
          <w:sz w:val="24"/>
          <w:szCs w:val="24"/>
          <w:lang w:val="kk-KZ"/>
        </w:rPr>
      </w:pPr>
      <w:r w:rsidRPr="005A3591">
        <w:rPr>
          <w:sz w:val="24"/>
          <w:szCs w:val="24"/>
          <w:lang w:val="kk-KZ"/>
        </w:rPr>
        <w:t xml:space="preserve">Осы сұраққа жауап беруге қиналған жас ғалымдардың үлесі – 5,4%.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Алдын-ала қорытынды жасай отырып, осы сұраққа сыни баға берілген анкеталарды жеке талдау қажеттілігі туындайды. Тұрмыстық жағдайларымен толығымен немесе жартылай қанағаттанбайтын жауаптар келесідей болып бөлінді: </w:t>
      </w:r>
    </w:p>
    <w:p w:rsidR="005A3591" w:rsidRPr="005A3591" w:rsidRDefault="005A3591" w:rsidP="005A3591">
      <w:pPr>
        <w:spacing w:after="0" w:line="240" w:lineRule="auto"/>
        <w:ind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- 43,8%</w:t>
      </w:r>
      <w:r w:rsidR="003C2FEF">
        <w:rPr>
          <w:rFonts w:ascii="Times New Roman" w:hAnsi="Times New Roman" w:cs="Times New Roman"/>
          <w:sz w:val="24"/>
          <w:szCs w:val="24"/>
          <w:lang w:val="kk-KZ"/>
        </w:rPr>
        <w:t xml:space="preserve">-ы </w:t>
      </w:r>
      <w:r w:rsidRPr="005A3591">
        <w:rPr>
          <w:rFonts w:ascii="Times New Roman" w:hAnsi="Times New Roman" w:cs="Times New Roman"/>
          <w:sz w:val="24"/>
          <w:szCs w:val="24"/>
          <w:lang w:val="kk-KZ"/>
        </w:rPr>
        <w:t>- пәтер жалдайды;</w:t>
      </w:r>
    </w:p>
    <w:p w:rsidR="005A3591" w:rsidRPr="005A3591" w:rsidRDefault="005A3591" w:rsidP="005A3591">
      <w:pPr>
        <w:spacing w:after="0" w:line="240" w:lineRule="auto"/>
        <w:ind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- 23,9% - жеке пәтерде  тұрады (осы категориядағы 82,1%  - балалары бар отбасылар);</w:t>
      </w:r>
    </w:p>
    <w:p w:rsidR="005A3591" w:rsidRPr="005A3591" w:rsidRDefault="005A3591" w:rsidP="005A3591">
      <w:pPr>
        <w:spacing w:after="0" w:line="240" w:lineRule="auto"/>
        <w:ind w:firstLine="567"/>
        <w:rPr>
          <w:rFonts w:ascii="Times New Roman" w:hAnsi="Times New Roman" w:cs="Times New Roman"/>
          <w:sz w:val="24"/>
          <w:szCs w:val="24"/>
        </w:rPr>
      </w:pPr>
      <w:r w:rsidRPr="005A3591">
        <w:rPr>
          <w:rFonts w:ascii="Times New Roman" w:hAnsi="Times New Roman" w:cs="Times New Roman"/>
          <w:sz w:val="24"/>
          <w:szCs w:val="24"/>
        </w:rPr>
        <w:t xml:space="preserve">- 16,5% - </w:t>
      </w:r>
      <w:r w:rsidRPr="005A3591">
        <w:rPr>
          <w:rFonts w:ascii="Times New Roman" w:hAnsi="Times New Roman" w:cs="Times New Roman"/>
          <w:sz w:val="24"/>
          <w:szCs w:val="24"/>
          <w:lang w:val="kk-KZ"/>
        </w:rPr>
        <w:t>ата-аналарымен тұрады</w:t>
      </w:r>
      <w:r w:rsidRPr="005A3591">
        <w:rPr>
          <w:rFonts w:ascii="Times New Roman" w:hAnsi="Times New Roman" w:cs="Times New Roman"/>
          <w:sz w:val="24"/>
          <w:szCs w:val="24"/>
        </w:rPr>
        <w:t>;</w:t>
      </w:r>
    </w:p>
    <w:p w:rsidR="005A3591" w:rsidRPr="005A3591" w:rsidRDefault="005A3591" w:rsidP="005A3591">
      <w:pPr>
        <w:spacing w:after="0" w:line="240" w:lineRule="auto"/>
        <w:ind w:firstLine="567"/>
        <w:rPr>
          <w:rFonts w:ascii="Times New Roman" w:hAnsi="Times New Roman" w:cs="Times New Roman"/>
          <w:sz w:val="24"/>
          <w:szCs w:val="24"/>
        </w:rPr>
      </w:pPr>
      <w:r w:rsidRPr="005A3591">
        <w:rPr>
          <w:rFonts w:ascii="Times New Roman" w:hAnsi="Times New Roman" w:cs="Times New Roman"/>
          <w:sz w:val="24"/>
          <w:szCs w:val="24"/>
        </w:rPr>
        <w:t xml:space="preserve">- 10,7% - </w:t>
      </w:r>
      <w:r w:rsidRPr="005A3591">
        <w:rPr>
          <w:rFonts w:ascii="Times New Roman" w:hAnsi="Times New Roman" w:cs="Times New Roman"/>
          <w:sz w:val="24"/>
          <w:szCs w:val="24"/>
          <w:lang w:val="kk-KZ"/>
        </w:rPr>
        <w:t>жатақханада тұрады</w:t>
      </w:r>
      <w:r w:rsidRPr="005A3591">
        <w:rPr>
          <w:rFonts w:ascii="Times New Roman" w:hAnsi="Times New Roman" w:cs="Times New Roman"/>
          <w:sz w:val="24"/>
          <w:szCs w:val="24"/>
        </w:rPr>
        <w:t xml:space="preserve">.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Тұрғылықты аймағы бойынша өмір сүру жағдайын аса «жағымсыз» деп бағалайтын тұрғындар Ақтөбе облысында (Ақтөбе қ.) сұралғандардың санынан </w:t>
      </w:r>
      <w:r w:rsidRPr="005A3591">
        <w:rPr>
          <w:rFonts w:ascii="Times New Roman" w:hAnsi="Times New Roman" w:cs="Times New Roman"/>
          <w:sz w:val="24"/>
          <w:szCs w:val="24"/>
        </w:rPr>
        <w:t>– 48,5%</w:t>
      </w:r>
      <w:r w:rsidR="009B1C8F">
        <w:rPr>
          <w:rFonts w:ascii="Times New Roman" w:hAnsi="Times New Roman" w:cs="Times New Roman"/>
          <w:sz w:val="24"/>
          <w:szCs w:val="24"/>
          <w:lang w:val="kk-KZ"/>
        </w:rPr>
        <w:t>-</w:t>
      </w:r>
      <w:r w:rsidRPr="005A3591">
        <w:rPr>
          <w:rFonts w:ascii="Times New Roman" w:hAnsi="Times New Roman" w:cs="Times New Roman"/>
          <w:sz w:val="24"/>
          <w:szCs w:val="24"/>
          <w:lang w:val="kk-KZ"/>
        </w:rPr>
        <w:t>ды құрайды. Одан кейін Алматы қ. (41,1%) және Астана қаласы (40,0%). Қанағаттанбаудың аз көрсеткіші Орал қаласынан байқалады (16,7%.). Сәйкесінше, Қарағанды және Оңтүстік Қазақстан облыстары 29,9% және 20,0%</w:t>
      </w:r>
      <w:r w:rsidR="009B1C8F">
        <w:rPr>
          <w:rFonts w:ascii="Times New Roman" w:hAnsi="Times New Roman" w:cs="Times New Roman"/>
          <w:sz w:val="24"/>
          <w:szCs w:val="24"/>
          <w:lang w:val="kk-KZ"/>
        </w:rPr>
        <w:t>.</w:t>
      </w:r>
    </w:p>
    <w:p w:rsidR="006B7CA6" w:rsidRPr="006B7CA6" w:rsidRDefault="006B7CA6" w:rsidP="00460FF6">
      <w:pPr>
        <w:pStyle w:val="2"/>
        <w:spacing w:before="0" w:line="240" w:lineRule="auto"/>
        <w:ind w:firstLine="567"/>
        <w:rPr>
          <w:rFonts w:ascii="Times New Roman" w:hAnsi="Times New Roman" w:cs="Times New Roman"/>
          <w:b w:val="0"/>
          <w:i/>
          <w:color w:val="auto"/>
          <w:sz w:val="24"/>
          <w:szCs w:val="24"/>
          <w:lang w:val="kk-KZ"/>
        </w:rPr>
      </w:pPr>
      <w:bookmarkStart w:id="0" w:name="_Toc333912879"/>
      <w:r w:rsidRPr="006B7CA6">
        <w:rPr>
          <w:rFonts w:ascii="Times New Roman" w:hAnsi="Times New Roman" w:cs="Times New Roman"/>
          <w:b w:val="0"/>
          <w:i/>
          <w:color w:val="auto"/>
          <w:sz w:val="24"/>
          <w:szCs w:val="24"/>
          <w:lang w:val="kk-KZ"/>
        </w:rPr>
        <w:lastRenderedPageBreak/>
        <w:t>Табыс және өмірдің экономикалық жағдайларын бағалау</w:t>
      </w:r>
    </w:p>
    <w:bookmarkEnd w:id="0"/>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Қазақстандық жас ғалымдардың экономикалық хал-ахуал деңгейін жүргізілген зерттеу шеңберінде бағалау екі өзара байланысты тәсілдердің көмегімен жүзеге асырылды.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Респонденттерге олардың негізгі жұмысындағы табыс деңгейі туралы тікелей сұрақ қойылды, сонымен қатар, респонденттер келесі позицияларды таңдап, жабық сұрақ шеңберінде өздерінің өмір деңгейін бағалау кезінде кедейліктің деңгейін анықтайтын субъективті тұжырымдама қолданылды:</w:t>
      </w:r>
    </w:p>
    <w:p w:rsidR="005A3591" w:rsidRPr="005A3591" w:rsidRDefault="005A3591" w:rsidP="00ED4E4E">
      <w:pPr>
        <w:pStyle w:val="a3"/>
        <w:numPr>
          <w:ilvl w:val="0"/>
          <w:numId w:val="2"/>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Мен (біз) ешқандай экономикалық қиындықтарды сезінбеймін (міз)</w:t>
      </w:r>
    </w:p>
    <w:p w:rsidR="005A3591" w:rsidRPr="005A3591" w:rsidRDefault="005A3591" w:rsidP="00ED4E4E">
      <w:pPr>
        <w:pStyle w:val="a3"/>
        <w:numPr>
          <w:ilvl w:val="0"/>
          <w:numId w:val="2"/>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Табысым қымбат сауда жасаудан басқасының барлығына жетеді</w:t>
      </w:r>
    </w:p>
    <w:p w:rsidR="005A3591" w:rsidRPr="005A3591" w:rsidRDefault="005A3591" w:rsidP="00ED4E4E">
      <w:pPr>
        <w:pStyle w:val="a3"/>
        <w:numPr>
          <w:ilvl w:val="0"/>
          <w:numId w:val="2"/>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Ақшам тек негізгілерге: азық-түлік пен киімге ғана жетеді</w:t>
      </w:r>
    </w:p>
    <w:p w:rsidR="005A3591" w:rsidRPr="005A3591" w:rsidRDefault="005A3591" w:rsidP="00ED4E4E">
      <w:pPr>
        <w:pStyle w:val="a3"/>
        <w:numPr>
          <w:ilvl w:val="0"/>
          <w:numId w:val="2"/>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Азық-түлікке жетеді, бірақ киім сатып алу қиынға түседі</w:t>
      </w:r>
    </w:p>
    <w:p w:rsidR="005A3591" w:rsidRPr="005A3591" w:rsidRDefault="005A3591" w:rsidP="00ED4E4E">
      <w:pPr>
        <w:pStyle w:val="a3"/>
        <w:numPr>
          <w:ilvl w:val="0"/>
          <w:numId w:val="2"/>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Ақшам тіпті азық-түлікке де жетпейді. </w:t>
      </w:r>
    </w:p>
    <w:p w:rsidR="005A3591" w:rsidRPr="005A3591" w:rsidRDefault="005A3591" w:rsidP="005A3591">
      <w:pPr>
        <w:pStyle w:val="a3"/>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Табыс деңгейі туралы мәліметтер (сурет </w:t>
      </w:r>
      <w:r w:rsidR="00ED4E4E">
        <w:rPr>
          <w:rFonts w:ascii="Times New Roman" w:hAnsi="Times New Roman" w:cs="Times New Roman"/>
          <w:sz w:val="24"/>
          <w:szCs w:val="24"/>
          <w:lang w:val="kk-KZ"/>
        </w:rPr>
        <w:t>2</w:t>
      </w:r>
      <w:r w:rsidRPr="005A3591">
        <w:rPr>
          <w:rFonts w:ascii="Times New Roman" w:hAnsi="Times New Roman" w:cs="Times New Roman"/>
          <w:sz w:val="24"/>
          <w:szCs w:val="24"/>
          <w:lang w:val="kk-KZ"/>
        </w:rPr>
        <w:t>) Қазақстанның жас ғалымдарының үштен бір бөлігінде табыс деңгейінің жеткілікті екендігін көрсетеді: 85000-нан 100000 теңгеге дейін және одан да жоғары – 14,6%, ал 100 мың теңгеден жоғары табыс деңгейі – 15,5%</w:t>
      </w:r>
      <w:r w:rsidR="009B1C8F">
        <w:rPr>
          <w:rFonts w:ascii="Times New Roman" w:hAnsi="Times New Roman" w:cs="Times New Roman"/>
          <w:sz w:val="24"/>
          <w:szCs w:val="24"/>
          <w:lang w:val="kk-KZ"/>
        </w:rPr>
        <w:t>-ды</w:t>
      </w:r>
      <w:r w:rsidRPr="005A3591">
        <w:rPr>
          <w:rFonts w:ascii="Times New Roman" w:hAnsi="Times New Roman" w:cs="Times New Roman"/>
          <w:sz w:val="24"/>
          <w:szCs w:val="24"/>
          <w:lang w:val="kk-KZ"/>
        </w:rPr>
        <w:t xml:space="preserve"> құрайды. Табыс деңгейі жоғары жас ғалымдардың көбі – ғылым кандидаты, ғылым докторы, PhD докторы сияқты ғылыми дәрежесі бар мамандар. </w:t>
      </w:r>
    </w:p>
    <w:p w:rsidR="005A3591" w:rsidRPr="005A3591" w:rsidRDefault="005A3591" w:rsidP="005A3591">
      <w:pPr>
        <w:pStyle w:val="a3"/>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Зерттеу нәтижесі бойынша, жас ғалымдардың арасындағы ғылыми дәрежесі бар, табыс деңгейі жоғары респонденттер 62%</w:t>
      </w:r>
      <w:r w:rsidR="009B1C8F">
        <w:rPr>
          <w:rFonts w:ascii="Times New Roman" w:hAnsi="Times New Roman" w:cs="Times New Roman"/>
          <w:sz w:val="24"/>
          <w:szCs w:val="24"/>
          <w:lang w:val="kk-KZ"/>
        </w:rPr>
        <w:t>-ды</w:t>
      </w:r>
      <w:r w:rsidRPr="005A3591">
        <w:rPr>
          <w:rFonts w:ascii="Times New Roman" w:hAnsi="Times New Roman" w:cs="Times New Roman"/>
          <w:sz w:val="24"/>
          <w:szCs w:val="24"/>
          <w:lang w:val="kk-KZ"/>
        </w:rPr>
        <w:t xml:space="preserve"> құрайды. Жоғары оқу орнынан кейінгі білім беру бағдарламасы бойынша оқуын аяқтамаған және ғылыми дәрежесі жоқ респонденттердің ішінде табыс деңгейі жоғары респонденттердің пайыздық көрсеткіші – 14,2%.</w:t>
      </w:r>
    </w:p>
    <w:p w:rsidR="005A3591" w:rsidRPr="005A3591" w:rsidRDefault="005A3591" w:rsidP="005A3591">
      <w:pPr>
        <w:pStyle w:val="a3"/>
        <w:spacing w:line="240" w:lineRule="auto"/>
        <w:ind w:left="0" w:firstLine="567"/>
        <w:rPr>
          <w:rFonts w:ascii="Times New Roman" w:hAnsi="Times New Roman" w:cs="Times New Roman"/>
          <w:sz w:val="24"/>
          <w:szCs w:val="24"/>
        </w:rPr>
      </w:pPr>
      <w:r w:rsidRPr="005A3591">
        <w:rPr>
          <w:rFonts w:ascii="Times New Roman" w:hAnsi="Times New Roman" w:cs="Times New Roman"/>
          <w:sz w:val="24"/>
          <w:szCs w:val="24"/>
          <w:lang w:val="kk-KZ"/>
        </w:rPr>
        <w:t xml:space="preserve">Респонденттердің </w:t>
      </w:r>
      <w:r w:rsidRPr="005A3591">
        <w:rPr>
          <w:rFonts w:ascii="Times New Roman" w:hAnsi="Times New Roman" w:cs="Times New Roman"/>
          <w:sz w:val="24"/>
          <w:szCs w:val="24"/>
        </w:rPr>
        <w:t>51,4%</w:t>
      </w:r>
      <w:r w:rsidR="009B1C8F">
        <w:rPr>
          <w:rFonts w:ascii="Times New Roman" w:hAnsi="Times New Roman" w:cs="Times New Roman"/>
          <w:sz w:val="24"/>
          <w:szCs w:val="24"/>
          <w:lang w:val="kk-KZ"/>
        </w:rPr>
        <w:t>-ы</w:t>
      </w:r>
      <w:r w:rsidRPr="005A3591">
        <w:rPr>
          <w:rFonts w:ascii="Times New Roman" w:hAnsi="Times New Roman" w:cs="Times New Roman"/>
          <w:sz w:val="24"/>
          <w:szCs w:val="24"/>
        </w:rPr>
        <w:t xml:space="preserve"> 45000</w:t>
      </w:r>
      <w:r w:rsidRPr="005A3591">
        <w:rPr>
          <w:rFonts w:ascii="Times New Roman" w:hAnsi="Times New Roman" w:cs="Times New Roman"/>
          <w:sz w:val="24"/>
          <w:szCs w:val="24"/>
          <w:lang w:val="kk-KZ"/>
        </w:rPr>
        <w:t xml:space="preserve"> теңгеден</w:t>
      </w:r>
      <w:r w:rsidRPr="005A3591">
        <w:rPr>
          <w:rFonts w:ascii="Times New Roman" w:hAnsi="Times New Roman" w:cs="Times New Roman"/>
          <w:sz w:val="24"/>
          <w:szCs w:val="24"/>
        </w:rPr>
        <w:t xml:space="preserve"> 85000 те</w:t>
      </w:r>
      <w:r w:rsidRPr="005A3591">
        <w:rPr>
          <w:rFonts w:ascii="Times New Roman" w:hAnsi="Times New Roman" w:cs="Times New Roman"/>
          <w:sz w:val="24"/>
          <w:szCs w:val="24"/>
          <w:lang w:val="kk-KZ"/>
        </w:rPr>
        <w:t>ң</w:t>
      </w:r>
      <w:r w:rsidRPr="005A3591">
        <w:rPr>
          <w:rFonts w:ascii="Times New Roman" w:hAnsi="Times New Roman" w:cs="Times New Roman"/>
          <w:sz w:val="24"/>
          <w:szCs w:val="24"/>
        </w:rPr>
        <w:t>ге</w:t>
      </w:r>
      <w:r w:rsidRPr="005A3591">
        <w:rPr>
          <w:rFonts w:ascii="Times New Roman" w:hAnsi="Times New Roman" w:cs="Times New Roman"/>
          <w:sz w:val="24"/>
          <w:szCs w:val="24"/>
          <w:lang w:val="kk-KZ"/>
        </w:rPr>
        <w:t>ге дейін жалақы алады.</w:t>
      </w:r>
      <w:r w:rsidRPr="005A3591">
        <w:rPr>
          <w:rFonts w:ascii="Times New Roman" w:hAnsi="Times New Roman" w:cs="Times New Roman"/>
          <w:sz w:val="24"/>
          <w:szCs w:val="24"/>
        </w:rPr>
        <w:t xml:space="preserve"> </w:t>
      </w:r>
    </w:p>
    <w:p w:rsidR="005A3591" w:rsidRPr="00ED4E4E" w:rsidRDefault="005A3591" w:rsidP="005A3591">
      <w:pPr>
        <w:pStyle w:val="a3"/>
        <w:spacing w:line="240" w:lineRule="auto"/>
        <w:ind w:left="0" w:firstLine="567"/>
        <w:rPr>
          <w:rFonts w:ascii="Times New Roman" w:hAnsi="Times New Roman" w:cs="Times New Roman"/>
          <w:b/>
          <w:sz w:val="24"/>
          <w:szCs w:val="24"/>
          <w:lang w:val="kk-KZ"/>
        </w:rPr>
      </w:pPr>
      <w:r w:rsidRPr="005A3591">
        <w:rPr>
          <w:rFonts w:ascii="Times New Roman" w:hAnsi="Times New Roman" w:cs="Times New Roman"/>
          <w:sz w:val="24"/>
          <w:szCs w:val="24"/>
          <w:lang w:val="kk-KZ"/>
        </w:rPr>
        <w:t xml:space="preserve">Сұралған респонденттердің </w:t>
      </w:r>
      <w:r w:rsidRPr="005A3591">
        <w:rPr>
          <w:rFonts w:ascii="Times New Roman" w:hAnsi="Times New Roman" w:cs="Times New Roman"/>
          <w:sz w:val="24"/>
          <w:szCs w:val="24"/>
        </w:rPr>
        <w:t>11,5%</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олардың негізгі табысы 35000 теңгеден аспайтындығын көрсетті. Аса жоғары пайызға ие болмаса да бұл көрсеткіш назар аударуды талап етеді. ҚР статистика Агенттігінің 2012 жылдың шілде айындағы мәліметтері бойынша күнкөріс минимумы орташа шамамен 16 979 теңгені құрайтынын есепке алу керек. Басқа сөзбен айтқанда</w:t>
      </w:r>
      <w:r w:rsidRPr="00ED4E4E">
        <w:rPr>
          <w:rFonts w:ascii="Times New Roman" w:hAnsi="Times New Roman" w:cs="Times New Roman"/>
          <w:sz w:val="24"/>
          <w:szCs w:val="24"/>
          <w:lang w:val="kk-KZ"/>
        </w:rPr>
        <w:t xml:space="preserve">, жас ғалымдардың оннан бірі ресми түрде «кедейлік шегіне» жақын тұр, ал респонденттердің </w:t>
      </w:r>
      <w:r w:rsidRPr="00ED4E4E">
        <w:rPr>
          <w:rStyle w:val="title1"/>
          <w:rFonts w:ascii="Times New Roman" w:hAnsi="Times New Roman" w:cs="Times New Roman"/>
          <w:b w:val="0"/>
          <w:color w:val="auto"/>
          <w:sz w:val="24"/>
          <w:szCs w:val="24"/>
          <w:lang w:val="kk-KZ"/>
        </w:rPr>
        <w:t>2,2 %</w:t>
      </w:r>
      <w:r w:rsidR="009B1C8F">
        <w:rPr>
          <w:rStyle w:val="title1"/>
          <w:rFonts w:ascii="Times New Roman" w:hAnsi="Times New Roman" w:cs="Times New Roman"/>
          <w:b w:val="0"/>
          <w:color w:val="auto"/>
          <w:sz w:val="24"/>
          <w:szCs w:val="24"/>
          <w:lang w:val="kk-KZ"/>
        </w:rPr>
        <w:t>-ы</w:t>
      </w:r>
      <w:r w:rsidRPr="00ED4E4E">
        <w:rPr>
          <w:rStyle w:val="title1"/>
          <w:rFonts w:ascii="Times New Roman" w:hAnsi="Times New Roman" w:cs="Times New Roman"/>
          <w:b w:val="0"/>
          <w:color w:val="auto"/>
          <w:sz w:val="24"/>
          <w:szCs w:val="24"/>
          <w:lang w:val="kk-KZ"/>
        </w:rPr>
        <w:t xml:space="preserve"> соның маңайында тұр (табысы 7 мыңнан 20 мың теңгеге дейін).</w:t>
      </w:r>
    </w:p>
    <w:p w:rsidR="005A3591" w:rsidRPr="005A3591" w:rsidRDefault="005A3591" w:rsidP="00ED4E4E">
      <w:pPr>
        <w:tabs>
          <w:tab w:val="left" w:pos="993"/>
        </w:tabs>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Жас ғалымдар арасында табысы 7000 теңгеден 35000 теңгені құрайтындардың басым бөлігі Батыс Қазақстан облысында – 12,5%, яғни Қазақстан бойынша орташа көрсеткіштен 2 есе жоғары (кесте</w:t>
      </w:r>
      <w:r w:rsidR="000841BC">
        <w:rPr>
          <w:rFonts w:ascii="Times New Roman" w:hAnsi="Times New Roman" w:cs="Times New Roman"/>
          <w:sz w:val="24"/>
          <w:szCs w:val="24"/>
          <w:lang w:val="kk-KZ"/>
        </w:rPr>
        <w:t xml:space="preserve"> </w:t>
      </w:r>
      <w:r w:rsidRPr="005A3591">
        <w:rPr>
          <w:rFonts w:ascii="Times New Roman" w:hAnsi="Times New Roman" w:cs="Times New Roman"/>
          <w:sz w:val="24"/>
          <w:szCs w:val="24"/>
          <w:lang w:val="kk-KZ"/>
        </w:rPr>
        <w:t xml:space="preserve">3). </w:t>
      </w:r>
    </w:p>
    <w:p w:rsidR="005A3591" w:rsidRPr="005A3591" w:rsidRDefault="005A3591" w:rsidP="005A3591">
      <w:pPr>
        <w:tabs>
          <w:tab w:val="left" w:pos="993"/>
        </w:tabs>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Жас ғалымдар арасында табыс деңгейі төмен респонденттерді келесі әлеуметтік-демогорафиялық тәуелділіктермен анықтауға болады:</w:t>
      </w:r>
    </w:p>
    <w:p w:rsidR="005A3591" w:rsidRPr="005A3591" w:rsidRDefault="005A3591" w:rsidP="005A3591">
      <w:pPr>
        <w:pStyle w:val="a3"/>
        <w:numPr>
          <w:ilvl w:val="0"/>
          <w:numId w:val="3"/>
        </w:numPr>
        <w:tabs>
          <w:tab w:val="left" w:pos="993"/>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Осы жауап нұсқасын таңдаған респонденттердің 60%</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қазіргі уақытта оқуын жалғастыруда,яғни өздерінің магистрант (50%) немесе докторант (10%) ретіндегі негізгі статусын анықтап алған. </w:t>
      </w:r>
    </w:p>
    <w:p w:rsidR="005A3591" w:rsidRPr="005A3591" w:rsidRDefault="005A3591" w:rsidP="005A3591">
      <w:pPr>
        <w:pStyle w:val="a3"/>
        <w:numPr>
          <w:ilvl w:val="0"/>
          <w:numId w:val="3"/>
        </w:numPr>
        <w:tabs>
          <w:tab w:val="left" w:pos="993"/>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Орташа жасы сәйкесінше жоғары емес – 24-25 жас.</w:t>
      </w:r>
    </w:p>
    <w:p w:rsidR="005A3591" w:rsidRPr="005A3591" w:rsidRDefault="005A3591" w:rsidP="005A3591">
      <w:pPr>
        <w:pStyle w:val="a3"/>
        <w:numPr>
          <w:ilvl w:val="0"/>
          <w:numId w:val="3"/>
        </w:numPr>
        <w:tabs>
          <w:tab w:val="left" w:pos="993"/>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Қыздардың </w:t>
      </w:r>
      <w:r w:rsidRPr="009B1C8F">
        <w:rPr>
          <w:rFonts w:ascii="Times New Roman" w:hAnsi="Times New Roman" w:cs="Times New Roman"/>
          <w:sz w:val="24"/>
          <w:szCs w:val="24"/>
          <w:lang w:val="kk-KZ"/>
        </w:rPr>
        <w:t>80%</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 көбінесе некеге тұрмағандар.  </w:t>
      </w:r>
    </w:p>
    <w:p w:rsidR="003056CA" w:rsidRDefault="000841BC" w:rsidP="005A3591">
      <w:pPr>
        <w:tabs>
          <w:tab w:val="left" w:pos="6069"/>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A3591" w:rsidRPr="005A3591">
        <w:rPr>
          <w:rFonts w:ascii="Times New Roman" w:hAnsi="Times New Roman" w:cs="Times New Roman"/>
          <w:sz w:val="24"/>
          <w:szCs w:val="24"/>
          <w:lang w:val="kk-KZ"/>
        </w:rPr>
        <w:t xml:space="preserve">-суреттегі графикте көрсетілгендей, 2008 жыл мен 2012 жылдар арасындағы кезеңде жас ғалымдардың табыс деңгейі туралы мәселеге қатысты жағымды динамика байқалады. Сонымен қатар, ҚР статистика Агенттігінің мәліметтері бойынша орташа айлық жалақы (шілде 2012 ж.) </w:t>
      </w:r>
      <w:r w:rsidR="005A3591" w:rsidRPr="005A3591">
        <w:rPr>
          <w:rFonts w:ascii="Times New Roman" w:eastAsia="Times New Roman" w:hAnsi="Times New Roman" w:cs="Times New Roman"/>
          <w:sz w:val="24"/>
          <w:szCs w:val="24"/>
          <w:lang w:val="kk-KZ"/>
        </w:rPr>
        <w:t>104 896 теңгені құрайтындығын да айта кету керек</w:t>
      </w:r>
      <w:r w:rsidR="005A3591" w:rsidRPr="005A3591">
        <w:rPr>
          <w:rStyle w:val="a6"/>
          <w:rFonts w:ascii="Times New Roman" w:eastAsia="Times New Roman" w:hAnsi="Times New Roman" w:cs="Times New Roman"/>
          <w:sz w:val="24"/>
          <w:szCs w:val="24"/>
          <w:lang w:val="kk-KZ"/>
        </w:rPr>
        <w:footnoteReference w:id="4"/>
      </w:r>
      <w:r w:rsidR="005A3591" w:rsidRPr="005A3591">
        <w:rPr>
          <w:rFonts w:ascii="Times New Roman" w:eastAsia="Times New Roman" w:hAnsi="Times New Roman" w:cs="Times New Roman"/>
          <w:sz w:val="24"/>
          <w:szCs w:val="24"/>
          <w:lang w:val="kk-KZ"/>
        </w:rPr>
        <w:t xml:space="preserve">. </w:t>
      </w:r>
      <w:r w:rsidR="005A3591" w:rsidRPr="005A3591">
        <w:rPr>
          <w:rFonts w:ascii="Times New Roman" w:hAnsi="Times New Roman" w:cs="Times New Roman"/>
          <w:sz w:val="24"/>
          <w:szCs w:val="24"/>
          <w:lang w:val="kk-KZ"/>
        </w:rPr>
        <w:t xml:space="preserve"> </w:t>
      </w:r>
    </w:p>
    <w:p w:rsidR="005A3591" w:rsidRPr="005A3591" w:rsidRDefault="003056CA" w:rsidP="005A3591">
      <w:pPr>
        <w:tabs>
          <w:tab w:val="left" w:pos="6069"/>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5A3591" w:rsidRPr="005A3591">
        <w:rPr>
          <w:rFonts w:ascii="Times New Roman" w:hAnsi="Times New Roman" w:cs="Times New Roman"/>
          <w:sz w:val="24"/>
          <w:szCs w:val="24"/>
          <w:lang w:val="kk-KZ"/>
        </w:rPr>
        <w:t xml:space="preserve">асқаша сөзбен айтқанда, жас ғалымдардың негізгі табысы көп жағдайда Қазақстан бойынша орташастатистикалық көрсеткіштен төмен болып келеді.  </w:t>
      </w:r>
    </w:p>
    <w:p w:rsidR="005A3591" w:rsidRPr="005A3591" w:rsidRDefault="005A3591" w:rsidP="005A3591">
      <w:pPr>
        <w:spacing w:after="0" w:line="240" w:lineRule="auto"/>
        <w:ind w:firstLine="567"/>
        <w:jc w:val="both"/>
        <w:rPr>
          <w:rFonts w:ascii="Times New Roman" w:hAnsi="Times New Roman" w:cs="Times New Roman"/>
          <w:b/>
          <w:sz w:val="24"/>
          <w:szCs w:val="24"/>
          <w:lang w:val="kk-KZ"/>
        </w:rPr>
      </w:pPr>
    </w:p>
    <w:p w:rsidR="00B05EE2" w:rsidRDefault="00B05EE2" w:rsidP="005A3591">
      <w:pPr>
        <w:spacing w:after="0" w:line="240" w:lineRule="auto"/>
        <w:ind w:firstLine="567"/>
        <w:jc w:val="both"/>
        <w:rPr>
          <w:rFonts w:ascii="Times New Roman" w:hAnsi="Times New Roman" w:cs="Times New Roman"/>
          <w:b/>
          <w:sz w:val="20"/>
          <w:szCs w:val="20"/>
          <w:lang w:val="kk-KZ"/>
        </w:rPr>
      </w:pPr>
    </w:p>
    <w:p w:rsidR="00B05EE2" w:rsidRDefault="00B05EE2" w:rsidP="005A3591">
      <w:pPr>
        <w:spacing w:after="0" w:line="240" w:lineRule="auto"/>
        <w:ind w:firstLine="567"/>
        <w:jc w:val="both"/>
        <w:rPr>
          <w:rFonts w:ascii="Times New Roman" w:hAnsi="Times New Roman" w:cs="Times New Roman"/>
          <w:b/>
          <w:sz w:val="20"/>
          <w:szCs w:val="20"/>
          <w:lang w:val="kk-KZ"/>
        </w:rPr>
      </w:pPr>
    </w:p>
    <w:p w:rsidR="005A3591" w:rsidRPr="008D3788" w:rsidRDefault="005A3591" w:rsidP="005A3591">
      <w:pPr>
        <w:spacing w:after="0" w:line="240" w:lineRule="auto"/>
        <w:ind w:firstLine="567"/>
        <w:jc w:val="both"/>
        <w:rPr>
          <w:rFonts w:ascii="Times New Roman" w:hAnsi="Times New Roman" w:cs="Times New Roman"/>
          <w:b/>
          <w:i/>
          <w:sz w:val="20"/>
          <w:szCs w:val="20"/>
          <w:lang w:val="kk-KZ"/>
        </w:rPr>
      </w:pPr>
      <w:r w:rsidRPr="008D3788">
        <w:rPr>
          <w:rFonts w:ascii="Times New Roman" w:hAnsi="Times New Roman" w:cs="Times New Roman"/>
          <w:b/>
          <w:sz w:val="20"/>
          <w:szCs w:val="20"/>
          <w:lang w:val="kk-KZ"/>
        </w:rPr>
        <w:lastRenderedPageBreak/>
        <w:t xml:space="preserve">Сурет </w:t>
      </w:r>
      <w:r w:rsidR="000841BC" w:rsidRPr="008D3788">
        <w:rPr>
          <w:rFonts w:ascii="Times New Roman" w:hAnsi="Times New Roman" w:cs="Times New Roman"/>
          <w:b/>
          <w:sz w:val="20"/>
          <w:szCs w:val="20"/>
          <w:lang w:val="kk-KZ"/>
        </w:rPr>
        <w:t>2</w:t>
      </w:r>
      <w:r w:rsidRPr="008D3788">
        <w:rPr>
          <w:rFonts w:ascii="Times New Roman" w:hAnsi="Times New Roman" w:cs="Times New Roman"/>
          <w:sz w:val="20"/>
          <w:szCs w:val="20"/>
          <w:lang w:val="kk-KZ"/>
        </w:rPr>
        <w:t xml:space="preserve">. </w:t>
      </w:r>
      <w:r w:rsidRPr="008D3788">
        <w:rPr>
          <w:rFonts w:ascii="Times New Roman" w:hAnsi="Times New Roman" w:cs="Times New Roman"/>
          <w:b/>
          <w:sz w:val="20"/>
          <w:szCs w:val="20"/>
          <w:lang w:val="kk-KZ"/>
        </w:rPr>
        <w:t xml:space="preserve">«Негізгі жұмысыңыздағы жалақыңыз қандай? сұрағының жауаптарын бөлу» </w:t>
      </w:r>
      <w:r w:rsidRPr="008D3788">
        <w:rPr>
          <w:rFonts w:ascii="Times New Roman" w:hAnsi="Times New Roman" w:cs="Times New Roman"/>
          <w:sz w:val="20"/>
          <w:szCs w:val="20"/>
          <w:lang w:val="kk-KZ"/>
        </w:rPr>
        <w:t xml:space="preserve">диаграммасы </w:t>
      </w:r>
      <w:r w:rsidRPr="008D3788">
        <w:rPr>
          <w:rFonts w:ascii="Times New Roman" w:hAnsi="Times New Roman" w:cs="Times New Roman"/>
          <w:i/>
          <w:sz w:val="20"/>
          <w:szCs w:val="20"/>
          <w:lang w:val="kk-KZ"/>
        </w:rPr>
        <w:t xml:space="preserve">(респонденттердің жалпы санынан, %). </w:t>
      </w:r>
      <w:r w:rsidRPr="008D3788">
        <w:rPr>
          <w:rFonts w:ascii="Times New Roman" w:hAnsi="Times New Roman" w:cs="Times New Roman"/>
          <w:b/>
          <w:i/>
          <w:sz w:val="20"/>
          <w:szCs w:val="20"/>
          <w:lang w:val="kk-KZ"/>
        </w:rPr>
        <w:t xml:space="preserve"> </w:t>
      </w:r>
    </w:p>
    <w:p w:rsidR="005A3591" w:rsidRPr="005A3591" w:rsidRDefault="005A3591" w:rsidP="005A3591">
      <w:pPr>
        <w:pStyle w:val="3"/>
        <w:tabs>
          <w:tab w:val="left" w:pos="993"/>
        </w:tabs>
        <w:spacing w:after="0"/>
        <w:ind w:left="0" w:firstLine="567"/>
        <w:jc w:val="both"/>
        <w:rPr>
          <w:sz w:val="24"/>
          <w:szCs w:val="24"/>
          <w:lang w:val="kk-KZ"/>
        </w:rPr>
      </w:pPr>
    </w:p>
    <w:p w:rsidR="005A3591" w:rsidRPr="005A3591" w:rsidRDefault="005A3591" w:rsidP="005A3591">
      <w:pPr>
        <w:pStyle w:val="3"/>
        <w:tabs>
          <w:tab w:val="left" w:pos="993"/>
        </w:tabs>
        <w:spacing w:after="0"/>
        <w:ind w:left="0"/>
        <w:jc w:val="center"/>
        <w:rPr>
          <w:sz w:val="24"/>
          <w:szCs w:val="24"/>
        </w:rPr>
      </w:pPr>
      <w:r w:rsidRPr="005A3591">
        <w:rPr>
          <w:noProof/>
          <w:sz w:val="24"/>
          <w:szCs w:val="24"/>
        </w:rPr>
        <w:drawing>
          <wp:inline distT="0" distB="0" distL="0" distR="0">
            <wp:extent cx="5486400" cy="3143250"/>
            <wp:effectExtent l="0" t="0" r="0" b="0"/>
            <wp:docPr id="98" name="Диаграмма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3591" w:rsidRPr="005A3591" w:rsidRDefault="005A3591" w:rsidP="005A3591">
      <w:pPr>
        <w:spacing w:after="0" w:line="240" w:lineRule="auto"/>
        <w:ind w:firstLine="567"/>
        <w:jc w:val="both"/>
        <w:rPr>
          <w:rFonts w:ascii="Times New Roman" w:hAnsi="Times New Roman" w:cs="Times New Roman"/>
          <w:sz w:val="24"/>
          <w:szCs w:val="24"/>
        </w:rPr>
      </w:pP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Жағдайды зерттелінетін аймақтар тұрғысынан талдау </w:t>
      </w:r>
      <w:r w:rsidRPr="005A3591">
        <w:rPr>
          <w:rFonts w:ascii="Times New Roman" w:hAnsi="Times New Roman" w:cs="Times New Roman"/>
          <w:sz w:val="24"/>
          <w:szCs w:val="24"/>
        </w:rPr>
        <w:t>(</w:t>
      </w:r>
      <w:r w:rsidRPr="005A3591">
        <w:rPr>
          <w:rFonts w:ascii="Times New Roman" w:hAnsi="Times New Roman" w:cs="Times New Roman"/>
          <w:sz w:val="24"/>
          <w:szCs w:val="24"/>
          <w:lang w:val="kk-KZ"/>
        </w:rPr>
        <w:t>кесте</w:t>
      </w:r>
      <w:r w:rsidRPr="005A3591">
        <w:rPr>
          <w:rFonts w:ascii="Times New Roman" w:hAnsi="Times New Roman" w:cs="Times New Roman"/>
          <w:sz w:val="24"/>
          <w:szCs w:val="24"/>
        </w:rPr>
        <w:t xml:space="preserve"> 3)</w:t>
      </w:r>
      <w:r w:rsidRPr="005A3591">
        <w:rPr>
          <w:rFonts w:ascii="Times New Roman" w:hAnsi="Times New Roman" w:cs="Times New Roman"/>
          <w:sz w:val="24"/>
          <w:szCs w:val="24"/>
          <w:lang w:val="kk-KZ"/>
        </w:rPr>
        <w:t xml:space="preserve"> көрсеткендей, ең жоғары табыс деңгейі Астана мен Алматы қалаларында тұратын жас ғалымдардың еншісінде екен: Астанадағы респонденттердің </w:t>
      </w:r>
      <w:r w:rsidRPr="005A3591">
        <w:rPr>
          <w:rFonts w:ascii="Times New Roman" w:hAnsi="Times New Roman" w:cs="Times New Roman"/>
          <w:sz w:val="24"/>
          <w:szCs w:val="24"/>
        </w:rPr>
        <w:t>28,0%</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олардың негізгі табысы </w:t>
      </w:r>
      <w:r w:rsidRPr="005A3591">
        <w:rPr>
          <w:rFonts w:ascii="Times New Roman" w:hAnsi="Times New Roman" w:cs="Times New Roman"/>
          <w:sz w:val="24"/>
          <w:szCs w:val="24"/>
        </w:rPr>
        <w:t>100000 те</w:t>
      </w:r>
      <w:r w:rsidRPr="005A3591">
        <w:rPr>
          <w:rFonts w:ascii="Times New Roman" w:hAnsi="Times New Roman" w:cs="Times New Roman"/>
          <w:sz w:val="24"/>
          <w:szCs w:val="24"/>
          <w:lang w:val="kk-KZ"/>
        </w:rPr>
        <w:t>ң</w:t>
      </w:r>
      <w:r w:rsidRPr="005A3591">
        <w:rPr>
          <w:rFonts w:ascii="Times New Roman" w:hAnsi="Times New Roman" w:cs="Times New Roman"/>
          <w:sz w:val="24"/>
          <w:szCs w:val="24"/>
        </w:rPr>
        <w:t>ге</w:t>
      </w:r>
      <w:r w:rsidRPr="005A3591">
        <w:rPr>
          <w:rFonts w:ascii="Times New Roman" w:hAnsi="Times New Roman" w:cs="Times New Roman"/>
          <w:sz w:val="24"/>
          <w:szCs w:val="24"/>
          <w:lang w:val="kk-KZ"/>
        </w:rPr>
        <w:t>ден асатындығын көрсеткен. Алматы бойынша бұл көрсеткіш 27,1%</w:t>
      </w:r>
      <w:r w:rsidR="009B1C8F">
        <w:rPr>
          <w:rFonts w:ascii="Times New Roman" w:hAnsi="Times New Roman" w:cs="Times New Roman"/>
          <w:sz w:val="24"/>
          <w:szCs w:val="24"/>
          <w:lang w:val="kk-KZ"/>
        </w:rPr>
        <w:t>-ды</w:t>
      </w:r>
      <w:r w:rsidRPr="005A3591">
        <w:rPr>
          <w:rFonts w:ascii="Times New Roman" w:hAnsi="Times New Roman" w:cs="Times New Roman"/>
          <w:sz w:val="24"/>
          <w:szCs w:val="24"/>
          <w:lang w:val="kk-KZ"/>
        </w:rPr>
        <w:t xml:space="preserve"> құрайды.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Жалпы зерттеу мәліметтері бойынша, жоғары жалақы көлемі Алматы қаласының жас ғалымдары арасында кездеседі. Респонденттердің жартысынан көбі 85000 теңгеден жоғары (54,2%) жалақы алады екен. Осындай деңгейді табыс көлемін астананың 42% тұрғындары да көрсетті.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Басқа аймақтарда бұл көрсеткіш 14,2%</w:t>
      </w:r>
      <w:r w:rsidR="009B1C8F">
        <w:rPr>
          <w:rFonts w:ascii="Times New Roman" w:hAnsi="Times New Roman" w:cs="Times New Roman"/>
          <w:sz w:val="24"/>
          <w:szCs w:val="24"/>
          <w:lang w:val="kk-KZ"/>
        </w:rPr>
        <w:t xml:space="preserve"> </w:t>
      </w:r>
      <w:r w:rsidRPr="005A3591">
        <w:rPr>
          <w:rFonts w:ascii="Times New Roman" w:hAnsi="Times New Roman" w:cs="Times New Roman"/>
          <w:sz w:val="24"/>
          <w:szCs w:val="24"/>
          <w:lang w:val="kk-KZ"/>
        </w:rPr>
        <w:t>бен (Ақтөбе қ.) 8,0% (Шымкент қ.) пайыз ара</w:t>
      </w:r>
      <w:r w:rsidR="009B1C8F">
        <w:rPr>
          <w:rFonts w:ascii="Times New Roman" w:hAnsi="Times New Roman" w:cs="Times New Roman"/>
          <w:sz w:val="24"/>
          <w:szCs w:val="24"/>
          <w:lang w:val="kk-KZ"/>
        </w:rPr>
        <w:t>лар</w:t>
      </w:r>
      <w:r w:rsidRPr="005A3591">
        <w:rPr>
          <w:rFonts w:ascii="Times New Roman" w:hAnsi="Times New Roman" w:cs="Times New Roman"/>
          <w:sz w:val="24"/>
          <w:szCs w:val="24"/>
          <w:lang w:val="kk-KZ"/>
        </w:rPr>
        <w:t xml:space="preserve">ында ауытқып тұр.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Қалған басым аймақтарда 35000 теңгеден 75000 теңгеге дейінгі жалақы алатын негізгі топты бөліп көрсетуге болады:</w:t>
      </w:r>
    </w:p>
    <w:p w:rsidR="005A3591" w:rsidRPr="005A3591" w:rsidRDefault="005A3591" w:rsidP="005A3591">
      <w:pPr>
        <w:spacing w:after="0" w:line="240" w:lineRule="auto"/>
        <w:ind w:firstLine="567"/>
        <w:jc w:val="both"/>
        <w:rPr>
          <w:rFonts w:ascii="Times New Roman" w:eastAsia="Times New Roman" w:hAnsi="Times New Roman" w:cs="Times New Roman"/>
          <w:color w:val="000000"/>
          <w:sz w:val="24"/>
          <w:szCs w:val="24"/>
          <w:lang w:val="kk-KZ"/>
        </w:rPr>
      </w:pPr>
      <w:r w:rsidRPr="005A3591">
        <w:rPr>
          <w:rFonts w:ascii="Times New Roman" w:eastAsia="Times New Roman" w:hAnsi="Times New Roman" w:cs="Times New Roman"/>
          <w:color w:val="000000"/>
          <w:sz w:val="24"/>
          <w:szCs w:val="24"/>
          <w:lang w:val="kk-KZ"/>
        </w:rPr>
        <w:t xml:space="preserve">- Ақтөбе облысы (Ақтөбе қ.) – </w:t>
      </w:r>
      <w:r w:rsidRPr="005A3591">
        <w:rPr>
          <w:rFonts w:ascii="Times New Roman" w:eastAsia="Times New Roman" w:hAnsi="Times New Roman" w:cs="Times New Roman"/>
          <w:color w:val="000000"/>
          <w:sz w:val="24"/>
          <w:szCs w:val="24"/>
          <w:lang w:val="kk-KZ"/>
        </w:rPr>
        <w:tab/>
        <w:t xml:space="preserve">                   </w:t>
      </w:r>
      <w:r w:rsidRPr="005A3591">
        <w:rPr>
          <w:rFonts w:ascii="Times New Roman" w:eastAsia="Times New Roman" w:hAnsi="Times New Roman" w:cs="Times New Roman"/>
          <w:color w:val="000000"/>
          <w:sz w:val="24"/>
          <w:szCs w:val="24"/>
          <w:lang w:val="kk-KZ"/>
        </w:rPr>
        <w:tab/>
        <w:t xml:space="preserve"> 59,9%</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 Батыс Қазақстан облысы (Орал қ.)  </w:t>
      </w:r>
      <w:r w:rsidRPr="005A3591">
        <w:rPr>
          <w:rFonts w:ascii="Times New Roman" w:eastAsia="Times New Roman" w:hAnsi="Times New Roman" w:cs="Times New Roman"/>
          <w:color w:val="000000"/>
          <w:sz w:val="24"/>
          <w:szCs w:val="24"/>
          <w:lang w:val="kk-KZ"/>
        </w:rPr>
        <w:t xml:space="preserve">–          </w:t>
      </w:r>
      <w:r w:rsidRPr="005A3591">
        <w:rPr>
          <w:rFonts w:ascii="Times New Roman" w:hAnsi="Times New Roman" w:cs="Times New Roman"/>
          <w:sz w:val="24"/>
          <w:szCs w:val="24"/>
          <w:lang w:val="kk-KZ"/>
        </w:rPr>
        <w:t xml:space="preserve"> </w:t>
      </w:r>
      <w:r w:rsidRPr="005A3591">
        <w:rPr>
          <w:rFonts w:ascii="Times New Roman" w:hAnsi="Times New Roman" w:cs="Times New Roman"/>
          <w:sz w:val="24"/>
          <w:szCs w:val="24"/>
          <w:lang w:val="kk-KZ"/>
        </w:rPr>
        <w:tab/>
      </w:r>
      <w:r w:rsidRPr="005A3591">
        <w:rPr>
          <w:rFonts w:ascii="Times New Roman" w:eastAsia="Times New Roman" w:hAnsi="Times New Roman" w:cs="Times New Roman"/>
          <w:color w:val="000000"/>
          <w:sz w:val="24"/>
          <w:szCs w:val="24"/>
          <w:lang w:val="kk-KZ"/>
        </w:rPr>
        <w:t>58,20%</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 Оңтүстік Қазақстан облысы (Шымкент қ.) </w:t>
      </w:r>
      <w:r w:rsidRPr="005A3591">
        <w:rPr>
          <w:rFonts w:ascii="Times New Roman" w:eastAsia="Times New Roman" w:hAnsi="Times New Roman" w:cs="Times New Roman"/>
          <w:color w:val="000000"/>
          <w:sz w:val="24"/>
          <w:szCs w:val="24"/>
          <w:lang w:val="kk-KZ"/>
        </w:rPr>
        <w:t>–</w:t>
      </w:r>
      <w:r w:rsidRPr="005A3591">
        <w:rPr>
          <w:rFonts w:ascii="Times New Roman" w:hAnsi="Times New Roman" w:cs="Times New Roman"/>
          <w:sz w:val="24"/>
          <w:szCs w:val="24"/>
          <w:lang w:val="kk-KZ"/>
        </w:rPr>
        <w:t xml:space="preserve"> </w:t>
      </w:r>
      <w:r w:rsidRPr="005A3591">
        <w:rPr>
          <w:rFonts w:ascii="Times New Roman" w:hAnsi="Times New Roman" w:cs="Times New Roman"/>
          <w:sz w:val="24"/>
          <w:szCs w:val="24"/>
          <w:lang w:val="kk-KZ"/>
        </w:rPr>
        <w:tab/>
      </w:r>
      <w:r w:rsidRPr="005A3591">
        <w:rPr>
          <w:rFonts w:ascii="Times New Roman" w:eastAsia="Times New Roman" w:hAnsi="Times New Roman" w:cs="Times New Roman"/>
          <w:color w:val="000000"/>
          <w:sz w:val="24"/>
          <w:szCs w:val="24"/>
          <w:lang w:val="kk-KZ"/>
        </w:rPr>
        <w:t>58,00%</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Қарағанды облысы (Қарағанды қ.)</w:t>
      </w:r>
      <w:r w:rsidRPr="005A3591">
        <w:rPr>
          <w:rFonts w:ascii="Times New Roman" w:eastAsia="Times New Roman" w:hAnsi="Times New Roman" w:cs="Times New Roman"/>
          <w:color w:val="000000"/>
          <w:sz w:val="24"/>
          <w:szCs w:val="24"/>
          <w:lang w:val="kk-KZ"/>
        </w:rPr>
        <w:t xml:space="preserve"> – </w:t>
      </w:r>
      <w:r w:rsidRPr="005A3591">
        <w:rPr>
          <w:rFonts w:ascii="Times New Roman" w:eastAsia="Times New Roman" w:hAnsi="Times New Roman" w:cs="Times New Roman"/>
          <w:color w:val="000000"/>
          <w:sz w:val="24"/>
          <w:szCs w:val="24"/>
          <w:lang w:val="kk-KZ"/>
        </w:rPr>
        <w:tab/>
      </w:r>
      <w:r w:rsidRPr="005A3591">
        <w:rPr>
          <w:rFonts w:ascii="Times New Roman" w:eastAsia="Times New Roman" w:hAnsi="Times New Roman" w:cs="Times New Roman"/>
          <w:color w:val="000000"/>
          <w:sz w:val="24"/>
          <w:szCs w:val="24"/>
          <w:lang w:val="kk-KZ"/>
        </w:rPr>
        <w:tab/>
        <w:t xml:space="preserve"> 52,20%</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p>
    <w:p w:rsidR="005A3591" w:rsidRPr="008D3788" w:rsidRDefault="000841BC" w:rsidP="005A3591">
      <w:pPr>
        <w:spacing w:after="0" w:line="240" w:lineRule="auto"/>
        <w:ind w:firstLine="567"/>
        <w:jc w:val="both"/>
        <w:rPr>
          <w:rFonts w:ascii="Times New Roman" w:hAnsi="Times New Roman" w:cs="Times New Roman"/>
          <w:i/>
          <w:sz w:val="20"/>
          <w:szCs w:val="20"/>
          <w:lang w:val="kk-KZ"/>
        </w:rPr>
      </w:pPr>
      <w:r w:rsidRPr="008D3788">
        <w:rPr>
          <w:rFonts w:ascii="Times New Roman" w:hAnsi="Times New Roman" w:cs="Times New Roman"/>
          <w:b/>
          <w:sz w:val="20"/>
          <w:szCs w:val="20"/>
          <w:lang w:val="kk-KZ"/>
        </w:rPr>
        <w:t xml:space="preserve">Кесте </w:t>
      </w:r>
      <w:r w:rsidR="005A3591" w:rsidRPr="008D3788">
        <w:rPr>
          <w:rFonts w:ascii="Times New Roman" w:hAnsi="Times New Roman" w:cs="Times New Roman"/>
          <w:b/>
          <w:sz w:val="20"/>
          <w:szCs w:val="20"/>
          <w:lang w:val="kk-KZ"/>
        </w:rPr>
        <w:t>3</w:t>
      </w:r>
      <w:r w:rsidR="005A3591" w:rsidRPr="008D3788">
        <w:rPr>
          <w:rFonts w:ascii="Times New Roman" w:hAnsi="Times New Roman" w:cs="Times New Roman"/>
          <w:b/>
          <w:i/>
          <w:sz w:val="20"/>
          <w:szCs w:val="20"/>
          <w:lang w:val="kk-KZ"/>
        </w:rPr>
        <w:t xml:space="preserve"> – </w:t>
      </w:r>
      <w:r w:rsidR="005A3591" w:rsidRPr="008D3788">
        <w:rPr>
          <w:rFonts w:ascii="Times New Roman" w:hAnsi="Times New Roman" w:cs="Times New Roman"/>
          <w:sz w:val="20"/>
          <w:szCs w:val="20"/>
          <w:lang w:val="kk-KZ"/>
        </w:rPr>
        <w:t>Қазақстанның аймақтары бойынша жас ғалымдардың табыс деңгейі</w:t>
      </w:r>
      <w:r w:rsidR="005A3591" w:rsidRPr="008D3788">
        <w:rPr>
          <w:rFonts w:ascii="Times New Roman" w:hAnsi="Times New Roman" w:cs="Times New Roman"/>
          <w:i/>
          <w:sz w:val="20"/>
          <w:szCs w:val="20"/>
          <w:lang w:val="kk-KZ"/>
        </w:rPr>
        <w:t xml:space="preserve"> (респонденттердің жалпы санынан, %).</w:t>
      </w:r>
    </w:p>
    <w:p w:rsidR="005A3591" w:rsidRPr="005A3591" w:rsidRDefault="005A3591" w:rsidP="005A3591">
      <w:pPr>
        <w:spacing w:after="0" w:line="240" w:lineRule="auto"/>
        <w:ind w:firstLine="567"/>
        <w:jc w:val="both"/>
        <w:rPr>
          <w:rFonts w:ascii="Times New Roman" w:hAnsi="Times New Roman" w:cs="Times New Roman"/>
          <w:i/>
          <w:sz w:val="24"/>
          <w:szCs w:val="24"/>
          <w:lang w:val="kk-KZ"/>
        </w:rPr>
      </w:pPr>
    </w:p>
    <w:tbl>
      <w:tblPr>
        <w:tblStyle w:val="-11"/>
        <w:tblW w:w="9748" w:type="dxa"/>
        <w:tblLayout w:type="fixed"/>
        <w:tblLook w:val="04A0"/>
      </w:tblPr>
      <w:tblGrid>
        <w:gridCol w:w="437"/>
        <w:gridCol w:w="1656"/>
        <w:gridCol w:w="747"/>
        <w:gridCol w:w="748"/>
        <w:gridCol w:w="748"/>
        <w:gridCol w:w="735"/>
        <w:gridCol w:w="13"/>
        <w:gridCol w:w="737"/>
        <w:gridCol w:w="11"/>
        <w:gridCol w:w="739"/>
        <w:gridCol w:w="8"/>
        <w:gridCol w:w="742"/>
        <w:gridCol w:w="6"/>
        <w:gridCol w:w="861"/>
        <w:gridCol w:w="851"/>
        <w:gridCol w:w="709"/>
      </w:tblGrid>
      <w:tr w:rsidR="005A3591" w:rsidRPr="005A3591" w:rsidTr="00CF5069">
        <w:trPr>
          <w:cnfStyle w:val="100000000000"/>
        </w:trPr>
        <w:tc>
          <w:tcPr>
            <w:cnfStyle w:val="001000000000"/>
            <w:tcW w:w="437" w:type="dxa"/>
            <w:vMerge w:val="restart"/>
            <w:tcBorders>
              <w:bottom w:val="single" w:sz="18" w:space="0" w:color="365F91" w:themeColor="accent1" w:themeShade="BF"/>
            </w:tcBorders>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w:t>
            </w:r>
          </w:p>
        </w:tc>
        <w:tc>
          <w:tcPr>
            <w:tcW w:w="1656" w:type="dxa"/>
            <w:vMerge w:val="restart"/>
            <w:tcBorders>
              <w:bottom w:val="single" w:sz="18" w:space="0" w:color="4B4B7D"/>
            </w:tcBorders>
            <w:vAlign w:val="center"/>
            <w:hideMark/>
          </w:tcPr>
          <w:p w:rsidR="005A3591" w:rsidRPr="00F64EE3" w:rsidRDefault="005A3591" w:rsidP="005A3591">
            <w:pPr>
              <w:jc w:val="center"/>
              <w:cnfStyle w:val="100000000000"/>
              <w:rPr>
                <w:rFonts w:ascii="Times New Roman" w:hAnsi="Times New Roman" w:cs="Times New Roman"/>
                <w:sz w:val="20"/>
                <w:szCs w:val="20"/>
                <w:lang w:val="kk-KZ"/>
              </w:rPr>
            </w:pPr>
            <w:r w:rsidRPr="00F64EE3">
              <w:rPr>
                <w:rFonts w:ascii="Times New Roman" w:hAnsi="Times New Roman" w:cs="Times New Roman"/>
                <w:sz w:val="20"/>
                <w:szCs w:val="20"/>
                <w:lang w:val="kk-KZ"/>
              </w:rPr>
              <w:t>Аймақтар</w:t>
            </w:r>
          </w:p>
        </w:tc>
        <w:tc>
          <w:tcPr>
            <w:tcW w:w="7655" w:type="dxa"/>
            <w:gridSpan w:val="14"/>
            <w:tcBorders>
              <w:bottom w:val="single" w:sz="4" w:space="0" w:color="365F91" w:themeColor="accent1" w:themeShade="BF"/>
            </w:tcBorders>
            <w:hideMark/>
          </w:tcPr>
          <w:p w:rsidR="005A3591" w:rsidRPr="00F64EE3" w:rsidRDefault="005A3591" w:rsidP="005A3591">
            <w:pPr>
              <w:jc w:val="center"/>
              <w:cnfStyle w:val="100000000000"/>
              <w:rPr>
                <w:rFonts w:ascii="Times New Roman" w:hAnsi="Times New Roman" w:cs="Times New Roman"/>
                <w:sz w:val="20"/>
                <w:szCs w:val="20"/>
              </w:rPr>
            </w:pPr>
            <w:r w:rsidRPr="00F64EE3">
              <w:rPr>
                <w:rFonts w:ascii="Times New Roman" w:hAnsi="Times New Roman" w:cs="Times New Roman"/>
                <w:sz w:val="20"/>
                <w:szCs w:val="20"/>
                <w:lang w:val="kk-KZ"/>
              </w:rPr>
              <w:t>Жауап нұсқалары</w:t>
            </w:r>
            <w:r w:rsidRPr="00F64EE3">
              <w:rPr>
                <w:rFonts w:ascii="Times New Roman" w:hAnsi="Times New Roman" w:cs="Times New Roman"/>
                <w:sz w:val="20"/>
                <w:szCs w:val="20"/>
              </w:rPr>
              <w:t xml:space="preserve"> </w:t>
            </w:r>
          </w:p>
        </w:tc>
      </w:tr>
      <w:tr w:rsidR="005A3591" w:rsidRPr="005A3591" w:rsidTr="00CF5069">
        <w:trPr>
          <w:cnfStyle w:val="000000100000"/>
          <w:cantSplit/>
          <w:trHeight w:val="1616"/>
        </w:trPr>
        <w:tc>
          <w:tcPr>
            <w:cnfStyle w:val="001000000000"/>
            <w:tcW w:w="437" w:type="dxa"/>
            <w:vMerge/>
            <w:tcBorders>
              <w:bottom w:val="single" w:sz="18" w:space="0" w:color="365F91" w:themeColor="accent1" w:themeShade="BF"/>
            </w:tcBorders>
            <w:vAlign w:val="center"/>
            <w:hideMark/>
          </w:tcPr>
          <w:p w:rsidR="005A3591" w:rsidRPr="00F64EE3" w:rsidRDefault="005A3591" w:rsidP="005A3591">
            <w:pPr>
              <w:rPr>
                <w:rFonts w:ascii="Times New Roman" w:hAnsi="Times New Roman" w:cs="Times New Roman"/>
                <w:sz w:val="20"/>
                <w:szCs w:val="20"/>
              </w:rPr>
            </w:pPr>
          </w:p>
        </w:tc>
        <w:tc>
          <w:tcPr>
            <w:tcW w:w="1656" w:type="dxa"/>
            <w:vMerge/>
            <w:tcBorders>
              <w:bottom w:val="single" w:sz="18" w:space="0" w:color="4B4B7D"/>
            </w:tcBorders>
            <w:vAlign w:val="center"/>
            <w:hideMark/>
          </w:tcPr>
          <w:p w:rsidR="005A3591" w:rsidRPr="00F64EE3" w:rsidRDefault="005A3591" w:rsidP="005A3591">
            <w:pPr>
              <w:cnfStyle w:val="000000100000"/>
              <w:rPr>
                <w:rFonts w:ascii="Times New Roman" w:eastAsiaTheme="majorEastAsia" w:hAnsi="Times New Roman" w:cs="Times New Roman"/>
                <w:b/>
                <w:bCs/>
                <w:sz w:val="20"/>
                <w:szCs w:val="20"/>
              </w:rPr>
            </w:pPr>
          </w:p>
        </w:tc>
        <w:tc>
          <w:tcPr>
            <w:tcW w:w="747" w:type="dxa"/>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rPr>
              <w:t xml:space="preserve">7000 </w:t>
            </w:r>
            <w:r w:rsidRPr="00F64EE3">
              <w:rPr>
                <w:rFonts w:ascii="Times New Roman" w:hAnsi="Times New Roman" w:cs="Times New Roman"/>
                <w:sz w:val="20"/>
                <w:szCs w:val="20"/>
                <w:lang w:val="kk-KZ"/>
              </w:rPr>
              <w:t>тг.-ден</w:t>
            </w:r>
            <w:r w:rsidRPr="00F64EE3">
              <w:rPr>
                <w:rFonts w:ascii="Times New Roman" w:hAnsi="Times New Roman" w:cs="Times New Roman"/>
                <w:sz w:val="20"/>
                <w:szCs w:val="20"/>
              </w:rPr>
              <w:t xml:space="preserve"> 20000 тг.</w:t>
            </w:r>
            <w:r w:rsidRPr="00F64EE3">
              <w:rPr>
                <w:rFonts w:ascii="Times New Roman" w:hAnsi="Times New Roman" w:cs="Times New Roman"/>
                <w:sz w:val="20"/>
                <w:szCs w:val="20"/>
                <w:lang w:val="kk-KZ"/>
              </w:rPr>
              <w:t xml:space="preserve"> дейін</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rPr>
            </w:pPr>
          </w:p>
        </w:tc>
        <w:tc>
          <w:tcPr>
            <w:tcW w:w="748" w:type="dxa"/>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 xml:space="preserve">20001 </w:t>
            </w:r>
            <w:r w:rsidRPr="00F64EE3">
              <w:rPr>
                <w:rFonts w:ascii="Times New Roman" w:hAnsi="Times New Roman" w:cs="Times New Roman"/>
                <w:sz w:val="20"/>
                <w:szCs w:val="20"/>
                <w:lang w:val="kk-KZ"/>
              </w:rPr>
              <w:t>тг.-ден</w:t>
            </w:r>
            <w:r w:rsidRPr="00F64EE3">
              <w:rPr>
                <w:rFonts w:ascii="Times New Roman" w:hAnsi="Times New Roman" w:cs="Times New Roman"/>
                <w:sz w:val="20"/>
                <w:szCs w:val="20"/>
              </w:rPr>
              <w:t xml:space="preserve"> 35000 тг.</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 xml:space="preserve"> дейін</w:t>
            </w:r>
          </w:p>
        </w:tc>
        <w:tc>
          <w:tcPr>
            <w:tcW w:w="748" w:type="dxa"/>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rPr>
              <w:t xml:space="preserve">35001 </w:t>
            </w:r>
            <w:r w:rsidRPr="00F64EE3">
              <w:rPr>
                <w:rFonts w:ascii="Times New Roman" w:hAnsi="Times New Roman" w:cs="Times New Roman"/>
                <w:sz w:val="20"/>
                <w:szCs w:val="20"/>
                <w:lang w:val="kk-KZ"/>
              </w:rPr>
              <w:t>тг.-ден</w:t>
            </w:r>
            <w:r w:rsidRPr="00F64EE3">
              <w:rPr>
                <w:rFonts w:ascii="Times New Roman" w:hAnsi="Times New Roman" w:cs="Times New Roman"/>
                <w:sz w:val="20"/>
                <w:szCs w:val="20"/>
              </w:rPr>
              <w:t xml:space="preserve"> 45000 тг.</w:t>
            </w:r>
            <w:r w:rsidRPr="00F64EE3">
              <w:rPr>
                <w:rFonts w:ascii="Times New Roman" w:hAnsi="Times New Roman" w:cs="Times New Roman"/>
                <w:sz w:val="20"/>
                <w:szCs w:val="20"/>
                <w:lang w:val="kk-KZ"/>
              </w:rPr>
              <w:t xml:space="preserve"> дейін</w:t>
            </w:r>
          </w:p>
          <w:p w:rsidR="005A3591" w:rsidRPr="00F64EE3" w:rsidRDefault="005A3591" w:rsidP="005A3591">
            <w:pPr>
              <w:ind w:firstLine="10"/>
              <w:jc w:val="center"/>
              <w:cnfStyle w:val="000000100000"/>
              <w:rPr>
                <w:rFonts w:ascii="Times New Roman" w:hAnsi="Times New Roman" w:cs="Times New Roman"/>
                <w:sz w:val="20"/>
                <w:szCs w:val="20"/>
              </w:rPr>
            </w:pPr>
          </w:p>
        </w:tc>
        <w:tc>
          <w:tcPr>
            <w:tcW w:w="748" w:type="dxa"/>
            <w:gridSpan w:val="2"/>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45001</w:t>
            </w:r>
            <w:r w:rsidRPr="00F64EE3">
              <w:rPr>
                <w:rFonts w:ascii="Times New Roman" w:hAnsi="Times New Roman" w:cs="Times New Roman"/>
                <w:sz w:val="20"/>
                <w:szCs w:val="20"/>
                <w:lang w:val="kk-KZ"/>
              </w:rPr>
              <w:t xml:space="preserve"> тг.-ден</w:t>
            </w:r>
            <w:r w:rsidRPr="00F64EE3">
              <w:rPr>
                <w:rFonts w:ascii="Times New Roman" w:hAnsi="Times New Roman" w:cs="Times New Roman"/>
                <w:sz w:val="20"/>
                <w:szCs w:val="20"/>
              </w:rPr>
              <w:t xml:space="preserve"> 55000 тг.</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 xml:space="preserve"> дейін</w:t>
            </w:r>
          </w:p>
        </w:tc>
        <w:tc>
          <w:tcPr>
            <w:tcW w:w="748" w:type="dxa"/>
            <w:gridSpan w:val="2"/>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 xml:space="preserve">55001 </w:t>
            </w:r>
            <w:r w:rsidRPr="00F64EE3">
              <w:rPr>
                <w:rFonts w:ascii="Times New Roman" w:hAnsi="Times New Roman" w:cs="Times New Roman"/>
                <w:sz w:val="20"/>
                <w:szCs w:val="20"/>
                <w:lang w:val="kk-KZ"/>
              </w:rPr>
              <w:t xml:space="preserve">тг.-ден </w:t>
            </w:r>
            <w:r w:rsidRPr="00F64EE3">
              <w:rPr>
                <w:rFonts w:ascii="Times New Roman" w:hAnsi="Times New Roman" w:cs="Times New Roman"/>
                <w:sz w:val="20"/>
                <w:szCs w:val="20"/>
              </w:rPr>
              <w:t>65000 тг.</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дейін</w:t>
            </w:r>
          </w:p>
        </w:tc>
        <w:tc>
          <w:tcPr>
            <w:tcW w:w="747" w:type="dxa"/>
            <w:gridSpan w:val="2"/>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 xml:space="preserve">65001 </w:t>
            </w:r>
            <w:r w:rsidRPr="00F64EE3">
              <w:rPr>
                <w:rFonts w:ascii="Times New Roman" w:hAnsi="Times New Roman" w:cs="Times New Roman"/>
                <w:sz w:val="20"/>
                <w:szCs w:val="20"/>
                <w:lang w:val="kk-KZ"/>
              </w:rPr>
              <w:t>тг.-ден</w:t>
            </w:r>
            <w:r w:rsidRPr="00F64EE3">
              <w:rPr>
                <w:rFonts w:ascii="Times New Roman" w:hAnsi="Times New Roman" w:cs="Times New Roman"/>
                <w:sz w:val="20"/>
                <w:szCs w:val="20"/>
              </w:rPr>
              <w:t xml:space="preserve"> 75000 тг.</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дейін</w:t>
            </w:r>
          </w:p>
        </w:tc>
        <w:tc>
          <w:tcPr>
            <w:tcW w:w="748" w:type="dxa"/>
            <w:gridSpan w:val="2"/>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 xml:space="preserve">75001 </w:t>
            </w:r>
            <w:r w:rsidRPr="00F64EE3">
              <w:rPr>
                <w:rFonts w:ascii="Times New Roman" w:hAnsi="Times New Roman" w:cs="Times New Roman"/>
                <w:sz w:val="20"/>
                <w:szCs w:val="20"/>
                <w:lang w:val="kk-KZ"/>
              </w:rPr>
              <w:t>тг.-ден</w:t>
            </w:r>
            <w:r w:rsidRPr="00F64EE3">
              <w:rPr>
                <w:rFonts w:ascii="Times New Roman" w:hAnsi="Times New Roman" w:cs="Times New Roman"/>
                <w:sz w:val="20"/>
                <w:szCs w:val="20"/>
              </w:rPr>
              <w:t xml:space="preserve"> 85000 тг.</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дейін</w:t>
            </w:r>
          </w:p>
        </w:tc>
        <w:tc>
          <w:tcPr>
            <w:tcW w:w="861" w:type="dxa"/>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 xml:space="preserve"> 85001 </w:t>
            </w:r>
            <w:r w:rsidRPr="00F64EE3">
              <w:rPr>
                <w:rFonts w:ascii="Times New Roman" w:hAnsi="Times New Roman" w:cs="Times New Roman"/>
                <w:sz w:val="20"/>
                <w:szCs w:val="20"/>
                <w:lang w:val="kk-KZ"/>
              </w:rPr>
              <w:t>тг.-ден</w:t>
            </w:r>
            <w:r w:rsidRPr="00F64EE3">
              <w:rPr>
                <w:rFonts w:ascii="Times New Roman" w:hAnsi="Times New Roman" w:cs="Times New Roman"/>
                <w:sz w:val="20"/>
                <w:szCs w:val="20"/>
              </w:rPr>
              <w:t xml:space="preserve"> 100000 тг.</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 xml:space="preserve"> дейін</w:t>
            </w:r>
          </w:p>
        </w:tc>
        <w:tc>
          <w:tcPr>
            <w:tcW w:w="851" w:type="dxa"/>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rPr>
              <w:t>100001 тг.</w:t>
            </w:r>
            <w:r w:rsidRPr="00F64EE3">
              <w:rPr>
                <w:rFonts w:ascii="Times New Roman" w:hAnsi="Times New Roman" w:cs="Times New Roman"/>
                <w:sz w:val="20"/>
                <w:szCs w:val="20"/>
                <w:lang w:val="kk-KZ"/>
              </w:rPr>
              <w:t>-ден жоғары</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rPr>
            </w:pPr>
          </w:p>
        </w:tc>
        <w:tc>
          <w:tcPr>
            <w:tcW w:w="709" w:type="dxa"/>
            <w:tcBorders>
              <w:top w:val="single" w:sz="4" w:space="0" w:color="365F91" w:themeColor="accent1" w:themeShade="BF"/>
              <w:bottom w:val="single" w:sz="18" w:space="0" w:color="4B4B7D"/>
            </w:tcBorders>
            <w:textDirection w:val="btLr"/>
          </w:tcPr>
          <w:p w:rsidR="005A3591" w:rsidRPr="00F64EE3" w:rsidRDefault="005A3591" w:rsidP="005A3591">
            <w:pPr>
              <w:ind w:firstLine="10"/>
              <w:jc w:val="cente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Жауап беруге қиналғандар</w:t>
            </w:r>
          </w:p>
          <w:p w:rsidR="005A3591" w:rsidRPr="00F64EE3" w:rsidRDefault="005A3591" w:rsidP="005A3591">
            <w:pPr>
              <w:pStyle w:val="a3"/>
              <w:tabs>
                <w:tab w:val="left" w:pos="840"/>
              </w:tabs>
              <w:ind w:left="0" w:firstLine="10"/>
              <w:jc w:val="center"/>
              <w:cnfStyle w:val="000000100000"/>
              <w:rPr>
                <w:rFonts w:ascii="Times New Roman" w:hAnsi="Times New Roman" w:cs="Times New Roman"/>
                <w:sz w:val="20"/>
                <w:szCs w:val="20"/>
              </w:rPr>
            </w:pPr>
          </w:p>
        </w:tc>
      </w:tr>
      <w:tr w:rsidR="005A3591" w:rsidRPr="005A3591" w:rsidTr="00CF5069">
        <w:trPr>
          <w:cnfStyle w:val="000000010000"/>
        </w:trPr>
        <w:tc>
          <w:tcPr>
            <w:cnfStyle w:val="001000000000"/>
            <w:tcW w:w="437" w:type="dxa"/>
            <w:tcBorders>
              <w:top w:val="single" w:sz="18" w:space="0" w:color="365F91" w:themeColor="accent1" w:themeShade="BF"/>
            </w:tcBorders>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1</w:t>
            </w:r>
          </w:p>
        </w:tc>
        <w:tc>
          <w:tcPr>
            <w:tcW w:w="1656" w:type="dxa"/>
            <w:tcBorders>
              <w:top w:val="single" w:sz="18" w:space="0" w:color="4B4B7D"/>
            </w:tcBorders>
            <w:vAlign w:val="center"/>
            <w:hideMark/>
          </w:tcPr>
          <w:p w:rsidR="005A3591" w:rsidRPr="00F64EE3" w:rsidRDefault="005A3591" w:rsidP="005A3591">
            <w:pPr>
              <w:tabs>
                <w:tab w:val="left" w:pos="318"/>
                <w:tab w:val="left" w:pos="459"/>
              </w:tabs>
              <w:cnfStyle w:val="000000010000"/>
              <w:rPr>
                <w:rFonts w:ascii="Times New Roman" w:hAnsi="Times New Roman" w:cs="Times New Roman"/>
                <w:sz w:val="20"/>
                <w:szCs w:val="20"/>
              </w:rPr>
            </w:pPr>
            <w:r w:rsidRPr="00F64EE3">
              <w:rPr>
                <w:rFonts w:ascii="Times New Roman" w:eastAsia="Times New Roman" w:hAnsi="Times New Roman" w:cs="Times New Roman"/>
                <w:color w:val="000000"/>
                <w:sz w:val="20"/>
                <w:szCs w:val="20"/>
                <w:lang w:val="kk-KZ" w:eastAsia="ru-RU"/>
              </w:rPr>
              <w:t>Ақтөбе облысы (Ақтөбе қ.)</w:t>
            </w:r>
          </w:p>
        </w:tc>
        <w:tc>
          <w:tcPr>
            <w:tcW w:w="747"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2,8%</w:t>
            </w:r>
          </w:p>
        </w:tc>
        <w:tc>
          <w:tcPr>
            <w:tcW w:w="748"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8,5%</w:t>
            </w:r>
          </w:p>
        </w:tc>
        <w:tc>
          <w:tcPr>
            <w:tcW w:w="748"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2,8%</w:t>
            </w:r>
          </w:p>
        </w:tc>
        <w:tc>
          <w:tcPr>
            <w:tcW w:w="748" w:type="dxa"/>
            <w:gridSpan w:val="2"/>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11,4%</w:t>
            </w:r>
          </w:p>
        </w:tc>
        <w:tc>
          <w:tcPr>
            <w:tcW w:w="748" w:type="dxa"/>
            <w:gridSpan w:val="2"/>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25,7%</w:t>
            </w:r>
          </w:p>
        </w:tc>
        <w:tc>
          <w:tcPr>
            <w:tcW w:w="747" w:type="dxa"/>
            <w:gridSpan w:val="2"/>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20%</w:t>
            </w:r>
          </w:p>
        </w:tc>
        <w:tc>
          <w:tcPr>
            <w:tcW w:w="748" w:type="dxa"/>
            <w:gridSpan w:val="2"/>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5,7%</w:t>
            </w:r>
          </w:p>
        </w:tc>
        <w:tc>
          <w:tcPr>
            <w:tcW w:w="861"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5,7%</w:t>
            </w:r>
          </w:p>
        </w:tc>
        <w:tc>
          <w:tcPr>
            <w:tcW w:w="851"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8,5%</w:t>
            </w:r>
          </w:p>
        </w:tc>
        <w:tc>
          <w:tcPr>
            <w:tcW w:w="709" w:type="dxa"/>
            <w:tcBorders>
              <w:top w:val="single" w:sz="18" w:space="0" w:color="4B4B7D"/>
            </w:tcBorders>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8,5%</w:t>
            </w:r>
          </w:p>
        </w:tc>
      </w:tr>
      <w:tr w:rsidR="005A3591" w:rsidRPr="005A3591" w:rsidTr="00CF5069">
        <w:trPr>
          <w:cnfStyle w:val="000000100000"/>
        </w:trPr>
        <w:tc>
          <w:tcPr>
            <w:cnfStyle w:val="001000000000"/>
            <w:tcW w:w="437"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2</w:t>
            </w:r>
          </w:p>
        </w:tc>
        <w:tc>
          <w:tcPr>
            <w:tcW w:w="1656" w:type="dxa"/>
          </w:tcPr>
          <w:p w:rsidR="005A3591" w:rsidRPr="00F64EE3" w:rsidRDefault="005A3591" w:rsidP="005A3591">
            <w:pPr>
              <w:tabs>
                <w:tab w:val="left" w:pos="840"/>
              </w:tabs>
              <w:cnfStyle w:val="000000100000"/>
              <w:rPr>
                <w:rFonts w:ascii="Times New Roman" w:hAnsi="Times New Roman" w:cs="Times New Roman"/>
                <w:sz w:val="20"/>
                <w:szCs w:val="20"/>
                <w:lang w:val="kk-KZ"/>
              </w:rPr>
            </w:pPr>
            <w:r w:rsidRPr="00F64EE3">
              <w:rPr>
                <w:rFonts w:ascii="Times New Roman" w:hAnsi="Times New Roman" w:cs="Times New Roman"/>
                <w:sz w:val="20"/>
                <w:szCs w:val="20"/>
              </w:rPr>
              <w:t xml:space="preserve"> Алматы</w:t>
            </w:r>
            <w:r w:rsidRPr="00F64EE3">
              <w:rPr>
                <w:rFonts w:ascii="Times New Roman" w:hAnsi="Times New Roman" w:cs="Times New Roman"/>
                <w:bCs/>
                <w:sz w:val="20"/>
                <w:szCs w:val="20"/>
              </w:rPr>
              <w:t xml:space="preserve"> </w:t>
            </w:r>
            <w:r w:rsidRPr="00F64EE3">
              <w:rPr>
                <w:rFonts w:ascii="Times New Roman" w:hAnsi="Times New Roman" w:cs="Times New Roman"/>
                <w:bCs/>
                <w:sz w:val="20"/>
                <w:szCs w:val="20"/>
                <w:lang w:val="kk-KZ"/>
              </w:rPr>
              <w:t>қ.</w:t>
            </w:r>
          </w:p>
        </w:tc>
        <w:tc>
          <w:tcPr>
            <w:tcW w:w="747"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3,3%</w:t>
            </w:r>
          </w:p>
        </w:tc>
        <w:tc>
          <w:tcPr>
            <w:tcW w:w="748"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2,5%</w:t>
            </w:r>
          </w:p>
        </w:tc>
        <w:tc>
          <w:tcPr>
            <w:tcW w:w="748"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8,2%</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3,3%</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4,9%</w:t>
            </w:r>
          </w:p>
        </w:tc>
        <w:tc>
          <w:tcPr>
            <w:tcW w:w="747"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8,2%</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8,2%</w:t>
            </w:r>
          </w:p>
        </w:tc>
        <w:tc>
          <w:tcPr>
            <w:tcW w:w="86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27,1%</w:t>
            </w:r>
          </w:p>
        </w:tc>
        <w:tc>
          <w:tcPr>
            <w:tcW w:w="851"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27,1%</w:t>
            </w:r>
          </w:p>
        </w:tc>
        <w:tc>
          <w:tcPr>
            <w:tcW w:w="709"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7,3%</w:t>
            </w:r>
          </w:p>
        </w:tc>
      </w:tr>
      <w:tr w:rsidR="005A3591" w:rsidRPr="005A3591" w:rsidTr="00CF5069">
        <w:trPr>
          <w:cnfStyle w:val="000000010000"/>
        </w:trPr>
        <w:tc>
          <w:tcPr>
            <w:cnfStyle w:val="001000000000"/>
            <w:tcW w:w="437"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3</w:t>
            </w:r>
          </w:p>
        </w:tc>
        <w:tc>
          <w:tcPr>
            <w:tcW w:w="1656" w:type="dxa"/>
            <w:vAlign w:val="center"/>
          </w:tcPr>
          <w:p w:rsidR="005A3591" w:rsidRPr="00F64EE3" w:rsidRDefault="005A3591" w:rsidP="005A3591">
            <w:pPr>
              <w:tabs>
                <w:tab w:val="left" w:pos="318"/>
                <w:tab w:val="left" w:pos="459"/>
              </w:tabs>
              <w:cnfStyle w:val="000000010000"/>
              <w:rPr>
                <w:rFonts w:ascii="Times New Roman" w:hAnsi="Times New Roman" w:cs="Times New Roman"/>
                <w:sz w:val="20"/>
                <w:szCs w:val="20"/>
                <w:lang w:val="kk-KZ"/>
              </w:rPr>
            </w:pPr>
            <w:r w:rsidRPr="00F64EE3">
              <w:rPr>
                <w:rFonts w:ascii="Times New Roman" w:hAnsi="Times New Roman" w:cs="Times New Roman"/>
                <w:sz w:val="20"/>
                <w:szCs w:val="20"/>
              </w:rPr>
              <w:t>Астана</w:t>
            </w:r>
            <w:r w:rsidRPr="00F64EE3">
              <w:rPr>
                <w:rFonts w:ascii="Times New Roman" w:hAnsi="Times New Roman" w:cs="Times New Roman"/>
                <w:sz w:val="20"/>
                <w:szCs w:val="20"/>
                <w:lang w:val="kk-KZ"/>
              </w:rPr>
              <w:t xml:space="preserve"> қ.</w:t>
            </w:r>
          </w:p>
        </w:tc>
        <w:tc>
          <w:tcPr>
            <w:tcW w:w="747"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2,0%</w:t>
            </w:r>
          </w:p>
        </w:tc>
        <w:tc>
          <w:tcPr>
            <w:tcW w:w="748"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6,0%</w:t>
            </w:r>
          </w:p>
        </w:tc>
        <w:tc>
          <w:tcPr>
            <w:tcW w:w="748"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16,0%</w:t>
            </w:r>
          </w:p>
        </w:tc>
        <w:tc>
          <w:tcPr>
            <w:tcW w:w="748" w:type="dxa"/>
            <w:gridSpan w:val="2"/>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4,0%</w:t>
            </w:r>
          </w:p>
        </w:tc>
        <w:tc>
          <w:tcPr>
            <w:tcW w:w="748" w:type="dxa"/>
            <w:gridSpan w:val="2"/>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2,0%</w:t>
            </w:r>
          </w:p>
        </w:tc>
        <w:tc>
          <w:tcPr>
            <w:tcW w:w="747" w:type="dxa"/>
            <w:gridSpan w:val="2"/>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6,0%</w:t>
            </w:r>
          </w:p>
        </w:tc>
        <w:tc>
          <w:tcPr>
            <w:tcW w:w="748" w:type="dxa"/>
            <w:gridSpan w:val="2"/>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18,0%</w:t>
            </w:r>
          </w:p>
        </w:tc>
        <w:tc>
          <w:tcPr>
            <w:tcW w:w="86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14,0%</w:t>
            </w:r>
          </w:p>
        </w:tc>
        <w:tc>
          <w:tcPr>
            <w:tcW w:w="851" w:type="dxa"/>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28,0%</w:t>
            </w:r>
          </w:p>
        </w:tc>
        <w:tc>
          <w:tcPr>
            <w:tcW w:w="709"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4,0%</w:t>
            </w:r>
          </w:p>
        </w:tc>
      </w:tr>
      <w:tr w:rsidR="005A3591" w:rsidRPr="005A3591" w:rsidTr="00CF5069">
        <w:trPr>
          <w:cnfStyle w:val="000000100000"/>
        </w:trPr>
        <w:tc>
          <w:tcPr>
            <w:cnfStyle w:val="001000000000"/>
            <w:tcW w:w="437"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lastRenderedPageBreak/>
              <w:t>4</w:t>
            </w:r>
          </w:p>
        </w:tc>
        <w:tc>
          <w:tcPr>
            <w:tcW w:w="1656" w:type="dxa"/>
            <w:vAlign w:val="center"/>
          </w:tcPr>
          <w:p w:rsidR="005A3591" w:rsidRPr="00F64EE3" w:rsidRDefault="005A3591" w:rsidP="005A3591">
            <w:pPr>
              <w:tabs>
                <w:tab w:val="left" w:pos="318"/>
                <w:tab w:val="left" w:pos="459"/>
              </w:tabs>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 xml:space="preserve">Батыс Қазақстан облысы (Орал қ.)  </w:t>
            </w:r>
          </w:p>
        </w:tc>
        <w:tc>
          <w:tcPr>
            <w:tcW w:w="747"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12,5%</w:t>
            </w:r>
          </w:p>
        </w:tc>
        <w:tc>
          <w:tcPr>
            <w:tcW w:w="748"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4,2%</w:t>
            </w:r>
          </w:p>
        </w:tc>
        <w:tc>
          <w:tcPr>
            <w:tcW w:w="748"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20,8%</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8,3%</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20,8%</w:t>
            </w:r>
          </w:p>
        </w:tc>
        <w:tc>
          <w:tcPr>
            <w:tcW w:w="747"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8,3%</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12,5%</w:t>
            </w:r>
          </w:p>
        </w:tc>
        <w:tc>
          <w:tcPr>
            <w:tcW w:w="86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0%</w:t>
            </w:r>
          </w:p>
        </w:tc>
        <w:tc>
          <w:tcPr>
            <w:tcW w:w="85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12,5%</w:t>
            </w:r>
          </w:p>
        </w:tc>
        <w:tc>
          <w:tcPr>
            <w:tcW w:w="709"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0%</w:t>
            </w:r>
          </w:p>
        </w:tc>
      </w:tr>
      <w:tr w:rsidR="005A3591" w:rsidRPr="005A3591" w:rsidTr="00CF5069">
        <w:trPr>
          <w:cnfStyle w:val="000000010000"/>
        </w:trPr>
        <w:tc>
          <w:tcPr>
            <w:cnfStyle w:val="001000000000"/>
            <w:tcW w:w="437"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5</w:t>
            </w:r>
          </w:p>
        </w:tc>
        <w:tc>
          <w:tcPr>
            <w:tcW w:w="1656" w:type="dxa"/>
            <w:vAlign w:val="center"/>
          </w:tcPr>
          <w:p w:rsidR="005A3591" w:rsidRPr="00F64EE3" w:rsidRDefault="005A3591" w:rsidP="005A3591">
            <w:pPr>
              <w:tabs>
                <w:tab w:val="left" w:pos="318"/>
                <w:tab w:val="left" w:pos="459"/>
              </w:tabs>
              <w:cnfStyle w:val="000000010000"/>
              <w:rPr>
                <w:rFonts w:ascii="Times New Roman" w:hAnsi="Times New Roman" w:cs="Times New Roman"/>
                <w:sz w:val="20"/>
                <w:szCs w:val="20"/>
              </w:rPr>
            </w:pPr>
            <w:r w:rsidRPr="00F64EE3">
              <w:rPr>
                <w:rFonts w:ascii="Times New Roman" w:hAnsi="Times New Roman" w:cs="Times New Roman"/>
                <w:sz w:val="20"/>
                <w:szCs w:val="20"/>
                <w:lang w:val="kk-KZ"/>
              </w:rPr>
              <w:t xml:space="preserve">Қарағанды облысы </w:t>
            </w:r>
            <w:r w:rsidRPr="00F64EE3">
              <w:rPr>
                <w:rFonts w:ascii="Times New Roman" w:hAnsi="Times New Roman" w:cs="Times New Roman"/>
                <w:sz w:val="20"/>
                <w:szCs w:val="20"/>
              </w:rPr>
              <w:t>(</w:t>
            </w:r>
            <w:r w:rsidRPr="00F64EE3">
              <w:rPr>
                <w:rFonts w:ascii="Times New Roman" w:hAnsi="Times New Roman" w:cs="Times New Roman"/>
                <w:sz w:val="20"/>
                <w:szCs w:val="20"/>
                <w:lang w:val="kk-KZ"/>
              </w:rPr>
              <w:t>Қ</w:t>
            </w:r>
            <w:r w:rsidRPr="00F64EE3">
              <w:rPr>
                <w:rFonts w:ascii="Times New Roman" w:hAnsi="Times New Roman" w:cs="Times New Roman"/>
                <w:sz w:val="20"/>
                <w:szCs w:val="20"/>
              </w:rPr>
              <w:t>ара</w:t>
            </w:r>
            <w:r w:rsidRPr="00F64EE3">
              <w:rPr>
                <w:rFonts w:ascii="Times New Roman" w:hAnsi="Times New Roman" w:cs="Times New Roman"/>
                <w:sz w:val="20"/>
                <w:szCs w:val="20"/>
                <w:lang w:val="kk-KZ"/>
              </w:rPr>
              <w:t>ғ</w:t>
            </w:r>
            <w:r w:rsidRPr="00F64EE3">
              <w:rPr>
                <w:rFonts w:ascii="Times New Roman" w:hAnsi="Times New Roman" w:cs="Times New Roman"/>
                <w:sz w:val="20"/>
                <w:szCs w:val="20"/>
              </w:rPr>
              <w:t>анд</w:t>
            </w:r>
            <w:r w:rsidRPr="00F64EE3">
              <w:rPr>
                <w:rFonts w:ascii="Times New Roman" w:hAnsi="Times New Roman" w:cs="Times New Roman"/>
                <w:sz w:val="20"/>
                <w:szCs w:val="20"/>
                <w:lang w:val="kk-KZ"/>
              </w:rPr>
              <w:t>ы қ.</w:t>
            </w:r>
            <w:r w:rsidRPr="00F64EE3">
              <w:rPr>
                <w:rFonts w:ascii="Times New Roman" w:hAnsi="Times New Roman" w:cs="Times New Roman"/>
                <w:sz w:val="20"/>
                <w:szCs w:val="20"/>
              </w:rPr>
              <w:t>).</w:t>
            </w:r>
          </w:p>
        </w:tc>
        <w:tc>
          <w:tcPr>
            <w:tcW w:w="747"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6,0%</w:t>
            </w:r>
          </w:p>
        </w:tc>
        <w:tc>
          <w:tcPr>
            <w:tcW w:w="748"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10,4%</w:t>
            </w:r>
          </w:p>
        </w:tc>
        <w:tc>
          <w:tcPr>
            <w:tcW w:w="748"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9,0%</w:t>
            </w:r>
          </w:p>
        </w:tc>
        <w:tc>
          <w:tcPr>
            <w:tcW w:w="748" w:type="dxa"/>
            <w:gridSpan w:val="2"/>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11,9%</w:t>
            </w:r>
          </w:p>
        </w:tc>
        <w:tc>
          <w:tcPr>
            <w:tcW w:w="748" w:type="dxa"/>
            <w:gridSpan w:val="2"/>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14,9%</w:t>
            </w:r>
          </w:p>
        </w:tc>
        <w:tc>
          <w:tcPr>
            <w:tcW w:w="747" w:type="dxa"/>
            <w:gridSpan w:val="2"/>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16,4%</w:t>
            </w:r>
          </w:p>
        </w:tc>
        <w:tc>
          <w:tcPr>
            <w:tcW w:w="748" w:type="dxa"/>
            <w:gridSpan w:val="2"/>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16,4%</w:t>
            </w:r>
          </w:p>
        </w:tc>
        <w:tc>
          <w:tcPr>
            <w:tcW w:w="86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8,9%</w:t>
            </w:r>
          </w:p>
        </w:tc>
        <w:tc>
          <w:tcPr>
            <w:tcW w:w="85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0%</w:t>
            </w:r>
          </w:p>
        </w:tc>
        <w:tc>
          <w:tcPr>
            <w:tcW w:w="709"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6,0%</w:t>
            </w:r>
          </w:p>
        </w:tc>
      </w:tr>
      <w:tr w:rsidR="005A3591" w:rsidRPr="005A3591" w:rsidTr="00CF5069">
        <w:trPr>
          <w:cnfStyle w:val="000000100000"/>
        </w:trPr>
        <w:tc>
          <w:tcPr>
            <w:cnfStyle w:val="001000000000"/>
            <w:tcW w:w="437"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6</w:t>
            </w:r>
          </w:p>
        </w:tc>
        <w:tc>
          <w:tcPr>
            <w:tcW w:w="1656" w:type="dxa"/>
            <w:vAlign w:val="center"/>
          </w:tcPr>
          <w:p w:rsidR="005A3591" w:rsidRPr="00F64EE3" w:rsidRDefault="005A3591" w:rsidP="005A3591">
            <w:pPr>
              <w:tabs>
                <w:tab w:val="left" w:pos="318"/>
                <w:tab w:val="left" w:pos="459"/>
              </w:tabs>
              <w:cnfStyle w:val="000000100000"/>
              <w:rPr>
                <w:rFonts w:ascii="Times New Roman" w:hAnsi="Times New Roman" w:cs="Times New Roman"/>
                <w:sz w:val="20"/>
                <w:szCs w:val="20"/>
              </w:rPr>
            </w:pPr>
            <w:r w:rsidRPr="00F64EE3">
              <w:rPr>
                <w:rFonts w:ascii="Times New Roman" w:hAnsi="Times New Roman" w:cs="Times New Roman"/>
                <w:sz w:val="20"/>
                <w:szCs w:val="20"/>
                <w:lang w:val="kk-KZ"/>
              </w:rPr>
              <w:t>Оңтүстік Қазақстан облысы (Шымкент қ.)</w:t>
            </w:r>
          </w:p>
        </w:tc>
        <w:tc>
          <w:tcPr>
            <w:tcW w:w="747"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6,0%</w:t>
            </w:r>
          </w:p>
        </w:tc>
        <w:tc>
          <w:tcPr>
            <w:tcW w:w="748"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14,0%</w:t>
            </w:r>
          </w:p>
        </w:tc>
        <w:tc>
          <w:tcPr>
            <w:tcW w:w="748"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18,0%</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16,0%</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14,0%</w:t>
            </w:r>
          </w:p>
        </w:tc>
        <w:tc>
          <w:tcPr>
            <w:tcW w:w="747"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10,0%</w:t>
            </w:r>
          </w:p>
        </w:tc>
        <w:tc>
          <w:tcPr>
            <w:tcW w:w="748" w:type="dxa"/>
            <w:gridSpan w:val="2"/>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2,0%</w:t>
            </w:r>
          </w:p>
        </w:tc>
        <w:tc>
          <w:tcPr>
            <w:tcW w:w="86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6,0%</w:t>
            </w:r>
          </w:p>
        </w:tc>
        <w:tc>
          <w:tcPr>
            <w:tcW w:w="85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2,0%</w:t>
            </w:r>
          </w:p>
        </w:tc>
        <w:tc>
          <w:tcPr>
            <w:tcW w:w="709"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12%</w:t>
            </w:r>
          </w:p>
        </w:tc>
      </w:tr>
      <w:tr w:rsidR="005A3591" w:rsidRPr="005A3591" w:rsidTr="00CF5069">
        <w:trPr>
          <w:cnfStyle w:val="000000010000"/>
        </w:trPr>
        <w:tc>
          <w:tcPr>
            <w:cnfStyle w:val="001000000000"/>
            <w:tcW w:w="437" w:type="dxa"/>
          </w:tcPr>
          <w:p w:rsidR="005A3591" w:rsidRPr="00F64EE3" w:rsidRDefault="005A3591" w:rsidP="005A3591">
            <w:pPr>
              <w:rPr>
                <w:rFonts w:ascii="Times New Roman" w:hAnsi="Times New Roman" w:cs="Times New Roman"/>
                <w:sz w:val="20"/>
                <w:szCs w:val="20"/>
              </w:rPr>
            </w:pPr>
          </w:p>
        </w:tc>
        <w:tc>
          <w:tcPr>
            <w:tcW w:w="1656" w:type="dxa"/>
            <w:vAlign w:val="center"/>
          </w:tcPr>
          <w:p w:rsidR="005A3591" w:rsidRPr="00F64EE3" w:rsidRDefault="005A3591" w:rsidP="005A3591">
            <w:pPr>
              <w:tabs>
                <w:tab w:val="left" w:pos="318"/>
                <w:tab w:val="left" w:pos="459"/>
              </w:tabs>
              <w:cnfStyle w:val="000000010000"/>
              <w:rPr>
                <w:rFonts w:ascii="Times New Roman" w:hAnsi="Times New Roman" w:cs="Times New Roman"/>
                <w:sz w:val="20"/>
                <w:szCs w:val="20"/>
              </w:rPr>
            </w:pPr>
          </w:p>
        </w:tc>
        <w:tc>
          <w:tcPr>
            <w:tcW w:w="2978" w:type="dxa"/>
            <w:gridSpan w:val="4"/>
            <w:hideMark/>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100%</w:t>
            </w:r>
          </w:p>
        </w:tc>
        <w:tc>
          <w:tcPr>
            <w:tcW w:w="750" w:type="dxa"/>
            <w:gridSpan w:val="2"/>
          </w:tcPr>
          <w:p w:rsidR="005A3591" w:rsidRPr="00F64EE3" w:rsidRDefault="005A3591" w:rsidP="005A3591">
            <w:pPr>
              <w:jc w:val="center"/>
              <w:cnfStyle w:val="000000010000"/>
              <w:rPr>
                <w:rFonts w:ascii="Times New Roman" w:hAnsi="Times New Roman" w:cs="Times New Roman"/>
                <w:sz w:val="20"/>
                <w:szCs w:val="20"/>
              </w:rPr>
            </w:pPr>
          </w:p>
        </w:tc>
        <w:tc>
          <w:tcPr>
            <w:tcW w:w="750" w:type="dxa"/>
            <w:gridSpan w:val="2"/>
          </w:tcPr>
          <w:p w:rsidR="005A3591" w:rsidRPr="00F64EE3" w:rsidRDefault="005A3591" w:rsidP="005A3591">
            <w:pPr>
              <w:jc w:val="center"/>
              <w:cnfStyle w:val="000000010000"/>
              <w:rPr>
                <w:rFonts w:ascii="Times New Roman" w:hAnsi="Times New Roman" w:cs="Times New Roman"/>
                <w:sz w:val="20"/>
                <w:szCs w:val="20"/>
              </w:rPr>
            </w:pPr>
          </w:p>
        </w:tc>
        <w:tc>
          <w:tcPr>
            <w:tcW w:w="750" w:type="dxa"/>
            <w:gridSpan w:val="2"/>
          </w:tcPr>
          <w:p w:rsidR="005A3591" w:rsidRPr="00F64EE3" w:rsidRDefault="005A3591" w:rsidP="005A3591">
            <w:pPr>
              <w:jc w:val="center"/>
              <w:cnfStyle w:val="000000010000"/>
              <w:rPr>
                <w:rFonts w:ascii="Times New Roman" w:hAnsi="Times New Roman" w:cs="Times New Roman"/>
                <w:sz w:val="20"/>
                <w:szCs w:val="20"/>
              </w:rPr>
            </w:pPr>
          </w:p>
        </w:tc>
        <w:tc>
          <w:tcPr>
            <w:tcW w:w="867" w:type="dxa"/>
            <w:gridSpan w:val="2"/>
          </w:tcPr>
          <w:p w:rsidR="005A3591" w:rsidRPr="00F64EE3" w:rsidRDefault="005A3591" w:rsidP="005A3591">
            <w:pPr>
              <w:jc w:val="center"/>
              <w:cnfStyle w:val="000000010000"/>
              <w:rPr>
                <w:rFonts w:ascii="Times New Roman" w:hAnsi="Times New Roman" w:cs="Times New Roman"/>
                <w:sz w:val="20"/>
                <w:szCs w:val="20"/>
              </w:rPr>
            </w:pPr>
          </w:p>
        </w:tc>
        <w:tc>
          <w:tcPr>
            <w:tcW w:w="851" w:type="dxa"/>
          </w:tcPr>
          <w:p w:rsidR="005A3591" w:rsidRPr="00F64EE3" w:rsidRDefault="005A3591" w:rsidP="005A3591">
            <w:pPr>
              <w:jc w:val="center"/>
              <w:cnfStyle w:val="000000010000"/>
              <w:rPr>
                <w:rFonts w:ascii="Times New Roman" w:hAnsi="Times New Roman" w:cs="Times New Roman"/>
                <w:sz w:val="20"/>
                <w:szCs w:val="20"/>
              </w:rPr>
            </w:pPr>
          </w:p>
        </w:tc>
        <w:tc>
          <w:tcPr>
            <w:tcW w:w="709" w:type="dxa"/>
          </w:tcPr>
          <w:p w:rsidR="005A3591" w:rsidRPr="00F64EE3" w:rsidRDefault="005A3591" w:rsidP="005A3591">
            <w:pPr>
              <w:jc w:val="center"/>
              <w:cnfStyle w:val="000000010000"/>
              <w:rPr>
                <w:rFonts w:ascii="Times New Roman" w:hAnsi="Times New Roman" w:cs="Times New Roman"/>
                <w:sz w:val="20"/>
                <w:szCs w:val="20"/>
              </w:rPr>
            </w:pPr>
          </w:p>
        </w:tc>
      </w:tr>
    </w:tbl>
    <w:p w:rsidR="005A3591" w:rsidRPr="005A3591" w:rsidRDefault="005A3591" w:rsidP="005A3591">
      <w:pPr>
        <w:spacing w:after="0" w:line="240" w:lineRule="auto"/>
        <w:ind w:firstLine="567"/>
        <w:jc w:val="both"/>
        <w:rPr>
          <w:rFonts w:ascii="Times New Roman" w:hAnsi="Times New Roman" w:cs="Times New Roman"/>
          <w:sz w:val="24"/>
          <w:szCs w:val="24"/>
        </w:rPr>
      </w:pP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Қазақстандық ғалымдардың төмен жалақы деңгейі қосымша табыс көзінің қажеттілігі туралы болжам жасауға мүмкіндік береді.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«Қосымша кіріс көзінің (ата-аналар, туысқандар көмегі) маңызын қалай бағалар едіңіз?» деген сұраққа респонденттердің жауабы келесідей бөлінді:</w:t>
      </w:r>
    </w:p>
    <w:p w:rsidR="005A3591" w:rsidRPr="005A3591" w:rsidRDefault="005A3591" w:rsidP="005E54CA">
      <w:pPr>
        <w:pStyle w:val="a3"/>
        <w:numPr>
          <w:ilvl w:val="0"/>
          <w:numId w:val="5"/>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Сұралғандардың 36,2%</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 «Ол өте маңызды» деп есептейді.</w:t>
      </w:r>
    </w:p>
    <w:p w:rsidR="005A3591" w:rsidRPr="005A3591" w:rsidRDefault="005A3591" w:rsidP="005A3591">
      <w:pPr>
        <w:pStyle w:val="a3"/>
        <w:numPr>
          <w:ilvl w:val="0"/>
          <w:numId w:val="5"/>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Қосымша кіріс көзі жас ғалымдардың 13,2%</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үшін анықтаушы болып табылады. Олардың </w:t>
      </w:r>
      <w:r w:rsidRPr="009B1C8F">
        <w:rPr>
          <w:rFonts w:ascii="Times New Roman" w:hAnsi="Times New Roman" w:cs="Times New Roman"/>
          <w:sz w:val="24"/>
          <w:szCs w:val="24"/>
          <w:lang w:val="kk-KZ"/>
        </w:rPr>
        <w:t>60%</w:t>
      </w:r>
      <w:r w:rsidR="009B1C8F">
        <w:rPr>
          <w:rFonts w:ascii="Times New Roman" w:hAnsi="Times New Roman" w:cs="Times New Roman"/>
          <w:sz w:val="24"/>
          <w:szCs w:val="24"/>
          <w:lang w:val="kk-KZ"/>
        </w:rPr>
        <w:t>-дан</w:t>
      </w:r>
      <w:r w:rsidRPr="005A3591">
        <w:rPr>
          <w:rFonts w:ascii="Times New Roman" w:hAnsi="Times New Roman" w:cs="Times New Roman"/>
          <w:sz w:val="24"/>
          <w:szCs w:val="24"/>
          <w:lang w:val="kk-KZ"/>
        </w:rPr>
        <w:t xml:space="preserve"> астамы қыздар.</w:t>
      </w:r>
    </w:p>
    <w:p w:rsidR="005A3591" w:rsidRPr="005A3591" w:rsidRDefault="005A3591" w:rsidP="005A3591">
      <w:pPr>
        <w:pStyle w:val="a3"/>
        <w:numPr>
          <w:ilvl w:val="0"/>
          <w:numId w:val="5"/>
        </w:numPr>
        <w:tabs>
          <w:tab w:val="left" w:pos="851"/>
        </w:tabs>
        <w:spacing w:line="240" w:lineRule="auto"/>
        <w:ind w:left="0" w:firstLine="567"/>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 Респонденттердің 22,7%</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үшін қосымша кіріс көзі маңызды емес. Аталған топ арасында жалақы деңгейі салыстырмалы түрде жоғары респонденттер басым.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4) Сұрауға қатысқандардың ширегінен көбі аталған сұраққа жауап беруге қиналды (27,6%).</w:t>
      </w:r>
    </w:p>
    <w:p w:rsidR="005A3591" w:rsidRPr="005A3591" w:rsidRDefault="005A3591" w:rsidP="005A3591">
      <w:pPr>
        <w:spacing w:after="0" w:line="240" w:lineRule="auto"/>
        <w:ind w:firstLine="567"/>
        <w:jc w:val="both"/>
        <w:rPr>
          <w:rFonts w:ascii="Times New Roman" w:hAnsi="Times New Roman" w:cs="Times New Roman"/>
          <w:b/>
          <w:sz w:val="24"/>
          <w:szCs w:val="24"/>
          <w:lang w:val="kk-KZ"/>
        </w:rPr>
      </w:pPr>
    </w:p>
    <w:p w:rsidR="005A3591" w:rsidRPr="008D3788" w:rsidRDefault="005A3591" w:rsidP="005A3591">
      <w:pPr>
        <w:spacing w:after="0" w:line="240" w:lineRule="auto"/>
        <w:ind w:firstLine="567"/>
        <w:jc w:val="both"/>
        <w:rPr>
          <w:rFonts w:ascii="Times New Roman" w:hAnsi="Times New Roman" w:cs="Times New Roman"/>
          <w:b/>
          <w:i/>
          <w:sz w:val="20"/>
          <w:szCs w:val="20"/>
          <w:lang w:val="kk-KZ"/>
        </w:rPr>
      </w:pPr>
      <w:r w:rsidRPr="008D3788">
        <w:rPr>
          <w:rFonts w:ascii="Times New Roman" w:hAnsi="Times New Roman" w:cs="Times New Roman"/>
          <w:b/>
          <w:sz w:val="20"/>
          <w:szCs w:val="20"/>
          <w:lang w:val="kk-KZ"/>
        </w:rPr>
        <w:t xml:space="preserve">Сурет </w:t>
      </w:r>
      <w:r w:rsidR="005E54CA" w:rsidRPr="008D3788">
        <w:rPr>
          <w:rFonts w:ascii="Times New Roman" w:hAnsi="Times New Roman" w:cs="Times New Roman"/>
          <w:b/>
          <w:sz w:val="20"/>
          <w:szCs w:val="20"/>
          <w:lang w:val="kk-KZ"/>
        </w:rPr>
        <w:t>3</w:t>
      </w:r>
      <w:r w:rsidRPr="008D3788">
        <w:rPr>
          <w:rFonts w:ascii="Times New Roman" w:hAnsi="Times New Roman" w:cs="Times New Roman"/>
          <w:sz w:val="20"/>
          <w:szCs w:val="20"/>
          <w:lang w:val="kk-KZ"/>
        </w:rPr>
        <w:t xml:space="preserve">. </w:t>
      </w:r>
      <w:r w:rsidRPr="008D3788">
        <w:rPr>
          <w:rFonts w:ascii="Times New Roman" w:hAnsi="Times New Roman" w:cs="Times New Roman"/>
          <w:b/>
          <w:sz w:val="20"/>
          <w:szCs w:val="20"/>
          <w:lang w:val="kk-KZ"/>
        </w:rPr>
        <w:t xml:space="preserve">«Жас ғалымдардың еңбекақы көлемімен қанағаттану» </w:t>
      </w:r>
      <w:r w:rsidRPr="008D3788">
        <w:rPr>
          <w:rFonts w:ascii="Times New Roman" w:hAnsi="Times New Roman" w:cs="Times New Roman"/>
          <w:sz w:val="20"/>
          <w:szCs w:val="20"/>
          <w:lang w:val="kk-KZ"/>
        </w:rPr>
        <w:t xml:space="preserve">диаграммасы </w:t>
      </w:r>
      <w:r w:rsidRPr="008D3788">
        <w:rPr>
          <w:rFonts w:ascii="Times New Roman" w:hAnsi="Times New Roman" w:cs="Times New Roman"/>
          <w:i/>
          <w:sz w:val="20"/>
          <w:szCs w:val="20"/>
          <w:lang w:val="kk-KZ"/>
        </w:rPr>
        <w:t xml:space="preserve">(респонденттердің жалпы санынан, %). </w:t>
      </w:r>
      <w:r w:rsidRPr="008D3788">
        <w:rPr>
          <w:rFonts w:ascii="Times New Roman" w:hAnsi="Times New Roman" w:cs="Times New Roman"/>
          <w:b/>
          <w:i/>
          <w:sz w:val="20"/>
          <w:szCs w:val="20"/>
          <w:lang w:val="kk-KZ"/>
        </w:rPr>
        <w:t xml:space="preserve"> </w:t>
      </w:r>
    </w:p>
    <w:p w:rsidR="005A3591" w:rsidRPr="005A3591" w:rsidRDefault="005A3591" w:rsidP="005A3591">
      <w:pPr>
        <w:spacing w:after="0" w:line="240" w:lineRule="auto"/>
        <w:ind w:firstLine="567"/>
        <w:jc w:val="both"/>
        <w:rPr>
          <w:rFonts w:ascii="Times New Roman" w:hAnsi="Times New Roman" w:cs="Times New Roman"/>
          <w:b/>
          <w:i/>
          <w:sz w:val="24"/>
          <w:szCs w:val="24"/>
          <w:lang w:val="kk-KZ"/>
        </w:rPr>
      </w:pPr>
    </w:p>
    <w:p w:rsidR="005A3591" w:rsidRPr="005A3591" w:rsidRDefault="005A3591" w:rsidP="005A3591">
      <w:pPr>
        <w:pStyle w:val="3"/>
        <w:tabs>
          <w:tab w:val="left" w:pos="993"/>
        </w:tabs>
        <w:spacing w:after="0"/>
        <w:ind w:left="0"/>
        <w:jc w:val="center"/>
        <w:rPr>
          <w:sz w:val="24"/>
          <w:szCs w:val="24"/>
        </w:rPr>
      </w:pPr>
      <w:r w:rsidRPr="005A3591">
        <w:rPr>
          <w:noProof/>
          <w:sz w:val="24"/>
          <w:szCs w:val="24"/>
        </w:rPr>
        <w:drawing>
          <wp:inline distT="0" distB="0" distL="0" distR="0">
            <wp:extent cx="5486400" cy="3200400"/>
            <wp:effectExtent l="0" t="0" r="0" b="0"/>
            <wp:docPr id="100" name="Диаграмма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Сұрау нәтижелерін талдау көрсеткендей, жас ғалымдардың көбінде материалдық жағдайымен қанағаттану деңгейі өте төмен.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Сұрау нәтижесі бойынша жас ғалымдардың тек 7,2%</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«Сіздің табысыңыз қалыпты өмір сүру әрекетін қамтамасыз ете ме?» деген сұраққа жауап бере отырып, ешқандай материалдық қиындықтарды сезінбейтіндіктерін жеткізді.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Табыстары қымбат сауда жасаудан басқаның барлығын қамтамасыз ететін респонденттер – 29,0%</w:t>
      </w:r>
      <w:r w:rsidR="009B1C8F">
        <w:rPr>
          <w:rFonts w:ascii="Times New Roman" w:hAnsi="Times New Roman" w:cs="Times New Roman"/>
          <w:sz w:val="24"/>
          <w:szCs w:val="24"/>
          <w:lang w:val="kk-KZ"/>
        </w:rPr>
        <w:t>-ды</w:t>
      </w:r>
      <w:r w:rsidRPr="005A3591">
        <w:rPr>
          <w:rFonts w:ascii="Times New Roman" w:hAnsi="Times New Roman" w:cs="Times New Roman"/>
          <w:sz w:val="24"/>
          <w:szCs w:val="24"/>
          <w:lang w:val="kk-KZ"/>
        </w:rPr>
        <w:t xml:space="preserve"> құрайды.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lastRenderedPageBreak/>
        <w:t xml:space="preserve">Осылайша, қанағаттанудың жиынтықты көрсеткіші 36,1%, ал сұралғандардың 2/3 белгілі бір деңгейде қаржы құралдарының жетіспеушілігін сезінетіндіктерін көрсетті.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Сандық қатынаста ең кең тараған жауап нұсқасы «Ақшам тек негізгі өмірлік қажеттіліктерге: азық-түлік пен киімге ғана жетеді» - 37,4%.</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 Респонденттердің 16,7%</w:t>
      </w:r>
      <w:r w:rsidR="009B1C8F">
        <w:rPr>
          <w:rFonts w:ascii="Times New Roman" w:hAnsi="Times New Roman" w:cs="Times New Roman"/>
          <w:sz w:val="24"/>
          <w:szCs w:val="24"/>
          <w:lang w:val="kk-KZ"/>
        </w:rPr>
        <w:t>-ын</w:t>
      </w:r>
      <w:r w:rsidRPr="005A3591">
        <w:rPr>
          <w:rFonts w:ascii="Times New Roman" w:hAnsi="Times New Roman" w:cs="Times New Roman"/>
          <w:sz w:val="24"/>
          <w:szCs w:val="24"/>
          <w:lang w:val="kk-KZ"/>
        </w:rPr>
        <w:t>ың табысы тек азық-түлікке жетеді, ал 2,5%</w:t>
      </w:r>
      <w:r w:rsidR="009B1C8F">
        <w:rPr>
          <w:rFonts w:ascii="Times New Roman" w:hAnsi="Times New Roman" w:cs="Times New Roman"/>
          <w:sz w:val="24"/>
          <w:szCs w:val="24"/>
          <w:lang w:val="kk-KZ"/>
        </w:rPr>
        <w:t>-ы</w:t>
      </w:r>
      <w:r w:rsidRPr="005A3591">
        <w:rPr>
          <w:rFonts w:ascii="Times New Roman" w:hAnsi="Times New Roman" w:cs="Times New Roman"/>
          <w:sz w:val="24"/>
          <w:szCs w:val="24"/>
          <w:lang w:val="kk-KZ"/>
        </w:rPr>
        <w:t xml:space="preserve"> «Ақшам тіпті азық-түлікке де жетпейді» нұсқасын көрсеткен.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p>
    <w:p w:rsidR="005A3591" w:rsidRPr="008D3788" w:rsidRDefault="005E54CA" w:rsidP="005A3591">
      <w:pPr>
        <w:spacing w:after="0" w:line="240" w:lineRule="auto"/>
        <w:ind w:firstLine="567"/>
        <w:jc w:val="both"/>
        <w:rPr>
          <w:rFonts w:ascii="Times New Roman" w:hAnsi="Times New Roman" w:cs="Times New Roman"/>
          <w:i/>
          <w:sz w:val="20"/>
          <w:szCs w:val="20"/>
          <w:lang w:val="kk-KZ"/>
        </w:rPr>
      </w:pPr>
      <w:r w:rsidRPr="008D3788">
        <w:rPr>
          <w:rFonts w:ascii="Times New Roman" w:hAnsi="Times New Roman" w:cs="Times New Roman"/>
          <w:b/>
          <w:sz w:val="20"/>
          <w:szCs w:val="20"/>
          <w:lang w:val="kk-KZ"/>
        </w:rPr>
        <w:t xml:space="preserve">Кесте </w:t>
      </w:r>
      <w:r w:rsidR="005A3591" w:rsidRPr="008D3788">
        <w:rPr>
          <w:rFonts w:ascii="Times New Roman" w:hAnsi="Times New Roman" w:cs="Times New Roman"/>
          <w:b/>
          <w:sz w:val="20"/>
          <w:szCs w:val="20"/>
          <w:lang w:val="kk-KZ"/>
        </w:rPr>
        <w:t>4</w:t>
      </w:r>
      <w:r w:rsidR="005A3591" w:rsidRPr="008D3788">
        <w:rPr>
          <w:rFonts w:ascii="Times New Roman" w:hAnsi="Times New Roman" w:cs="Times New Roman"/>
          <w:b/>
          <w:i/>
          <w:sz w:val="20"/>
          <w:szCs w:val="20"/>
          <w:lang w:val="kk-KZ"/>
        </w:rPr>
        <w:t xml:space="preserve"> – </w:t>
      </w:r>
      <w:r w:rsidR="005A3591" w:rsidRPr="008D3788">
        <w:rPr>
          <w:rFonts w:ascii="Times New Roman" w:hAnsi="Times New Roman" w:cs="Times New Roman"/>
          <w:sz w:val="20"/>
          <w:szCs w:val="20"/>
          <w:lang w:val="kk-KZ"/>
        </w:rPr>
        <w:t>Табыс деңгейін бағалау бойынша салыстырмалы ақпарат</w:t>
      </w:r>
      <w:r w:rsidR="005A3591" w:rsidRPr="008D3788">
        <w:rPr>
          <w:rFonts w:ascii="Times New Roman" w:hAnsi="Times New Roman" w:cs="Times New Roman"/>
          <w:b/>
          <w:i/>
          <w:sz w:val="20"/>
          <w:szCs w:val="20"/>
          <w:lang w:val="kk-KZ"/>
        </w:rPr>
        <w:t xml:space="preserve"> </w:t>
      </w:r>
      <w:r w:rsidR="005A3591" w:rsidRPr="008D3788">
        <w:rPr>
          <w:rFonts w:ascii="Times New Roman" w:hAnsi="Times New Roman" w:cs="Times New Roman"/>
          <w:sz w:val="20"/>
          <w:szCs w:val="20"/>
          <w:lang w:val="kk-KZ"/>
        </w:rPr>
        <w:t xml:space="preserve">2008-2012 жж.  </w:t>
      </w:r>
    </w:p>
    <w:p w:rsidR="005A3591" w:rsidRPr="008D3788" w:rsidRDefault="005A3591" w:rsidP="005E54CA">
      <w:pPr>
        <w:spacing w:after="0" w:line="240" w:lineRule="auto"/>
        <w:jc w:val="both"/>
        <w:rPr>
          <w:rFonts w:ascii="Times New Roman" w:hAnsi="Times New Roman" w:cs="Times New Roman"/>
          <w:i/>
          <w:sz w:val="20"/>
          <w:szCs w:val="20"/>
          <w:lang w:val="kk-KZ"/>
        </w:rPr>
      </w:pPr>
      <w:r w:rsidRPr="008D3788">
        <w:rPr>
          <w:rFonts w:ascii="Times New Roman" w:hAnsi="Times New Roman" w:cs="Times New Roman"/>
          <w:i/>
          <w:sz w:val="20"/>
          <w:szCs w:val="20"/>
        </w:rPr>
        <w:t>(</w:t>
      </w:r>
      <w:r w:rsidRPr="008D3788">
        <w:rPr>
          <w:rFonts w:ascii="Times New Roman" w:hAnsi="Times New Roman" w:cs="Times New Roman"/>
          <w:i/>
          <w:sz w:val="20"/>
          <w:szCs w:val="20"/>
          <w:lang w:val="kk-KZ"/>
        </w:rPr>
        <w:t>респонденттердің жалпы санынан,</w:t>
      </w:r>
      <w:r w:rsidRPr="008D3788">
        <w:rPr>
          <w:rFonts w:ascii="Times New Roman" w:hAnsi="Times New Roman" w:cs="Times New Roman"/>
          <w:i/>
          <w:sz w:val="20"/>
          <w:szCs w:val="20"/>
        </w:rPr>
        <w:t xml:space="preserve"> %).</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p>
    <w:tbl>
      <w:tblPr>
        <w:tblStyle w:val="-11"/>
        <w:tblW w:w="9464" w:type="dxa"/>
        <w:tblLook w:val="04A0"/>
      </w:tblPr>
      <w:tblGrid>
        <w:gridCol w:w="801"/>
        <w:gridCol w:w="3985"/>
        <w:gridCol w:w="2339"/>
        <w:gridCol w:w="2339"/>
      </w:tblGrid>
      <w:tr w:rsidR="005A3591" w:rsidRPr="005A3591" w:rsidTr="00CF5069">
        <w:trPr>
          <w:cnfStyle w:val="10000000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w:t>
            </w:r>
          </w:p>
        </w:tc>
        <w:tc>
          <w:tcPr>
            <w:tcW w:w="3985" w:type="dxa"/>
            <w:hideMark/>
          </w:tcPr>
          <w:p w:rsidR="005A3591" w:rsidRPr="00F64EE3" w:rsidRDefault="005A3591" w:rsidP="005A3591">
            <w:pPr>
              <w:cnfStyle w:val="100000000000"/>
              <w:rPr>
                <w:rFonts w:ascii="Times New Roman" w:hAnsi="Times New Roman" w:cs="Times New Roman"/>
                <w:sz w:val="20"/>
                <w:szCs w:val="20"/>
              </w:rPr>
            </w:pPr>
            <w:r w:rsidRPr="00F64EE3">
              <w:rPr>
                <w:rFonts w:ascii="Times New Roman" w:hAnsi="Times New Roman" w:cs="Times New Roman"/>
                <w:sz w:val="20"/>
                <w:szCs w:val="20"/>
                <w:lang w:val="kk-KZ"/>
              </w:rPr>
              <w:t>Жауап нұсқалары</w:t>
            </w:r>
            <w:r w:rsidRPr="00F64EE3">
              <w:rPr>
                <w:rFonts w:ascii="Times New Roman" w:hAnsi="Times New Roman" w:cs="Times New Roman"/>
                <w:sz w:val="20"/>
                <w:szCs w:val="20"/>
              </w:rPr>
              <w:t xml:space="preserve"> </w:t>
            </w:r>
          </w:p>
        </w:tc>
        <w:tc>
          <w:tcPr>
            <w:tcW w:w="2339" w:type="dxa"/>
            <w:hideMark/>
          </w:tcPr>
          <w:p w:rsidR="005A3591" w:rsidRPr="00F64EE3" w:rsidRDefault="005A3591" w:rsidP="005A3591">
            <w:pPr>
              <w:jc w:val="center"/>
              <w:cnfStyle w:val="100000000000"/>
              <w:rPr>
                <w:rFonts w:ascii="Times New Roman" w:hAnsi="Times New Roman" w:cs="Times New Roman"/>
                <w:sz w:val="20"/>
                <w:szCs w:val="20"/>
              </w:rPr>
            </w:pPr>
            <w:r w:rsidRPr="00F64EE3">
              <w:rPr>
                <w:rFonts w:ascii="Times New Roman" w:hAnsi="Times New Roman" w:cs="Times New Roman"/>
                <w:sz w:val="20"/>
                <w:szCs w:val="20"/>
              </w:rPr>
              <w:t xml:space="preserve">2008 </w:t>
            </w:r>
            <w:r w:rsidRPr="00F64EE3">
              <w:rPr>
                <w:rFonts w:ascii="Times New Roman" w:hAnsi="Times New Roman" w:cs="Times New Roman"/>
                <w:sz w:val="20"/>
                <w:szCs w:val="20"/>
                <w:lang w:val="kk-KZ"/>
              </w:rPr>
              <w:t>ж</w:t>
            </w:r>
            <w:r w:rsidRPr="00F64EE3">
              <w:rPr>
                <w:rFonts w:ascii="Times New Roman" w:hAnsi="Times New Roman" w:cs="Times New Roman"/>
                <w:sz w:val="20"/>
                <w:szCs w:val="20"/>
              </w:rPr>
              <w:t xml:space="preserve">. </w:t>
            </w:r>
          </w:p>
        </w:tc>
        <w:tc>
          <w:tcPr>
            <w:tcW w:w="2339" w:type="dxa"/>
            <w:hideMark/>
          </w:tcPr>
          <w:p w:rsidR="005A3591" w:rsidRPr="00F64EE3" w:rsidRDefault="005A3591" w:rsidP="005A3591">
            <w:pPr>
              <w:jc w:val="center"/>
              <w:cnfStyle w:val="100000000000"/>
              <w:rPr>
                <w:rFonts w:ascii="Times New Roman" w:hAnsi="Times New Roman" w:cs="Times New Roman"/>
                <w:sz w:val="20"/>
                <w:szCs w:val="20"/>
              </w:rPr>
            </w:pPr>
            <w:r w:rsidRPr="00F64EE3">
              <w:rPr>
                <w:rFonts w:ascii="Times New Roman" w:hAnsi="Times New Roman" w:cs="Times New Roman"/>
                <w:sz w:val="20"/>
                <w:szCs w:val="20"/>
              </w:rPr>
              <w:t xml:space="preserve">2012 </w:t>
            </w:r>
            <w:r w:rsidRPr="00F64EE3">
              <w:rPr>
                <w:rFonts w:ascii="Times New Roman" w:hAnsi="Times New Roman" w:cs="Times New Roman"/>
                <w:sz w:val="20"/>
                <w:szCs w:val="20"/>
                <w:lang w:val="kk-KZ"/>
              </w:rPr>
              <w:t>ж</w:t>
            </w:r>
            <w:r w:rsidRPr="00F64EE3">
              <w:rPr>
                <w:rFonts w:ascii="Times New Roman" w:hAnsi="Times New Roman" w:cs="Times New Roman"/>
                <w:sz w:val="20"/>
                <w:szCs w:val="20"/>
              </w:rPr>
              <w:t xml:space="preserve">. </w:t>
            </w:r>
          </w:p>
        </w:tc>
      </w:tr>
      <w:tr w:rsidR="005A3591" w:rsidRPr="005A3591" w:rsidTr="00CF5069">
        <w:trPr>
          <w:cnfStyle w:val="00000010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1</w:t>
            </w:r>
          </w:p>
        </w:tc>
        <w:tc>
          <w:tcPr>
            <w:tcW w:w="3985" w:type="dxa"/>
            <w:hideMark/>
          </w:tcPr>
          <w:p w:rsidR="005A3591" w:rsidRPr="00F64EE3" w:rsidRDefault="005A3591" w:rsidP="005A3591">
            <w:pP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Мен (біз) ешқандай экономикалық қиындықтарды сезінбеймін (міз)</w:t>
            </w:r>
          </w:p>
        </w:tc>
        <w:tc>
          <w:tcPr>
            <w:tcW w:w="2339"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12,5%</w:t>
            </w:r>
          </w:p>
        </w:tc>
        <w:tc>
          <w:tcPr>
            <w:tcW w:w="2339"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7,1%</w:t>
            </w:r>
          </w:p>
        </w:tc>
      </w:tr>
      <w:tr w:rsidR="005A3591" w:rsidRPr="005A3591" w:rsidTr="00CF5069">
        <w:trPr>
          <w:cnfStyle w:val="00000001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2</w:t>
            </w:r>
          </w:p>
        </w:tc>
        <w:tc>
          <w:tcPr>
            <w:tcW w:w="3985" w:type="dxa"/>
            <w:hideMark/>
          </w:tcPr>
          <w:p w:rsidR="005A3591" w:rsidRPr="00F64EE3" w:rsidRDefault="005A3591" w:rsidP="005A3591">
            <w:pPr>
              <w:cnfStyle w:val="000000010000"/>
              <w:rPr>
                <w:rFonts w:ascii="Times New Roman" w:hAnsi="Times New Roman" w:cs="Times New Roman"/>
                <w:sz w:val="20"/>
                <w:szCs w:val="20"/>
                <w:lang w:val="kk-KZ"/>
              </w:rPr>
            </w:pPr>
            <w:r w:rsidRPr="00F64EE3">
              <w:rPr>
                <w:rFonts w:ascii="Times New Roman" w:hAnsi="Times New Roman" w:cs="Times New Roman"/>
                <w:sz w:val="20"/>
                <w:szCs w:val="20"/>
                <w:lang w:val="kk-KZ"/>
              </w:rPr>
              <w:t>Табысым қымбат сауда жасаудан басқасының барлығына жетеді</w:t>
            </w:r>
          </w:p>
        </w:tc>
        <w:tc>
          <w:tcPr>
            <w:tcW w:w="2339" w:type="dxa"/>
            <w:hideMark/>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30,8%</w:t>
            </w:r>
          </w:p>
        </w:tc>
        <w:tc>
          <w:tcPr>
            <w:tcW w:w="2339" w:type="dxa"/>
            <w:hideMark/>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29,0%</w:t>
            </w:r>
          </w:p>
        </w:tc>
      </w:tr>
      <w:tr w:rsidR="005A3591" w:rsidRPr="005A3591" w:rsidTr="00CF5069">
        <w:trPr>
          <w:cnfStyle w:val="00000010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3</w:t>
            </w:r>
          </w:p>
        </w:tc>
        <w:tc>
          <w:tcPr>
            <w:tcW w:w="3985" w:type="dxa"/>
            <w:hideMark/>
          </w:tcPr>
          <w:p w:rsidR="005A3591" w:rsidRPr="00F64EE3" w:rsidRDefault="005A3591" w:rsidP="005A3591">
            <w:pP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Ақшам тек негізгілерге: азық-түлік пен киімге ғана жетеді</w:t>
            </w:r>
          </w:p>
        </w:tc>
        <w:tc>
          <w:tcPr>
            <w:tcW w:w="2339"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29,2%</w:t>
            </w:r>
          </w:p>
        </w:tc>
        <w:tc>
          <w:tcPr>
            <w:tcW w:w="2339" w:type="dxa"/>
            <w:hideMark/>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37,4%</w:t>
            </w:r>
          </w:p>
        </w:tc>
      </w:tr>
      <w:tr w:rsidR="005A3591" w:rsidRPr="005A3591" w:rsidTr="00CF5069">
        <w:trPr>
          <w:cnfStyle w:val="00000001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4</w:t>
            </w:r>
          </w:p>
        </w:tc>
        <w:tc>
          <w:tcPr>
            <w:tcW w:w="3985" w:type="dxa"/>
            <w:hideMark/>
          </w:tcPr>
          <w:p w:rsidR="005A3591" w:rsidRPr="00F64EE3" w:rsidRDefault="005A3591" w:rsidP="005A3591">
            <w:pPr>
              <w:cnfStyle w:val="000000010000"/>
              <w:rPr>
                <w:rFonts w:ascii="Times New Roman" w:hAnsi="Times New Roman" w:cs="Times New Roman"/>
                <w:sz w:val="20"/>
                <w:szCs w:val="20"/>
                <w:lang w:val="kk-KZ"/>
              </w:rPr>
            </w:pPr>
            <w:r w:rsidRPr="00F64EE3">
              <w:rPr>
                <w:rFonts w:ascii="Times New Roman" w:hAnsi="Times New Roman" w:cs="Times New Roman"/>
                <w:sz w:val="20"/>
                <w:szCs w:val="20"/>
                <w:lang w:val="kk-KZ"/>
              </w:rPr>
              <w:t>Азық-түлікке жетеді, бірақ киім сатып алу қиынға түседі</w:t>
            </w:r>
          </w:p>
        </w:tc>
        <w:tc>
          <w:tcPr>
            <w:tcW w:w="2339" w:type="dxa"/>
            <w:hideMark/>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22,5%</w:t>
            </w:r>
          </w:p>
        </w:tc>
        <w:tc>
          <w:tcPr>
            <w:tcW w:w="2339" w:type="dxa"/>
            <w:hideMark/>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16,7%</w:t>
            </w:r>
          </w:p>
        </w:tc>
      </w:tr>
      <w:tr w:rsidR="005A3591" w:rsidRPr="005A3591" w:rsidTr="00CF5069">
        <w:trPr>
          <w:cnfStyle w:val="000000100000"/>
        </w:trPr>
        <w:tc>
          <w:tcPr>
            <w:cnfStyle w:val="001000000000"/>
            <w:tcW w:w="801"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5</w:t>
            </w:r>
          </w:p>
        </w:tc>
        <w:tc>
          <w:tcPr>
            <w:tcW w:w="3985" w:type="dxa"/>
            <w:hideMark/>
          </w:tcPr>
          <w:p w:rsidR="005A3591" w:rsidRPr="00F64EE3" w:rsidRDefault="005A3591" w:rsidP="005A3591">
            <w:pP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Ақшам тіпті азық-түлікке де жетпейді</w:t>
            </w:r>
          </w:p>
        </w:tc>
        <w:tc>
          <w:tcPr>
            <w:tcW w:w="2339"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3,2%</w:t>
            </w:r>
          </w:p>
        </w:tc>
        <w:tc>
          <w:tcPr>
            <w:tcW w:w="2339"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2,5%</w:t>
            </w:r>
          </w:p>
        </w:tc>
      </w:tr>
      <w:tr w:rsidR="005A3591" w:rsidRPr="005A3591" w:rsidTr="00CF5069">
        <w:trPr>
          <w:cnfStyle w:val="000000010000"/>
        </w:trPr>
        <w:tc>
          <w:tcPr>
            <w:cnfStyle w:val="001000000000"/>
            <w:tcW w:w="801" w:type="dxa"/>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6</w:t>
            </w:r>
          </w:p>
        </w:tc>
        <w:tc>
          <w:tcPr>
            <w:tcW w:w="3985" w:type="dxa"/>
          </w:tcPr>
          <w:p w:rsidR="005A3591" w:rsidRPr="00F64EE3" w:rsidRDefault="005A3591" w:rsidP="005A3591">
            <w:pPr>
              <w:cnfStyle w:val="000000010000"/>
              <w:rPr>
                <w:rFonts w:ascii="Times New Roman" w:hAnsi="Times New Roman" w:cs="Times New Roman"/>
                <w:sz w:val="20"/>
                <w:szCs w:val="20"/>
                <w:lang w:val="kk-KZ"/>
              </w:rPr>
            </w:pPr>
            <w:r w:rsidRPr="00F64EE3">
              <w:rPr>
                <w:rFonts w:ascii="Times New Roman" w:hAnsi="Times New Roman" w:cs="Times New Roman"/>
                <w:sz w:val="20"/>
                <w:szCs w:val="20"/>
                <w:lang w:val="kk-KZ"/>
              </w:rPr>
              <w:t>Жауап беруге қиналғандар</w:t>
            </w:r>
          </w:p>
        </w:tc>
        <w:tc>
          <w:tcPr>
            <w:tcW w:w="2339" w:type="dxa"/>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1,8%</w:t>
            </w:r>
          </w:p>
        </w:tc>
        <w:tc>
          <w:tcPr>
            <w:tcW w:w="2339" w:type="dxa"/>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7,2%</w:t>
            </w:r>
          </w:p>
        </w:tc>
      </w:tr>
      <w:tr w:rsidR="005A3591" w:rsidRPr="005A3591" w:rsidTr="00CF5069">
        <w:trPr>
          <w:cnfStyle w:val="000000100000"/>
        </w:trPr>
        <w:tc>
          <w:tcPr>
            <w:cnfStyle w:val="001000000000"/>
            <w:tcW w:w="801" w:type="dxa"/>
          </w:tcPr>
          <w:p w:rsidR="005A3591" w:rsidRPr="00F64EE3" w:rsidRDefault="005A3591" w:rsidP="005A3591">
            <w:pPr>
              <w:rPr>
                <w:rFonts w:ascii="Times New Roman" w:hAnsi="Times New Roman" w:cs="Times New Roman"/>
                <w:sz w:val="20"/>
                <w:szCs w:val="20"/>
              </w:rPr>
            </w:pPr>
          </w:p>
        </w:tc>
        <w:tc>
          <w:tcPr>
            <w:tcW w:w="3985" w:type="dxa"/>
            <w:hideMark/>
          </w:tcPr>
          <w:p w:rsidR="005A3591" w:rsidRPr="00F64EE3" w:rsidRDefault="005A3591" w:rsidP="005A3591">
            <w:pPr>
              <w:cnfStyle w:val="000000100000"/>
              <w:rPr>
                <w:rFonts w:ascii="Times New Roman" w:hAnsi="Times New Roman" w:cs="Times New Roman"/>
                <w:b/>
                <w:sz w:val="20"/>
                <w:szCs w:val="20"/>
              </w:rPr>
            </w:pPr>
            <w:r w:rsidRPr="00F64EE3">
              <w:rPr>
                <w:rFonts w:ascii="Times New Roman" w:hAnsi="Times New Roman" w:cs="Times New Roman"/>
                <w:b/>
                <w:sz w:val="20"/>
                <w:szCs w:val="20"/>
                <w:lang w:val="kk-KZ"/>
              </w:rPr>
              <w:t>БАРЛЫҒЫ</w:t>
            </w:r>
            <w:r w:rsidRPr="00F64EE3">
              <w:rPr>
                <w:rFonts w:ascii="Times New Roman" w:hAnsi="Times New Roman" w:cs="Times New Roman"/>
                <w:b/>
                <w:sz w:val="20"/>
                <w:szCs w:val="20"/>
              </w:rPr>
              <w:t xml:space="preserve"> </w:t>
            </w:r>
          </w:p>
        </w:tc>
        <w:tc>
          <w:tcPr>
            <w:tcW w:w="2339"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100%</w:t>
            </w:r>
          </w:p>
        </w:tc>
        <w:tc>
          <w:tcPr>
            <w:tcW w:w="2339" w:type="dxa"/>
            <w:hideMark/>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100%</w:t>
            </w:r>
          </w:p>
        </w:tc>
      </w:tr>
    </w:tbl>
    <w:p w:rsidR="005A3591" w:rsidRPr="005A3591" w:rsidRDefault="005A3591" w:rsidP="005A3591">
      <w:pPr>
        <w:spacing w:after="0" w:line="240" w:lineRule="auto"/>
        <w:ind w:firstLine="567"/>
        <w:jc w:val="both"/>
        <w:rPr>
          <w:rFonts w:ascii="Times New Roman" w:hAnsi="Times New Roman" w:cs="Times New Roman"/>
          <w:sz w:val="24"/>
          <w:szCs w:val="24"/>
        </w:rPr>
      </w:pP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2008 жылғы ұқсас зерттеу нәтижелерімен салыстырғанда, табыстары жеке қажеттіліктері мен отбасы қажеттіліктерін толығымен қанағаттандыратын респонденттер саны 2 есеге өскен. Сонымен қатар, табысы </w:t>
      </w:r>
      <w:r w:rsidRPr="005E54CA">
        <w:rPr>
          <w:rFonts w:ascii="Times New Roman" w:hAnsi="Times New Roman" w:cs="Times New Roman"/>
          <w:sz w:val="24"/>
          <w:szCs w:val="24"/>
          <w:lang w:val="kk-KZ"/>
        </w:rPr>
        <w:t>негізгі виталды</w:t>
      </w:r>
      <w:r w:rsidRPr="005A3591">
        <w:rPr>
          <w:rFonts w:ascii="Times New Roman" w:hAnsi="Times New Roman" w:cs="Times New Roman"/>
          <w:sz w:val="24"/>
          <w:szCs w:val="24"/>
          <w:lang w:val="kk-KZ"/>
        </w:rPr>
        <w:t xml:space="preserve"> қажеттіліктер спектрін қамтитын жас ғалымдар пайызы 8,2%-ға өскен. Қалған позициялар бойынша өзгерістер аз.</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p>
    <w:p w:rsidR="005A3591" w:rsidRPr="008D3788" w:rsidRDefault="005E54CA" w:rsidP="005A3591">
      <w:pPr>
        <w:spacing w:after="0" w:line="240" w:lineRule="auto"/>
        <w:ind w:firstLine="567"/>
        <w:jc w:val="both"/>
        <w:rPr>
          <w:rFonts w:ascii="Times New Roman" w:hAnsi="Times New Roman" w:cs="Times New Roman"/>
          <w:i/>
          <w:sz w:val="20"/>
          <w:szCs w:val="20"/>
          <w:lang w:val="kk-KZ"/>
        </w:rPr>
      </w:pPr>
      <w:r w:rsidRPr="008D3788">
        <w:rPr>
          <w:rFonts w:ascii="Times New Roman" w:hAnsi="Times New Roman" w:cs="Times New Roman"/>
          <w:b/>
          <w:sz w:val="20"/>
          <w:szCs w:val="20"/>
          <w:lang w:val="kk-KZ"/>
        </w:rPr>
        <w:t xml:space="preserve">Кесте </w:t>
      </w:r>
      <w:r w:rsidR="005A3591" w:rsidRPr="008D3788">
        <w:rPr>
          <w:rFonts w:ascii="Times New Roman" w:hAnsi="Times New Roman" w:cs="Times New Roman"/>
          <w:b/>
          <w:sz w:val="20"/>
          <w:szCs w:val="20"/>
          <w:lang w:val="kk-KZ"/>
        </w:rPr>
        <w:t>5</w:t>
      </w:r>
      <w:r w:rsidR="005A3591" w:rsidRPr="008D3788">
        <w:rPr>
          <w:rFonts w:ascii="Times New Roman" w:hAnsi="Times New Roman" w:cs="Times New Roman"/>
          <w:b/>
          <w:i/>
          <w:sz w:val="20"/>
          <w:szCs w:val="20"/>
          <w:lang w:val="kk-KZ"/>
        </w:rPr>
        <w:t xml:space="preserve"> – </w:t>
      </w:r>
      <w:r w:rsidR="005A3591" w:rsidRPr="008D3788">
        <w:rPr>
          <w:rFonts w:ascii="Times New Roman" w:hAnsi="Times New Roman" w:cs="Times New Roman"/>
          <w:sz w:val="20"/>
          <w:szCs w:val="20"/>
          <w:lang w:val="kk-KZ"/>
        </w:rPr>
        <w:t>Аймақтық көзқарастар бойынша «Сіздің табысыңыз қалыпты өмір сүруді қамтамасыз ете ме?» деген сұраққа респонденттердің жауабын бөлу</w:t>
      </w:r>
      <w:r w:rsidR="005A3591" w:rsidRPr="008D3788">
        <w:rPr>
          <w:rFonts w:ascii="Times New Roman" w:hAnsi="Times New Roman" w:cs="Times New Roman"/>
          <w:b/>
          <w:i/>
          <w:sz w:val="20"/>
          <w:szCs w:val="20"/>
          <w:lang w:val="kk-KZ"/>
        </w:rPr>
        <w:t xml:space="preserve"> </w:t>
      </w:r>
      <w:r w:rsidR="005A3591" w:rsidRPr="008D3788">
        <w:rPr>
          <w:rFonts w:ascii="Times New Roman" w:hAnsi="Times New Roman" w:cs="Times New Roman"/>
          <w:i/>
          <w:sz w:val="20"/>
          <w:szCs w:val="20"/>
          <w:lang w:val="kk-KZ"/>
        </w:rPr>
        <w:t>(аймақтардағы респонденттердің жалпы санынан, %).</w:t>
      </w:r>
    </w:p>
    <w:p w:rsidR="005A3591" w:rsidRPr="005A3591" w:rsidRDefault="005A3591" w:rsidP="005A3591">
      <w:pPr>
        <w:spacing w:after="0" w:line="240" w:lineRule="auto"/>
        <w:ind w:firstLine="567"/>
        <w:jc w:val="both"/>
        <w:rPr>
          <w:rFonts w:ascii="Times New Roman" w:hAnsi="Times New Roman" w:cs="Times New Roman"/>
          <w:i/>
          <w:sz w:val="24"/>
          <w:szCs w:val="24"/>
          <w:lang w:val="kk-KZ"/>
        </w:rPr>
      </w:pPr>
    </w:p>
    <w:tbl>
      <w:tblPr>
        <w:tblStyle w:val="-11"/>
        <w:tblW w:w="9571" w:type="dxa"/>
        <w:tblLook w:val="04A0"/>
      </w:tblPr>
      <w:tblGrid>
        <w:gridCol w:w="573"/>
        <w:gridCol w:w="3079"/>
        <w:gridCol w:w="992"/>
        <w:gridCol w:w="851"/>
        <w:gridCol w:w="992"/>
        <w:gridCol w:w="934"/>
        <w:gridCol w:w="1075"/>
        <w:gridCol w:w="1075"/>
      </w:tblGrid>
      <w:tr w:rsidR="005A3591" w:rsidRPr="005A3591" w:rsidTr="00CF5069">
        <w:trPr>
          <w:cnfStyle w:val="100000000000"/>
          <w:cantSplit/>
          <w:trHeight w:val="1387"/>
        </w:trPr>
        <w:tc>
          <w:tcPr>
            <w:cnfStyle w:val="001000000000"/>
            <w:tcW w:w="573"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w:t>
            </w:r>
          </w:p>
        </w:tc>
        <w:tc>
          <w:tcPr>
            <w:tcW w:w="3079" w:type="dxa"/>
            <w:hideMark/>
          </w:tcPr>
          <w:p w:rsidR="005A3591" w:rsidRPr="00F64EE3" w:rsidRDefault="005A3591" w:rsidP="005A3591">
            <w:pPr>
              <w:cnfStyle w:val="100000000000"/>
              <w:rPr>
                <w:rFonts w:ascii="Times New Roman" w:hAnsi="Times New Roman" w:cs="Times New Roman"/>
                <w:sz w:val="20"/>
                <w:szCs w:val="20"/>
                <w:lang w:val="kk-KZ"/>
              </w:rPr>
            </w:pPr>
            <w:r w:rsidRPr="00F64EE3">
              <w:rPr>
                <w:rFonts w:ascii="Times New Roman" w:hAnsi="Times New Roman" w:cs="Times New Roman"/>
                <w:sz w:val="20"/>
                <w:szCs w:val="20"/>
                <w:lang w:val="kk-KZ"/>
              </w:rPr>
              <w:t>Жауап нұсқалары</w:t>
            </w:r>
            <w:r w:rsidRPr="00F64EE3">
              <w:rPr>
                <w:rFonts w:ascii="Times New Roman" w:hAnsi="Times New Roman" w:cs="Times New Roman"/>
                <w:sz w:val="20"/>
                <w:szCs w:val="20"/>
              </w:rPr>
              <w:t xml:space="preserve"> / </w:t>
            </w:r>
            <w:r w:rsidRPr="00F64EE3">
              <w:rPr>
                <w:rFonts w:ascii="Times New Roman" w:hAnsi="Times New Roman" w:cs="Times New Roman"/>
                <w:sz w:val="20"/>
                <w:szCs w:val="20"/>
                <w:lang w:val="kk-KZ"/>
              </w:rPr>
              <w:t>аймақтар</w:t>
            </w:r>
          </w:p>
        </w:tc>
        <w:tc>
          <w:tcPr>
            <w:tcW w:w="992" w:type="dxa"/>
            <w:textDirection w:val="btLr"/>
            <w:vAlign w:val="center"/>
          </w:tcPr>
          <w:p w:rsidR="005A3591" w:rsidRPr="00F64EE3" w:rsidRDefault="005A3591" w:rsidP="00CF5298">
            <w:pPr>
              <w:jc w:val="center"/>
              <w:cnfStyle w:val="100000000000"/>
              <w:rPr>
                <w:rFonts w:ascii="Times New Roman" w:hAnsi="Times New Roman" w:cs="Times New Roman"/>
                <w:b w:val="0"/>
                <w:sz w:val="20"/>
                <w:szCs w:val="20"/>
                <w:lang w:val="kk-KZ"/>
              </w:rPr>
            </w:pPr>
            <w:r w:rsidRPr="00F64EE3">
              <w:rPr>
                <w:rFonts w:ascii="Times New Roman" w:hAnsi="Times New Roman" w:cs="Times New Roman"/>
                <w:b w:val="0"/>
                <w:sz w:val="20"/>
                <w:szCs w:val="20"/>
                <w:lang w:val="kk-KZ"/>
              </w:rPr>
              <w:t>Ақтөбе облысы</w:t>
            </w:r>
          </w:p>
        </w:tc>
        <w:tc>
          <w:tcPr>
            <w:tcW w:w="851" w:type="dxa"/>
            <w:textDirection w:val="btLr"/>
            <w:vAlign w:val="center"/>
          </w:tcPr>
          <w:p w:rsidR="005A3591" w:rsidRPr="00F64EE3" w:rsidRDefault="005A3591" w:rsidP="00CF5298">
            <w:pPr>
              <w:jc w:val="center"/>
              <w:cnfStyle w:val="100000000000"/>
              <w:rPr>
                <w:rFonts w:ascii="Times New Roman" w:hAnsi="Times New Roman" w:cs="Times New Roman"/>
                <w:b w:val="0"/>
                <w:sz w:val="20"/>
                <w:szCs w:val="20"/>
                <w:lang w:val="kk-KZ"/>
              </w:rPr>
            </w:pPr>
            <w:r w:rsidRPr="00F64EE3">
              <w:rPr>
                <w:rFonts w:ascii="Times New Roman" w:hAnsi="Times New Roman" w:cs="Times New Roman"/>
                <w:b w:val="0"/>
                <w:sz w:val="20"/>
                <w:szCs w:val="20"/>
              </w:rPr>
              <w:t>Алматы</w:t>
            </w:r>
            <w:r w:rsidRPr="00F64EE3">
              <w:rPr>
                <w:rFonts w:ascii="Times New Roman" w:hAnsi="Times New Roman" w:cs="Times New Roman"/>
                <w:b w:val="0"/>
                <w:sz w:val="20"/>
                <w:szCs w:val="20"/>
                <w:lang w:val="kk-KZ"/>
              </w:rPr>
              <w:t xml:space="preserve"> қ.</w:t>
            </w:r>
          </w:p>
        </w:tc>
        <w:tc>
          <w:tcPr>
            <w:tcW w:w="992" w:type="dxa"/>
            <w:textDirection w:val="btLr"/>
            <w:vAlign w:val="center"/>
          </w:tcPr>
          <w:p w:rsidR="005A3591" w:rsidRPr="00F64EE3" w:rsidRDefault="005A3591" w:rsidP="00CF5298">
            <w:pPr>
              <w:jc w:val="center"/>
              <w:cnfStyle w:val="100000000000"/>
              <w:rPr>
                <w:rFonts w:ascii="Times New Roman" w:hAnsi="Times New Roman" w:cs="Times New Roman"/>
                <w:b w:val="0"/>
                <w:sz w:val="20"/>
                <w:szCs w:val="20"/>
                <w:lang w:val="kk-KZ"/>
              </w:rPr>
            </w:pPr>
            <w:r w:rsidRPr="00F64EE3">
              <w:rPr>
                <w:rFonts w:ascii="Times New Roman" w:hAnsi="Times New Roman" w:cs="Times New Roman"/>
                <w:b w:val="0"/>
                <w:sz w:val="20"/>
                <w:szCs w:val="20"/>
              </w:rPr>
              <w:t>Астана</w:t>
            </w:r>
            <w:r w:rsidRPr="00F64EE3">
              <w:rPr>
                <w:rFonts w:ascii="Times New Roman" w:hAnsi="Times New Roman" w:cs="Times New Roman"/>
                <w:b w:val="0"/>
                <w:sz w:val="20"/>
                <w:szCs w:val="20"/>
                <w:lang w:val="kk-KZ"/>
              </w:rPr>
              <w:t xml:space="preserve">  қ.</w:t>
            </w:r>
          </w:p>
        </w:tc>
        <w:tc>
          <w:tcPr>
            <w:tcW w:w="934" w:type="dxa"/>
            <w:textDirection w:val="btLr"/>
            <w:vAlign w:val="center"/>
          </w:tcPr>
          <w:p w:rsidR="005A3591" w:rsidRPr="00F64EE3" w:rsidRDefault="005A3591" w:rsidP="00CF5298">
            <w:pPr>
              <w:jc w:val="center"/>
              <w:cnfStyle w:val="100000000000"/>
              <w:rPr>
                <w:rFonts w:ascii="Times New Roman" w:hAnsi="Times New Roman" w:cs="Times New Roman"/>
                <w:b w:val="0"/>
                <w:sz w:val="20"/>
                <w:szCs w:val="20"/>
                <w:lang w:val="kk-KZ"/>
              </w:rPr>
            </w:pPr>
            <w:r w:rsidRPr="00F64EE3">
              <w:rPr>
                <w:rFonts w:ascii="Times New Roman" w:hAnsi="Times New Roman" w:cs="Times New Roman"/>
                <w:b w:val="0"/>
                <w:sz w:val="20"/>
                <w:szCs w:val="20"/>
                <w:lang w:val="kk-KZ"/>
              </w:rPr>
              <w:t>БҚО</w:t>
            </w:r>
          </w:p>
        </w:tc>
        <w:tc>
          <w:tcPr>
            <w:tcW w:w="1075" w:type="dxa"/>
            <w:textDirection w:val="btLr"/>
            <w:vAlign w:val="center"/>
          </w:tcPr>
          <w:p w:rsidR="005A3591" w:rsidRPr="00F64EE3" w:rsidRDefault="005A3591" w:rsidP="00CF5298">
            <w:pPr>
              <w:jc w:val="center"/>
              <w:cnfStyle w:val="100000000000"/>
              <w:rPr>
                <w:rFonts w:ascii="Times New Roman" w:hAnsi="Times New Roman" w:cs="Times New Roman"/>
                <w:b w:val="0"/>
                <w:sz w:val="20"/>
                <w:szCs w:val="20"/>
                <w:lang w:val="kk-KZ"/>
              </w:rPr>
            </w:pPr>
            <w:r w:rsidRPr="00F64EE3">
              <w:rPr>
                <w:rFonts w:ascii="Times New Roman" w:hAnsi="Times New Roman" w:cs="Times New Roman"/>
                <w:b w:val="0"/>
                <w:sz w:val="20"/>
                <w:szCs w:val="20"/>
                <w:lang w:val="kk-KZ"/>
              </w:rPr>
              <w:t>Қарағанды облысы</w:t>
            </w:r>
          </w:p>
        </w:tc>
        <w:tc>
          <w:tcPr>
            <w:tcW w:w="1075" w:type="dxa"/>
            <w:textDirection w:val="btLr"/>
            <w:vAlign w:val="center"/>
          </w:tcPr>
          <w:p w:rsidR="005A3591" w:rsidRPr="00F64EE3" w:rsidRDefault="005A3591" w:rsidP="00CF5298">
            <w:pPr>
              <w:jc w:val="center"/>
              <w:cnfStyle w:val="100000000000"/>
              <w:rPr>
                <w:rFonts w:ascii="Times New Roman" w:hAnsi="Times New Roman" w:cs="Times New Roman"/>
                <w:b w:val="0"/>
                <w:sz w:val="20"/>
                <w:szCs w:val="20"/>
                <w:lang w:val="kk-KZ"/>
              </w:rPr>
            </w:pPr>
            <w:r w:rsidRPr="00F64EE3">
              <w:rPr>
                <w:rFonts w:ascii="Times New Roman" w:hAnsi="Times New Roman" w:cs="Times New Roman"/>
                <w:b w:val="0"/>
                <w:sz w:val="20"/>
                <w:szCs w:val="20"/>
                <w:lang w:val="kk-KZ"/>
              </w:rPr>
              <w:t>ОҚО</w:t>
            </w:r>
          </w:p>
        </w:tc>
      </w:tr>
      <w:tr w:rsidR="005A3591" w:rsidRPr="005A3591" w:rsidTr="00CF5069">
        <w:trPr>
          <w:cnfStyle w:val="000000100000"/>
        </w:trPr>
        <w:tc>
          <w:tcPr>
            <w:cnfStyle w:val="001000000000"/>
            <w:tcW w:w="573"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1</w:t>
            </w:r>
          </w:p>
        </w:tc>
        <w:tc>
          <w:tcPr>
            <w:tcW w:w="3079" w:type="dxa"/>
            <w:hideMark/>
          </w:tcPr>
          <w:p w:rsidR="005A3591" w:rsidRPr="00F64EE3" w:rsidRDefault="005A3591" w:rsidP="005A3591">
            <w:pP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Мен (біз) ешқандай экономикалық қиындықтарды сезінбеймін (міз)</w:t>
            </w:r>
          </w:p>
        </w:tc>
        <w:tc>
          <w:tcPr>
            <w:tcW w:w="992"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5,7%</w:t>
            </w:r>
          </w:p>
        </w:tc>
        <w:tc>
          <w:tcPr>
            <w:tcW w:w="85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4,1%</w:t>
            </w:r>
          </w:p>
        </w:tc>
        <w:tc>
          <w:tcPr>
            <w:tcW w:w="992"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w:t>
            </w:r>
          </w:p>
        </w:tc>
        <w:tc>
          <w:tcPr>
            <w:tcW w:w="934"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41,7%</w:t>
            </w:r>
          </w:p>
        </w:tc>
        <w:tc>
          <w:tcPr>
            <w:tcW w:w="1075"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0%</w:t>
            </w:r>
          </w:p>
        </w:tc>
        <w:tc>
          <w:tcPr>
            <w:tcW w:w="1075"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12,0%</w:t>
            </w:r>
          </w:p>
        </w:tc>
      </w:tr>
      <w:tr w:rsidR="005A3591" w:rsidRPr="005A3591" w:rsidTr="00CF5069">
        <w:trPr>
          <w:cnfStyle w:val="000000010000"/>
        </w:trPr>
        <w:tc>
          <w:tcPr>
            <w:cnfStyle w:val="001000000000"/>
            <w:tcW w:w="573"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2</w:t>
            </w:r>
          </w:p>
        </w:tc>
        <w:tc>
          <w:tcPr>
            <w:tcW w:w="3079" w:type="dxa"/>
            <w:hideMark/>
          </w:tcPr>
          <w:p w:rsidR="005A3591" w:rsidRPr="00F64EE3" w:rsidRDefault="005A3591" w:rsidP="005A3591">
            <w:pPr>
              <w:cnfStyle w:val="000000010000"/>
              <w:rPr>
                <w:rFonts w:ascii="Times New Roman" w:hAnsi="Times New Roman" w:cs="Times New Roman"/>
                <w:sz w:val="20"/>
                <w:szCs w:val="20"/>
                <w:lang w:val="kk-KZ"/>
              </w:rPr>
            </w:pPr>
            <w:r w:rsidRPr="00F64EE3">
              <w:rPr>
                <w:rFonts w:ascii="Times New Roman" w:hAnsi="Times New Roman" w:cs="Times New Roman"/>
                <w:sz w:val="20"/>
                <w:szCs w:val="20"/>
                <w:lang w:val="kk-KZ"/>
              </w:rPr>
              <w:t>Табысым қымбат сауда жасаудан басқасының барлығына жетеді</w:t>
            </w:r>
          </w:p>
        </w:tc>
        <w:tc>
          <w:tcPr>
            <w:tcW w:w="992"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11,4%</w:t>
            </w:r>
          </w:p>
        </w:tc>
        <w:tc>
          <w:tcPr>
            <w:tcW w:w="85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29,5%</w:t>
            </w:r>
          </w:p>
        </w:tc>
        <w:tc>
          <w:tcPr>
            <w:tcW w:w="992" w:type="dxa"/>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36,0%</w:t>
            </w:r>
          </w:p>
        </w:tc>
        <w:tc>
          <w:tcPr>
            <w:tcW w:w="934"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16,7%</w:t>
            </w:r>
          </w:p>
        </w:tc>
        <w:tc>
          <w:tcPr>
            <w:tcW w:w="1075"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32,8%</w:t>
            </w:r>
          </w:p>
        </w:tc>
        <w:tc>
          <w:tcPr>
            <w:tcW w:w="1075"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34,0%</w:t>
            </w:r>
          </w:p>
        </w:tc>
      </w:tr>
      <w:tr w:rsidR="005A3591" w:rsidRPr="005A3591" w:rsidTr="00CF5069">
        <w:trPr>
          <w:cnfStyle w:val="000000100000"/>
        </w:trPr>
        <w:tc>
          <w:tcPr>
            <w:cnfStyle w:val="001000000000"/>
            <w:tcW w:w="573"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3</w:t>
            </w:r>
          </w:p>
        </w:tc>
        <w:tc>
          <w:tcPr>
            <w:tcW w:w="3079" w:type="dxa"/>
            <w:hideMark/>
          </w:tcPr>
          <w:p w:rsidR="005A3591" w:rsidRPr="00F64EE3" w:rsidRDefault="005A3591" w:rsidP="005A3591">
            <w:pP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Ақшам тек негізгілерге: азық-түлік пен киімге ғана жетеді</w:t>
            </w:r>
          </w:p>
        </w:tc>
        <w:tc>
          <w:tcPr>
            <w:tcW w:w="992"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54,2%</w:t>
            </w:r>
          </w:p>
        </w:tc>
        <w:tc>
          <w:tcPr>
            <w:tcW w:w="85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41,8%</w:t>
            </w:r>
          </w:p>
        </w:tc>
        <w:tc>
          <w:tcPr>
            <w:tcW w:w="992"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28,0%</w:t>
            </w:r>
          </w:p>
        </w:tc>
        <w:tc>
          <w:tcPr>
            <w:tcW w:w="934"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16,7%</w:t>
            </w:r>
          </w:p>
        </w:tc>
        <w:tc>
          <w:tcPr>
            <w:tcW w:w="1075"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32,8%</w:t>
            </w:r>
          </w:p>
        </w:tc>
        <w:tc>
          <w:tcPr>
            <w:tcW w:w="1075"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28,0%</w:t>
            </w:r>
          </w:p>
        </w:tc>
      </w:tr>
      <w:tr w:rsidR="005A3591" w:rsidRPr="005A3591" w:rsidTr="00CF5069">
        <w:trPr>
          <w:cnfStyle w:val="000000010000"/>
        </w:trPr>
        <w:tc>
          <w:tcPr>
            <w:cnfStyle w:val="001000000000"/>
            <w:tcW w:w="573"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4</w:t>
            </w:r>
          </w:p>
        </w:tc>
        <w:tc>
          <w:tcPr>
            <w:tcW w:w="3079" w:type="dxa"/>
            <w:hideMark/>
          </w:tcPr>
          <w:p w:rsidR="005A3591" w:rsidRPr="00F64EE3" w:rsidRDefault="005A3591" w:rsidP="005A3591">
            <w:pPr>
              <w:cnfStyle w:val="000000010000"/>
              <w:rPr>
                <w:rFonts w:ascii="Times New Roman" w:hAnsi="Times New Roman" w:cs="Times New Roman"/>
                <w:sz w:val="20"/>
                <w:szCs w:val="20"/>
                <w:lang w:val="kk-KZ"/>
              </w:rPr>
            </w:pPr>
            <w:r w:rsidRPr="00F64EE3">
              <w:rPr>
                <w:rFonts w:ascii="Times New Roman" w:hAnsi="Times New Roman" w:cs="Times New Roman"/>
                <w:sz w:val="20"/>
                <w:szCs w:val="20"/>
                <w:lang w:val="kk-KZ"/>
              </w:rPr>
              <w:t>Азық-түлікке жетеді, бірақ киім сатып алу қиынға түседі</w:t>
            </w:r>
          </w:p>
        </w:tc>
        <w:tc>
          <w:tcPr>
            <w:tcW w:w="992"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14,2%</w:t>
            </w:r>
          </w:p>
        </w:tc>
        <w:tc>
          <w:tcPr>
            <w:tcW w:w="851"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17,2%</w:t>
            </w:r>
          </w:p>
        </w:tc>
        <w:tc>
          <w:tcPr>
            <w:tcW w:w="992" w:type="dxa"/>
            <w:vAlign w:val="center"/>
          </w:tcPr>
          <w:p w:rsidR="005A3591" w:rsidRPr="00F64EE3" w:rsidRDefault="005A3591" w:rsidP="005A3591">
            <w:pPr>
              <w:jc w:val="center"/>
              <w:cnfStyle w:val="000000010000"/>
              <w:rPr>
                <w:rFonts w:ascii="Times New Roman" w:hAnsi="Times New Roman" w:cs="Times New Roman"/>
                <w:b/>
                <w:sz w:val="20"/>
                <w:szCs w:val="20"/>
              </w:rPr>
            </w:pPr>
            <w:r w:rsidRPr="00F64EE3">
              <w:rPr>
                <w:rFonts w:ascii="Times New Roman" w:hAnsi="Times New Roman" w:cs="Times New Roman"/>
                <w:b/>
                <w:sz w:val="20"/>
                <w:szCs w:val="20"/>
              </w:rPr>
              <w:t>26,0%</w:t>
            </w:r>
          </w:p>
        </w:tc>
        <w:tc>
          <w:tcPr>
            <w:tcW w:w="934"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20,8%</w:t>
            </w:r>
          </w:p>
        </w:tc>
        <w:tc>
          <w:tcPr>
            <w:tcW w:w="1075"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16,4%</w:t>
            </w:r>
          </w:p>
        </w:tc>
        <w:tc>
          <w:tcPr>
            <w:tcW w:w="1075" w:type="dxa"/>
            <w:vAlign w:val="center"/>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8,0%</w:t>
            </w:r>
          </w:p>
        </w:tc>
      </w:tr>
      <w:tr w:rsidR="005A3591" w:rsidRPr="005A3591" w:rsidTr="00CF5069">
        <w:trPr>
          <w:cnfStyle w:val="000000100000"/>
        </w:trPr>
        <w:tc>
          <w:tcPr>
            <w:cnfStyle w:val="001000000000"/>
            <w:tcW w:w="573" w:type="dxa"/>
            <w:hideMark/>
          </w:tcPr>
          <w:p w:rsidR="005A3591" w:rsidRPr="00F64EE3" w:rsidRDefault="005A3591" w:rsidP="005A3591">
            <w:pPr>
              <w:rPr>
                <w:rFonts w:ascii="Times New Roman" w:hAnsi="Times New Roman" w:cs="Times New Roman"/>
                <w:sz w:val="20"/>
                <w:szCs w:val="20"/>
              </w:rPr>
            </w:pPr>
            <w:r w:rsidRPr="00F64EE3">
              <w:rPr>
                <w:rFonts w:ascii="Times New Roman" w:hAnsi="Times New Roman" w:cs="Times New Roman"/>
                <w:sz w:val="20"/>
                <w:szCs w:val="20"/>
              </w:rPr>
              <w:t>5</w:t>
            </w:r>
          </w:p>
        </w:tc>
        <w:tc>
          <w:tcPr>
            <w:tcW w:w="3079" w:type="dxa"/>
            <w:hideMark/>
          </w:tcPr>
          <w:p w:rsidR="005A3591" w:rsidRPr="00F64EE3" w:rsidRDefault="005A3591" w:rsidP="005A3591">
            <w:pPr>
              <w:cnfStyle w:val="000000100000"/>
              <w:rPr>
                <w:rFonts w:ascii="Times New Roman" w:hAnsi="Times New Roman" w:cs="Times New Roman"/>
                <w:sz w:val="20"/>
                <w:szCs w:val="20"/>
                <w:lang w:val="kk-KZ"/>
              </w:rPr>
            </w:pPr>
            <w:r w:rsidRPr="00F64EE3">
              <w:rPr>
                <w:rFonts w:ascii="Times New Roman" w:hAnsi="Times New Roman" w:cs="Times New Roman"/>
                <w:sz w:val="20"/>
                <w:szCs w:val="20"/>
                <w:lang w:val="kk-KZ"/>
              </w:rPr>
              <w:t xml:space="preserve">Ақшам тіпті азық-түлікке де жетпейді. </w:t>
            </w:r>
          </w:p>
        </w:tc>
        <w:tc>
          <w:tcPr>
            <w:tcW w:w="992"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2,8%</w:t>
            </w:r>
          </w:p>
        </w:tc>
        <w:tc>
          <w:tcPr>
            <w:tcW w:w="851"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2,4%</w:t>
            </w:r>
          </w:p>
        </w:tc>
        <w:tc>
          <w:tcPr>
            <w:tcW w:w="992"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2,0%</w:t>
            </w:r>
          </w:p>
        </w:tc>
        <w:tc>
          <w:tcPr>
            <w:tcW w:w="934" w:type="dxa"/>
            <w:vAlign w:val="center"/>
          </w:tcPr>
          <w:p w:rsidR="005A3591" w:rsidRPr="00F64EE3" w:rsidRDefault="005A3591" w:rsidP="005A3591">
            <w:pPr>
              <w:jc w:val="center"/>
              <w:cnfStyle w:val="000000100000"/>
              <w:rPr>
                <w:rFonts w:ascii="Times New Roman" w:hAnsi="Times New Roman" w:cs="Times New Roman"/>
                <w:b/>
                <w:sz w:val="20"/>
                <w:szCs w:val="20"/>
              </w:rPr>
            </w:pPr>
            <w:r w:rsidRPr="00F64EE3">
              <w:rPr>
                <w:rFonts w:ascii="Times New Roman" w:hAnsi="Times New Roman" w:cs="Times New Roman"/>
                <w:b/>
                <w:sz w:val="20"/>
                <w:szCs w:val="20"/>
              </w:rPr>
              <w:t>4,2%</w:t>
            </w:r>
          </w:p>
        </w:tc>
        <w:tc>
          <w:tcPr>
            <w:tcW w:w="1075"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2,9 %</w:t>
            </w:r>
          </w:p>
        </w:tc>
        <w:tc>
          <w:tcPr>
            <w:tcW w:w="1075" w:type="dxa"/>
            <w:vAlign w:val="center"/>
          </w:tcPr>
          <w:p w:rsidR="005A3591" w:rsidRPr="00F64EE3" w:rsidRDefault="005A3591" w:rsidP="005A3591">
            <w:pPr>
              <w:jc w:val="center"/>
              <w:cnfStyle w:val="000000100000"/>
              <w:rPr>
                <w:rFonts w:ascii="Times New Roman" w:hAnsi="Times New Roman" w:cs="Times New Roman"/>
                <w:sz w:val="20"/>
                <w:szCs w:val="20"/>
              </w:rPr>
            </w:pPr>
            <w:r w:rsidRPr="00F64EE3">
              <w:rPr>
                <w:rFonts w:ascii="Times New Roman" w:hAnsi="Times New Roman" w:cs="Times New Roman"/>
                <w:sz w:val="20"/>
                <w:szCs w:val="20"/>
              </w:rPr>
              <w:t>2,0%</w:t>
            </w:r>
          </w:p>
        </w:tc>
      </w:tr>
      <w:tr w:rsidR="005A3591" w:rsidRPr="005A3591" w:rsidTr="00CF5069">
        <w:trPr>
          <w:cnfStyle w:val="000000010000"/>
        </w:trPr>
        <w:tc>
          <w:tcPr>
            <w:cnfStyle w:val="001000000000"/>
            <w:tcW w:w="573" w:type="dxa"/>
          </w:tcPr>
          <w:p w:rsidR="005A3591" w:rsidRPr="00F64EE3" w:rsidRDefault="005A3591" w:rsidP="005A3591">
            <w:pPr>
              <w:rPr>
                <w:rFonts w:ascii="Times New Roman" w:hAnsi="Times New Roman" w:cs="Times New Roman"/>
                <w:sz w:val="20"/>
                <w:szCs w:val="20"/>
              </w:rPr>
            </w:pPr>
          </w:p>
        </w:tc>
        <w:tc>
          <w:tcPr>
            <w:tcW w:w="3079" w:type="dxa"/>
            <w:hideMark/>
          </w:tcPr>
          <w:p w:rsidR="005A3591" w:rsidRPr="00F64EE3" w:rsidRDefault="005A3591" w:rsidP="005A3591">
            <w:pPr>
              <w:cnfStyle w:val="000000010000"/>
              <w:rPr>
                <w:rFonts w:ascii="Times New Roman" w:hAnsi="Times New Roman" w:cs="Times New Roman"/>
                <w:b/>
                <w:sz w:val="20"/>
                <w:szCs w:val="20"/>
                <w:lang w:val="kk-KZ"/>
              </w:rPr>
            </w:pPr>
            <w:r w:rsidRPr="00F64EE3">
              <w:rPr>
                <w:rFonts w:ascii="Times New Roman" w:hAnsi="Times New Roman" w:cs="Times New Roman"/>
                <w:b/>
                <w:sz w:val="20"/>
                <w:szCs w:val="20"/>
                <w:lang w:val="kk-KZ"/>
              </w:rPr>
              <w:t>БАРЛЫҒЫ</w:t>
            </w:r>
          </w:p>
        </w:tc>
        <w:tc>
          <w:tcPr>
            <w:tcW w:w="5919" w:type="dxa"/>
            <w:gridSpan w:val="6"/>
            <w:hideMark/>
          </w:tcPr>
          <w:p w:rsidR="005A3591" w:rsidRPr="00F64EE3" w:rsidRDefault="005A3591" w:rsidP="005A3591">
            <w:pPr>
              <w:jc w:val="center"/>
              <w:cnfStyle w:val="000000010000"/>
              <w:rPr>
                <w:rFonts w:ascii="Times New Roman" w:hAnsi="Times New Roman" w:cs="Times New Roman"/>
                <w:sz w:val="20"/>
                <w:szCs w:val="20"/>
              </w:rPr>
            </w:pPr>
            <w:r w:rsidRPr="00F64EE3">
              <w:rPr>
                <w:rFonts w:ascii="Times New Roman" w:hAnsi="Times New Roman" w:cs="Times New Roman"/>
                <w:sz w:val="20"/>
                <w:szCs w:val="20"/>
              </w:rPr>
              <w:t>100%</w:t>
            </w:r>
          </w:p>
        </w:tc>
      </w:tr>
    </w:tbl>
    <w:p w:rsidR="005A3591" w:rsidRPr="005A3591" w:rsidRDefault="005A3591" w:rsidP="005A3591">
      <w:pPr>
        <w:spacing w:after="0" w:line="240" w:lineRule="auto"/>
        <w:ind w:firstLine="567"/>
        <w:jc w:val="both"/>
        <w:rPr>
          <w:rFonts w:ascii="Times New Roman" w:hAnsi="Times New Roman" w:cs="Times New Roman"/>
          <w:sz w:val="24"/>
          <w:szCs w:val="24"/>
        </w:rPr>
      </w:pPr>
    </w:p>
    <w:p w:rsidR="005A3591" w:rsidRPr="005A3591" w:rsidRDefault="005A3591" w:rsidP="005A3591">
      <w:pPr>
        <w:spacing w:after="0" w:line="240" w:lineRule="auto"/>
        <w:ind w:firstLine="567"/>
        <w:jc w:val="both"/>
        <w:rPr>
          <w:rFonts w:ascii="Times New Roman" w:hAnsi="Times New Roman" w:cs="Times New Roman"/>
          <w:sz w:val="24"/>
          <w:szCs w:val="24"/>
        </w:rPr>
      </w:pPr>
      <w:r w:rsidRPr="005A3591">
        <w:rPr>
          <w:rFonts w:ascii="Times New Roman" w:hAnsi="Times New Roman" w:cs="Times New Roman"/>
          <w:sz w:val="24"/>
          <w:szCs w:val="24"/>
          <w:lang w:val="kk-KZ"/>
        </w:rPr>
        <w:t xml:space="preserve">Алынған мәліметтерді аймақтар бойынша талдау көрсеткендей, респонденттер жауаптарындағы бағалау кезіндегі аса үлкен қарама-қайшылық Батыс Қазақстан облысында байқалады: ең көп оң және теріс көрсеткіштер </w:t>
      </w:r>
      <w:r w:rsidRPr="005A3591">
        <w:rPr>
          <w:rFonts w:ascii="Times New Roman" w:hAnsi="Times New Roman" w:cs="Times New Roman"/>
          <w:sz w:val="24"/>
          <w:szCs w:val="24"/>
        </w:rPr>
        <w:t xml:space="preserve">– 41,7% </w:t>
      </w:r>
      <w:r w:rsidRPr="005A3591">
        <w:rPr>
          <w:rFonts w:ascii="Times New Roman" w:hAnsi="Times New Roman" w:cs="Times New Roman"/>
          <w:sz w:val="24"/>
          <w:szCs w:val="24"/>
          <w:lang w:val="kk-KZ"/>
        </w:rPr>
        <w:t>және</w:t>
      </w:r>
      <w:r w:rsidRPr="005A3591">
        <w:rPr>
          <w:rFonts w:ascii="Times New Roman" w:hAnsi="Times New Roman" w:cs="Times New Roman"/>
          <w:sz w:val="24"/>
          <w:szCs w:val="24"/>
        </w:rPr>
        <w:t xml:space="preserve"> 4,2%  (</w:t>
      </w:r>
      <w:r w:rsidRPr="005A3591">
        <w:rPr>
          <w:rFonts w:ascii="Times New Roman" w:hAnsi="Times New Roman" w:cs="Times New Roman"/>
          <w:sz w:val="24"/>
          <w:szCs w:val="24"/>
          <w:lang w:val="kk-KZ"/>
        </w:rPr>
        <w:t>кесте</w:t>
      </w:r>
      <w:r w:rsidR="00A9410C">
        <w:rPr>
          <w:rFonts w:ascii="Times New Roman" w:hAnsi="Times New Roman" w:cs="Times New Roman"/>
          <w:sz w:val="24"/>
          <w:szCs w:val="24"/>
        </w:rPr>
        <w:t xml:space="preserve"> </w:t>
      </w:r>
      <w:r w:rsidR="00A9410C">
        <w:rPr>
          <w:rFonts w:ascii="Times New Roman" w:hAnsi="Times New Roman" w:cs="Times New Roman"/>
          <w:sz w:val="24"/>
          <w:szCs w:val="24"/>
          <w:lang w:val="kk-KZ"/>
        </w:rPr>
        <w:t>5</w:t>
      </w:r>
      <w:r w:rsidRPr="005A3591">
        <w:rPr>
          <w:rFonts w:ascii="Times New Roman" w:hAnsi="Times New Roman" w:cs="Times New Roman"/>
          <w:sz w:val="24"/>
          <w:szCs w:val="24"/>
        </w:rPr>
        <w:t>).</w:t>
      </w:r>
    </w:p>
    <w:p w:rsidR="005A3591" w:rsidRP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Қоғамның әртүрлі қабаттарының экономикалық дамуының тұрақты көрсеткіші болып табылатын «Табысым қымбат сауда жасаудан басқасының барлығына жетеді» жауап нұсқасы Қазақстан бойынша орташа көрсеткіштен келесі аймақтарда сәл жоғары: </w:t>
      </w:r>
    </w:p>
    <w:p w:rsidR="005A3591" w:rsidRPr="005A3591" w:rsidRDefault="005A3591" w:rsidP="005E54CA">
      <w:pPr>
        <w:pStyle w:val="a3"/>
        <w:numPr>
          <w:ilvl w:val="0"/>
          <w:numId w:val="4"/>
        </w:numPr>
        <w:tabs>
          <w:tab w:val="left" w:pos="851"/>
        </w:tabs>
        <w:spacing w:line="240" w:lineRule="auto"/>
        <w:ind w:left="0" w:firstLine="567"/>
        <w:rPr>
          <w:rFonts w:ascii="Times New Roman" w:hAnsi="Times New Roman" w:cs="Times New Roman"/>
          <w:sz w:val="24"/>
          <w:szCs w:val="24"/>
        </w:rPr>
      </w:pPr>
      <w:r w:rsidRPr="005A3591">
        <w:rPr>
          <w:rFonts w:ascii="Times New Roman" w:hAnsi="Times New Roman" w:cs="Times New Roman"/>
          <w:sz w:val="24"/>
          <w:szCs w:val="24"/>
        </w:rPr>
        <w:t>Астана</w:t>
      </w:r>
      <w:r w:rsidRPr="005A3591">
        <w:rPr>
          <w:rFonts w:ascii="Times New Roman" w:hAnsi="Times New Roman" w:cs="Times New Roman"/>
          <w:sz w:val="24"/>
          <w:szCs w:val="24"/>
          <w:lang w:val="kk-KZ"/>
        </w:rPr>
        <w:t xml:space="preserve"> қ.</w:t>
      </w:r>
      <w:r w:rsidRPr="005A3591">
        <w:rPr>
          <w:rFonts w:ascii="Times New Roman" w:hAnsi="Times New Roman" w:cs="Times New Roman"/>
          <w:sz w:val="24"/>
          <w:szCs w:val="24"/>
        </w:rPr>
        <w:t xml:space="preserve"> – 36,0% </w:t>
      </w:r>
    </w:p>
    <w:p w:rsidR="005A3591" w:rsidRPr="005A3591" w:rsidRDefault="005A3591" w:rsidP="005E54CA">
      <w:pPr>
        <w:pStyle w:val="a3"/>
        <w:numPr>
          <w:ilvl w:val="0"/>
          <w:numId w:val="4"/>
        </w:numPr>
        <w:tabs>
          <w:tab w:val="left" w:pos="851"/>
        </w:tabs>
        <w:spacing w:line="240" w:lineRule="auto"/>
        <w:ind w:left="0" w:firstLine="567"/>
        <w:rPr>
          <w:rFonts w:ascii="Times New Roman" w:hAnsi="Times New Roman" w:cs="Times New Roman"/>
          <w:sz w:val="24"/>
          <w:szCs w:val="24"/>
        </w:rPr>
      </w:pPr>
      <w:r w:rsidRPr="005A3591">
        <w:rPr>
          <w:rFonts w:ascii="Times New Roman" w:hAnsi="Times New Roman" w:cs="Times New Roman"/>
          <w:sz w:val="24"/>
          <w:szCs w:val="24"/>
          <w:lang w:val="kk-KZ"/>
        </w:rPr>
        <w:lastRenderedPageBreak/>
        <w:t>Оңтүстік Қазақстан облысы</w:t>
      </w:r>
      <w:r w:rsidRPr="005A3591">
        <w:rPr>
          <w:rFonts w:ascii="Times New Roman" w:hAnsi="Times New Roman" w:cs="Times New Roman"/>
          <w:sz w:val="24"/>
          <w:szCs w:val="24"/>
        </w:rPr>
        <w:t xml:space="preserve">  - 34,0%</w:t>
      </w:r>
    </w:p>
    <w:p w:rsidR="005A3591" w:rsidRPr="005A3591" w:rsidRDefault="005A3591" w:rsidP="005E54CA">
      <w:pPr>
        <w:pStyle w:val="a3"/>
        <w:numPr>
          <w:ilvl w:val="0"/>
          <w:numId w:val="4"/>
        </w:numPr>
        <w:tabs>
          <w:tab w:val="left" w:pos="851"/>
        </w:tabs>
        <w:spacing w:line="240" w:lineRule="auto"/>
        <w:ind w:left="0" w:firstLine="567"/>
        <w:rPr>
          <w:rFonts w:ascii="Times New Roman" w:hAnsi="Times New Roman" w:cs="Times New Roman"/>
          <w:sz w:val="24"/>
          <w:szCs w:val="24"/>
        </w:rPr>
      </w:pPr>
      <w:r w:rsidRPr="005A3591">
        <w:rPr>
          <w:rFonts w:ascii="Times New Roman" w:hAnsi="Times New Roman" w:cs="Times New Roman"/>
          <w:sz w:val="24"/>
          <w:szCs w:val="24"/>
          <w:lang w:val="kk-KZ"/>
        </w:rPr>
        <w:t>Қарағанды облысы</w:t>
      </w:r>
      <w:r w:rsidRPr="005A3591">
        <w:rPr>
          <w:rFonts w:ascii="Times New Roman" w:hAnsi="Times New Roman" w:cs="Times New Roman"/>
          <w:sz w:val="24"/>
          <w:szCs w:val="24"/>
        </w:rPr>
        <w:t xml:space="preserve"> – 32,8%</w:t>
      </w:r>
      <w:r w:rsidR="00A9410C">
        <w:rPr>
          <w:rFonts w:ascii="Times New Roman" w:hAnsi="Times New Roman" w:cs="Times New Roman"/>
          <w:sz w:val="24"/>
          <w:szCs w:val="24"/>
          <w:lang w:val="kk-KZ"/>
        </w:rPr>
        <w:t>.</w:t>
      </w:r>
      <w:r w:rsidRPr="005A3591">
        <w:rPr>
          <w:rFonts w:ascii="Times New Roman" w:hAnsi="Times New Roman" w:cs="Times New Roman"/>
          <w:sz w:val="24"/>
          <w:szCs w:val="24"/>
        </w:rPr>
        <w:t xml:space="preserve"> </w:t>
      </w:r>
    </w:p>
    <w:p w:rsidR="005A3591" w:rsidRDefault="005A3591" w:rsidP="005A3591">
      <w:pPr>
        <w:spacing w:after="0" w:line="240" w:lineRule="auto"/>
        <w:ind w:firstLine="567"/>
        <w:jc w:val="both"/>
        <w:rPr>
          <w:rFonts w:ascii="Times New Roman" w:hAnsi="Times New Roman" w:cs="Times New Roman"/>
          <w:sz w:val="24"/>
          <w:szCs w:val="24"/>
          <w:lang w:val="kk-KZ"/>
        </w:rPr>
      </w:pPr>
      <w:r w:rsidRPr="005A3591">
        <w:rPr>
          <w:rFonts w:ascii="Times New Roman" w:hAnsi="Times New Roman" w:cs="Times New Roman"/>
          <w:sz w:val="24"/>
          <w:szCs w:val="24"/>
          <w:lang w:val="kk-KZ"/>
        </w:rPr>
        <w:t xml:space="preserve">Өз табыс деңгейін тек негізгі қажеттіліктерді жабуға жететіндей деп бағалайтын жас ғалымдардың саны көбінесе Ақтөбе – </w:t>
      </w:r>
      <w:r w:rsidRPr="005A3591">
        <w:rPr>
          <w:rFonts w:ascii="Times New Roman" w:hAnsi="Times New Roman" w:cs="Times New Roman"/>
          <w:sz w:val="24"/>
          <w:szCs w:val="24"/>
        </w:rPr>
        <w:t>54,2%</w:t>
      </w:r>
      <w:r w:rsidRPr="005A3591">
        <w:rPr>
          <w:rFonts w:ascii="Times New Roman" w:hAnsi="Times New Roman" w:cs="Times New Roman"/>
          <w:sz w:val="24"/>
          <w:szCs w:val="24"/>
          <w:lang w:val="kk-KZ"/>
        </w:rPr>
        <w:t xml:space="preserve"> және Алматы қалаларына </w:t>
      </w:r>
      <w:r w:rsidRPr="005A3591">
        <w:rPr>
          <w:rFonts w:ascii="Times New Roman" w:hAnsi="Times New Roman" w:cs="Times New Roman"/>
          <w:sz w:val="24"/>
          <w:szCs w:val="24"/>
        </w:rPr>
        <w:t>41,8%</w:t>
      </w:r>
      <w:r w:rsidRPr="005A3591">
        <w:rPr>
          <w:rFonts w:ascii="Times New Roman" w:hAnsi="Times New Roman" w:cs="Times New Roman"/>
          <w:sz w:val="24"/>
          <w:szCs w:val="24"/>
          <w:lang w:val="kk-KZ"/>
        </w:rPr>
        <w:t xml:space="preserve"> тән. </w:t>
      </w:r>
    </w:p>
    <w:p w:rsidR="003F504C" w:rsidRDefault="003F504C" w:rsidP="003F504C">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F504C">
        <w:rPr>
          <w:rFonts w:ascii="Times New Roman" w:eastAsia="Times New Roman" w:hAnsi="Times New Roman" w:cs="Times New Roman"/>
          <w:color w:val="000000"/>
          <w:sz w:val="24"/>
          <w:szCs w:val="24"/>
          <w:lang w:val="kk-KZ"/>
        </w:rPr>
        <w:t>Жас ғалымның бюджеті қандай қаражаттың есебінен қалыптасады? Кірістің негізгі көзі – оқытушының немесе ғылыми қызметкердің жалақысы (көп жағдайда ол жобалардың орындалуымен байланысты болып келеді), келесісі – гранттық іс-әрекет (мемлекеттік бағдарламалар, халықаралық ұйымдар мен түрлі Қорлардың зерттеу гранттары).</w:t>
      </w:r>
      <w:r w:rsidR="00E822CB">
        <w:rPr>
          <w:rFonts w:ascii="Times New Roman" w:eastAsia="Times New Roman" w:hAnsi="Times New Roman" w:cs="Times New Roman"/>
          <w:color w:val="000000"/>
          <w:sz w:val="24"/>
          <w:szCs w:val="24"/>
          <w:lang w:val="kk-KZ"/>
        </w:rPr>
        <w:t xml:space="preserve"> </w:t>
      </w:r>
    </w:p>
    <w:p w:rsidR="003F504C" w:rsidRDefault="003F504C" w:rsidP="003F504C">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F504C">
        <w:rPr>
          <w:rFonts w:ascii="Times New Roman" w:eastAsia="Times New Roman" w:hAnsi="Times New Roman" w:cs="Times New Roman"/>
          <w:color w:val="000000"/>
          <w:sz w:val="24"/>
          <w:szCs w:val="24"/>
          <w:lang w:val="kk-KZ"/>
        </w:rPr>
        <w:t>Жоғары табыс жалақымен, гранттық іс-әрекетке қатысумен және шаруашылық-келісім-шарттық жобалардың жүзеге асырылуымен қамтамасыз етіледі.</w:t>
      </w:r>
    </w:p>
    <w:p w:rsidR="003C37BD" w:rsidRPr="003C37BD" w:rsidRDefault="003C37BD" w:rsidP="003C37BD">
      <w:pPr>
        <w:shd w:val="clear" w:color="auto" w:fill="FFFFFF"/>
        <w:spacing w:after="0" w:line="240" w:lineRule="auto"/>
        <w:ind w:firstLine="709"/>
        <w:jc w:val="both"/>
        <w:rPr>
          <w:rFonts w:ascii="Times New Roman" w:eastAsia="Times New Roman" w:hAnsi="Times New Roman" w:cs="Times New Roman"/>
          <w:color w:val="000000"/>
          <w:sz w:val="24"/>
          <w:szCs w:val="24"/>
          <w:lang w:val="kk-KZ"/>
        </w:rPr>
      </w:pPr>
      <w:r w:rsidRPr="003C37BD">
        <w:rPr>
          <w:rFonts w:ascii="Times New Roman" w:hAnsi="Times New Roman" w:cs="Times New Roman"/>
          <w:sz w:val="24"/>
          <w:szCs w:val="24"/>
          <w:lang w:val="kk-KZ"/>
        </w:rPr>
        <w:t>2008 жылы жүргізілген ұқсас зерттеу нәтижелерімен салыстыратын болсақ, жас ғалымдар ғылыммен байланысты қызметтегі табыс динамикасын жағымды деп көрсеткен және табыстары өздерінің жеке қажеттіліктері мен отбасыларының қажеттіліктерін қанағаттандыратын респонденттердің саны 2 есеге дейін төмендегендігі</w:t>
      </w:r>
      <w:r>
        <w:rPr>
          <w:rFonts w:ascii="Times New Roman" w:hAnsi="Times New Roman" w:cs="Times New Roman"/>
          <w:sz w:val="24"/>
          <w:szCs w:val="24"/>
          <w:lang w:val="kk-KZ"/>
        </w:rPr>
        <w:t xml:space="preserve"> байқалады. </w:t>
      </w:r>
      <w:r w:rsidRPr="003C37BD">
        <w:rPr>
          <w:rFonts w:ascii="Times New Roman" w:hAnsi="Times New Roman" w:cs="Times New Roman"/>
          <w:sz w:val="24"/>
          <w:szCs w:val="24"/>
          <w:lang w:val="kk-KZ"/>
        </w:rPr>
        <w:t xml:space="preserve">Сонымен қатар, табыстары виталды қажеттіліктердің негізгі спектрін қамтитын жас ғалымдардың пайыздық көрсеткіші 8,2%-ға артқан. Қалған позициялар бойынша өзгерістер аса байқалмайды. </w:t>
      </w:r>
      <w:r>
        <w:rPr>
          <w:rFonts w:ascii="Times New Roman" w:hAnsi="Times New Roman" w:cs="Times New Roman"/>
          <w:sz w:val="24"/>
          <w:szCs w:val="24"/>
          <w:lang w:val="kk-KZ"/>
        </w:rPr>
        <w:t xml:space="preserve">Сұрауға </w:t>
      </w:r>
      <w:r w:rsidRPr="003C37BD">
        <w:rPr>
          <w:rFonts w:ascii="Times New Roman" w:hAnsi="Times New Roman" w:cs="Times New Roman"/>
          <w:sz w:val="24"/>
          <w:szCs w:val="24"/>
          <w:lang w:val="kk-KZ"/>
        </w:rPr>
        <w:t xml:space="preserve">қатысушыларының басым бөлігі үшін жоғары оқу орнында немесе ғылыми мекемеде алатын табыстары өмір сүрудің тек бір көзі ғана емес. Өздерінің ай сайынғы табыстарын жас ғалымдар орташа деп бағалайды.  </w:t>
      </w:r>
    </w:p>
    <w:p w:rsidR="003C37BD" w:rsidRPr="003C37BD" w:rsidRDefault="003C37BD" w:rsidP="003F504C">
      <w:pPr>
        <w:spacing w:after="0" w:line="240" w:lineRule="auto"/>
        <w:ind w:firstLine="709"/>
        <w:jc w:val="both"/>
        <w:rPr>
          <w:rFonts w:ascii="Times New Roman" w:hAnsi="Times New Roman" w:cs="Times New Roman"/>
          <w:sz w:val="24"/>
          <w:szCs w:val="24"/>
          <w:lang w:val="kk-KZ"/>
        </w:rPr>
      </w:pPr>
    </w:p>
    <w:p w:rsidR="003F504C" w:rsidRPr="003F504C" w:rsidRDefault="003F504C" w:rsidP="003F504C">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p>
    <w:p w:rsidR="003F504C" w:rsidRPr="005A3591" w:rsidRDefault="003F504C" w:rsidP="005A3591">
      <w:pPr>
        <w:spacing w:after="0" w:line="240" w:lineRule="auto"/>
        <w:ind w:firstLine="567"/>
        <w:jc w:val="both"/>
        <w:rPr>
          <w:rFonts w:ascii="Times New Roman" w:hAnsi="Times New Roman" w:cs="Times New Roman"/>
          <w:sz w:val="24"/>
          <w:szCs w:val="24"/>
          <w:lang w:val="kk-KZ"/>
        </w:rPr>
      </w:pPr>
    </w:p>
    <w:p w:rsidR="005A3591" w:rsidRPr="003F504C" w:rsidRDefault="005A3591" w:rsidP="005A3591">
      <w:pPr>
        <w:spacing w:after="0" w:line="240" w:lineRule="auto"/>
        <w:ind w:firstLine="567"/>
        <w:jc w:val="both"/>
        <w:rPr>
          <w:rFonts w:ascii="Times New Roman" w:hAnsi="Times New Roman" w:cs="Times New Roman"/>
          <w:sz w:val="24"/>
          <w:szCs w:val="24"/>
          <w:lang w:val="kk-KZ"/>
        </w:rPr>
      </w:pPr>
    </w:p>
    <w:p w:rsidR="004C188B" w:rsidRPr="003F504C" w:rsidRDefault="004C188B" w:rsidP="005A3591">
      <w:pPr>
        <w:spacing w:after="0" w:line="240" w:lineRule="auto"/>
        <w:ind w:firstLine="567"/>
        <w:jc w:val="both"/>
        <w:rPr>
          <w:rFonts w:ascii="Times New Roman" w:hAnsi="Times New Roman" w:cs="Times New Roman"/>
          <w:sz w:val="24"/>
          <w:szCs w:val="24"/>
          <w:lang w:val="kk-KZ"/>
        </w:rPr>
      </w:pPr>
    </w:p>
    <w:p w:rsidR="004C188B" w:rsidRPr="003F504C" w:rsidRDefault="004C188B" w:rsidP="005A3591">
      <w:pPr>
        <w:spacing w:after="0" w:line="240" w:lineRule="auto"/>
        <w:ind w:firstLine="567"/>
        <w:jc w:val="both"/>
        <w:rPr>
          <w:rFonts w:ascii="Times New Roman" w:hAnsi="Times New Roman" w:cs="Times New Roman"/>
          <w:sz w:val="24"/>
          <w:szCs w:val="24"/>
          <w:lang w:val="kk-KZ"/>
        </w:rPr>
      </w:pPr>
    </w:p>
    <w:p w:rsidR="005A3591" w:rsidRPr="003F504C" w:rsidRDefault="005A3591" w:rsidP="004C188B">
      <w:pPr>
        <w:spacing w:after="0" w:line="240" w:lineRule="auto"/>
        <w:ind w:firstLine="567"/>
        <w:rPr>
          <w:sz w:val="24"/>
          <w:szCs w:val="24"/>
          <w:lang w:val="kk-KZ"/>
        </w:rPr>
      </w:pPr>
    </w:p>
    <w:p w:rsidR="005A3591" w:rsidRPr="003F504C" w:rsidRDefault="005A3591" w:rsidP="005A3591">
      <w:pPr>
        <w:spacing w:after="0" w:line="240" w:lineRule="auto"/>
        <w:jc w:val="center"/>
        <w:rPr>
          <w:b/>
          <w:sz w:val="24"/>
          <w:szCs w:val="24"/>
          <w:lang w:val="kk-KZ"/>
        </w:rPr>
      </w:pPr>
    </w:p>
    <w:sectPr w:rsidR="005A3591" w:rsidRPr="003F504C" w:rsidSect="00E97939">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6D4" w:rsidRDefault="007426D4" w:rsidP="005A3591">
      <w:pPr>
        <w:spacing w:after="0" w:line="240" w:lineRule="auto"/>
      </w:pPr>
      <w:r>
        <w:separator/>
      </w:r>
    </w:p>
  </w:endnote>
  <w:endnote w:type="continuationSeparator" w:id="1">
    <w:p w:rsidR="007426D4" w:rsidRDefault="007426D4" w:rsidP="005A3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63E" w:rsidRDefault="008F063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6D4" w:rsidRDefault="007426D4" w:rsidP="005A3591">
      <w:pPr>
        <w:spacing w:after="0" w:line="240" w:lineRule="auto"/>
      </w:pPr>
      <w:r>
        <w:separator/>
      </w:r>
    </w:p>
  </w:footnote>
  <w:footnote w:type="continuationSeparator" w:id="1">
    <w:p w:rsidR="007426D4" w:rsidRDefault="007426D4" w:rsidP="005A3591">
      <w:pPr>
        <w:spacing w:after="0" w:line="240" w:lineRule="auto"/>
      </w:pPr>
      <w:r>
        <w:continuationSeparator/>
      </w:r>
    </w:p>
  </w:footnote>
  <w:footnote w:id="2">
    <w:p w:rsidR="00AE3FDA" w:rsidRPr="004E6D8A" w:rsidRDefault="00AE3FDA" w:rsidP="00AE3FDA">
      <w:pPr>
        <w:spacing w:after="0" w:line="240" w:lineRule="auto"/>
        <w:ind w:firstLine="567"/>
        <w:jc w:val="both"/>
        <w:rPr>
          <w:rFonts w:ascii="Times New Roman" w:hAnsi="Times New Roman" w:cs="Times New Roman"/>
          <w:sz w:val="20"/>
          <w:szCs w:val="20"/>
          <w:lang w:val="kk-KZ"/>
        </w:rPr>
      </w:pPr>
      <w:r>
        <w:rPr>
          <w:rStyle w:val="a6"/>
        </w:rPr>
        <w:footnoteRef/>
      </w:r>
      <w:r>
        <w:t xml:space="preserve"> </w:t>
      </w:r>
      <w:r w:rsidRPr="004E6D8A">
        <w:rPr>
          <w:rFonts w:ascii="Times New Roman" w:hAnsi="Times New Roman" w:cs="Times New Roman"/>
          <w:sz w:val="20"/>
          <w:szCs w:val="20"/>
          <w:lang w:val="kk-KZ"/>
        </w:rPr>
        <w:t>Сұрау Қазақстанның 7 аймағында жүргізілді: Астана қ., Алматы қ., Батыс Қазақстан облысы, Ақтөбе облысы, Оңтүстік Қазақстан облысы, Қарағанды облысы, Шығыс Қазақстан облысы. Зерттеудің іріктеу жиынтығы 500 респондентті құрады.</w:t>
      </w:r>
      <w:r w:rsidRPr="004E6D8A">
        <w:rPr>
          <w:rFonts w:ascii="Times New Roman" w:eastAsia="Georgia" w:hAnsi="Times New Roman" w:cs="Times New Roman"/>
          <w:sz w:val="20"/>
          <w:szCs w:val="20"/>
          <w:lang w:val="kk-KZ"/>
        </w:rPr>
        <w:t xml:space="preserve"> </w:t>
      </w:r>
      <w:r w:rsidRPr="004E6D8A">
        <w:rPr>
          <w:rFonts w:ascii="Times New Roman" w:hAnsi="Times New Roman" w:cs="Times New Roman"/>
          <w:sz w:val="20"/>
          <w:szCs w:val="20"/>
          <w:lang w:val="kk-KZ"/>
        </w:rPr>
        <w:t>Мақсатты топты ғылыми-зерттеу институттары мен ұйымдарда, жоғары оқу орны мекемелерінде жұмыс істейтін немесе жоғары оқу орнынан кейінгі білім беру жүйесінде  (магистратура және докторантура) оқитын 40 жасқа дейінгі жас мамандар құрады.</w:t>
      </w:r>
    </w:p>
    <w:p w:rsidR="00AE3FDA" w:rsidRPr="004E6D8A" w:rsidRDefault="00AE3FDA" w:rsidP="00AE3FDA">
      <w:pPr>
        <w:pStyle w:val="a4"/>
        <w:rPr>
          <w:lang w:val="kk-KZ"/>
        </w:rPr>
      </w:pPr>
    </w:p>
  </w:footnote>
  <w:footnote w:id="3">
    <w:p w:rsidR="00AE3FDA" w:rsidRPr="00D95CD0" w:rsidRDefault="00AE3FDA" w:rsidP="00AE3FDA">
      <w:pPr>
        <w:pStyle w:val="a4"/>
        <w:jc w:val="both"/>
        <w:rPr>
          <w:rFonts w:ascii="Times New Roman" w:hAnsi="Times New Roman" w:cs="Times New Roman"/>
          <w:lang w:val="kk-KZ"/>
        </w:rPr>
      </w:pPr>
      <w:r w:rsidRPr="00FB448C">
        <w:rPr>
          <w:rStyle w:val="a6"/>
          <w:rFonts w:ascii="Times New Roman" w:hAnsi="Times New Roman" w:cs="Times New Roman"/>
        </w:rPr>
        <w:footnoteRef/>
      </w:r>
      <w:r w:rsidRPr="00D95CD0">
        <w:rPr>
          <w:rFonts w:ascii="Times New Roman" w:hAnsi="Times New Roman" w:cs="Times New Roman"/>
          <w:lang w:val="kk-KZ"/>
        </w:rPr>
        <w:t xml:space="preserve"> </w:t>
      </w:r>
      <w:r>
        <w:rPr>
          <w:rFonts w:ascii="Times New Roman" w:hAnsi="Times New Roman" w:cs="Times New Roman"/>
          <w:lang w:val="kk-KZ"/>
        </w:rPr>
        <w:t>ҚР Тұңғыш Президенті Қорының тапсырысы бойынша Қазақстандық әлеуметтік-демографиялық ақпарат және болжау институтымен орындалған кешенді ғылыми зерттеу нәтижелері</w:t>
      </w:r>
      <w:r w:rsidRPr="00D95CD0">
        <w:rPr>
          <w:rFonts w:ascii="Times New Roman" w:hAnsi="Times New Roman" w:cs="Times New Roman"/>
          <w:lang w:val="kk-KZ"/>
        </w:rPr>
        <w:t xml:space="preserve">. – Алматы, 2008 </w:t>
      </w:r>
      <w:r>
        <w:rPr>
          <w:rFonts w:ascii="Times New Roman" w:hAnsi="Times New Roman" w:cs="Times New Roman"/>
          <w:lang w:val="kk-KZ"/>
        </w:rPr>
        <w:t>ж</w:t>
      </w:r>
      <w:r w:rsidRPr="00D95CD0">
        <w:rPr>
          <w:rFonts w:ascii="Times New Roman" w:hAnsi="Times New Roman" w:cs="Times New Roman"/>
          <w:lang w:val="kk-KZ"/>
        </w:rPr>
        <w:t xml:space="preserve">. </w:t>
      </w:r>
    </w:p>
  </w:footnote>
  <w:footnote w:id="4">
    <w:p w:rsidR="005A3591" w:rsidRPr="00AE3FDA" w:rsidRDefault="005A3591" w:rsidP="005A3591">
      <w:pPr>
        <w:pStyle w:val="a4"/>
        <w:rPr>
          <w:lang w:val="kk-KZ"/>
        </w:rPr>
      </w:pPr>
      <w:r>
        <w:rPr>
          <w:rStyle w:val="a6"/>
        </w:rPr>
        <w:footnoteRef/>
      </w:r>
      <w:r w:rsidRPr="00AE3FDA">
        <w:rPr>
          <w:lang w:val="kk-KZ"/>
        </w:rPr>
        <w:t xml:space="preserve"> http://www.stat.kz/Pages/default.aspx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C1E02"/>
    <w:multiLevelType w:val="hybridMultilevel"/>
    <w:tmpl w:val="0E5ADFC0"/>
    <w:lvl w:ilvl="0" w:tplc="2FE24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213398"/>
    <w:multiLevelType w:val="hybridMultilevel"/>
    <w:tmpl w:val="060A1D8E"/>
    <w:lvl w:ilvl="0" w:tplc="B4188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880AEF"/>
    <w:multiLevelType w:val="hybridMultilevel"/>
    <w:tmpl w:val="52785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D7BEC"/>
    <w:multiLevelType w:val="hybridMultilevel"/>
    <w:tmpl w:val="88E2D1C8"/>
    <w:lvl w:ilvl="0" w:tplc="AAA8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EA229B"/>
    <w:multiLevelType w:val="hybridMultilevel"/>
    <w:tmpl w:val="DDFA3EA6"/>
    <w:lvl w:ilvl="0" w:tplc="2F7A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7A068C"/>
    <w:multiLevelType w:val="hybridMultilevel"/>
    <w:tmpl w:val="E7347A06"/>
    <w:lvl w:ilvl="0" w:tplc="325A26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37567B8"/>
    <w:multiLevelType w:val="hybridMultilevel"/>
    <w:tmpl w:val="151C2084"/>
    <w:lvl w:ilvl="0" w:tplc="65562B50">
      <w:start w:val="1"/>
      <w:numFmt w:val="decimal"/>
      <w:lvlText w:val="%1."/>
      <w:lvlJc w:val="left"/>
      <w:pPr>
        <w:ind w:left="360"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EE142B"/>
    <w:multiLevelType w:val="hybridMultilevel"/>
    <w:tmpl w:val="0A5AA34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91C52"/>
    <w:multiLevelType w:val="hybridMultilevel"/>
    <w:tmpl w:val="FA32DEDC"/>
    <w:lvl w:ilvl="0" w:tplc="4A6EC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6"/>
  </w:num>
  <w:num w:numId="3">
    <w:abstractNumId w:val="8"/>
  </w:num>
  <w:num w:numId="4">
    <w:abstractNumId w:val="5"/>
  </w:num>
  <w:num w:numId="5">
    <w:abstractNumId w:val="3"/>
  </w:num>
  <w:num w:numId="6">
    <w:abstractNumId w:val="7"/>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A3591"/>
    <w:rsid w:val="000841BC"/>
    <w:rsid w:val="003056CA"/>
    <w:rsid w:val="00350924"/>
    <w:rsid w:val="003C2FEF"/>
    <w:rsid w:val="003C37BD"/>
    <w:rsid w:val="003F0535"/>
    <w:rsid w:val="003F504C"/>
    <w:rsid w:val="00401FCF"/>
    <w:rsid w:val="00460FF6"/>
    <w:rsid w:val="00472DCD"/>
    <w:rsid w:val="004C188B"/>
    <w:rsid w:val="004C334E"/>
    <w:rsid w:val="004D6ACF"/>
    <w:rsid w:val="005339C0"/>
    <w:rsid w:val="005554EE"/>
    <w:rsid w:val="005A3591"/>
    <w:rsid w:val="005E54CA"/>
    <w:rsid w:val="00651524"/>
    <w:rsid w:val="00676CF6"/>
    <w:rsid w:val="00696149"/>
    <w:rsid w:val="006A74DF"/>
    <w:rsid w:val="006B7CA6"/>
    <w:rsid w:val="00701212"/>
    <w:rsid w:val="007426D4"/>
    <w:rsid w:val="0074784E"/>
    <w:rsid w:val="00773520"/>
    <w:rsid w:val="00812FF4"/>
    <w:rsid w:val="00822A3D"/>
    <w:rsid w:val="00823137"/>
    <w:rsid w:val="008D3788"/>
    <w:rsid w:val="008D7F5E"/>
    <w:rsid w:val="008F063E"/>
    <w:rsid w:val="0098020D"/>
    <w:rsid w:val="0098720E"/>
    <w:rsid w:val="009B1C8F"/>
    <w:rsid w:val="009F5979"/>
    <w:rsid w:val="00A50DDB"/>
    <w:rsid w:val="00A9410C"/>
    <w:rsid w:val="00AE3FDA"/>
    <w:rsid w:val="00B05EE2"/>
    <w:rsid w:val="00BA4599"/>
    <w:rsid w:val="00BC3E5E"/>
    <w:rsid w:val="00C00B72"/>
    <w:rsid w:val="00C533A9"/>
    <w:rsid w:val="00C7431D"/>
    <w:rsid w:val="00C82E97"/>
    <w:rsid w:val="00CF22E4"/>
    <w:rsid w:val="00CF5298"/>
    <w:rsid w:val="00D421DA"/>
    <w:rsid w:val="00D74934"/>
    <w:rsid w:val="00DB52B0"/>
    <w:rsid w:val="00E822CB"/>
    <w:rsid w:val="00E97939"/>
    <w:rsid w:val="00EC0A04"/>
    <w:rsid w:val="00ED4E4E"/>
    <w:rsid w:val="00F404A2"/>
    <w:rsid w:val="00F64EE3"/>
    <w:rsid w:val="00F90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39"/>
  </w:style>
  <w:style w:type="paragraph" w:styleId="1">
    <w:name w:val="heading 1"/>
    <w:basedOn w:val="a"/>
    <w:next w:val="a"/>
    <w:link w:val="10"/>
    <w:uiPriority w:val="9"/>
    <w:qFormat/>
    <w:rsid w:val="0082313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A359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591"/>
    <w:rPr>
      <w:rFonts w:asciiTheme="majorHAnsi" w:eastAsiaTheme="majorEastAsia" w:hAnsiTheme="majorHAnsi" w:cstheme="majorBidi"/>
      <w:b/>
      <w:bCs/>
      <w:color w:val="4F81BD" w:themeColor="accent1"/>
      <w:sz w:val="26"/>
      <w:szCs w:val="26"/>
      <w:lang w:eastAsia="en-US"/>
    </w:rPr>
  </w:style>
  <w:style w:type="paragraph" w:styleId="3">
    <w:name w:val="Body Text Indent 3"/>
    <w:basedOn w:val="a"/>
    <w:link w:val="30"/>
    <w:unhideWhenUsed/>
    <w:rsid w:val="005A35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A3591"/>
    <w:rPr>
      <w:rFonts w:ascii="Times New Roman" w:eastAsia="Times New Roman" w:hAnsi="Times New Roman" w:cs="Times New Roman"/>
      <w:sz w:val="16"/>
      <w:szCs w:val="16"/>
    </w:rPr>
  </w:style>
  <w:style w:type="paragraph" w:styleId="a3">
    <w:name w:val="List Paragraph"/>
    <w:basedOn w:val="a"/>
    <w:uiPriority w:val="34"/>
    <w:qFormat/>
    <w:rsid w:val="005A3591"/>
    <w:pPr>
      <w:spacing w:after="0"/>
      <w:ind w:left="720"/>
      <w:contextualSpacing/>
      <w:jc w:val="both"/>
    </w:pPr>
    <w:rPr>
      <w:rFonts w:eastAsiaTheme="minorHAnsi"/>
      <w:lang w:eastAsia="en-US"/>
    </w:rPr>
  </w:style>
  <w:style w:type="paragraph" w:styleId="a4">
    <w:name w:val="footnote text"/>
    <w:basedOn w:val="a"/>
    <w:link w:val="a5"/>
    <w:unhideWhenUsed/>
    <w:rsid w:val="005A3591"/>
    <w:pPr>
      <w:spacing w:after="0" w:line="240" w:lineRule="auto"/>
    </w:pPr>
    <w:rPr>
      <w:rFonts w:eastAsiaTheme="minorHAnsi"/>
      <w:sz w:val="20"/>
      <w:szCs w:val="20"/>
      <w:lang w:eastAsia="en-US"/>
    </w:rPr>
  </w:style>
  <w:style w:type="character" w:customStyle="1" w:styleId="a5">
    <w:name w:val="Текст сноски Знак"/>
    <w:basedOn w:val="a0"/>
    <w:link w:val="a4"/>
    <w:rsid w:val="005A3591"/>
    <w:rPr>
      <w:rFonts w:eastAsiaTheme="minorHAnsi"/>
      <w:sz w:val="20"/>
      <w:szCs w:val="20"/>
      <w:lang w:eastAsia="en-US"/>
    </w:rPr>
  </w:style>
  <w:style w:type="character" w:styleId="a6">
    <w:name w:val="footnote reference"/>
    <w:basedOn w:val="a0"/>
    <w:semiHidden/>
    <w:unhideWhenUsed/>
    <w:rsid w:val="005A3591"/>
    <w:rPr>
      <w:vertAlign w:val="superscript"/>
    </w:rPr>
  </w:style>
  <w:style w:type="table" w:customStyle="1" w:styleId="-11">
    <w:name w:val="Светлая сетка - Акцент 11"/>
    <w:basedOn w:val="a1"/>
    <w:uiPriority w:val="62"/>
    <w:rsid w:val="005A3591"/>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1">
    <w:name w:val="title1"/>
    <w:basedOn w:val="a0"/>
    <w:rsid w:val="005A3591"/>
    <w:rPr>
      <w:b/>
      <w:bCs/>
      <w:color w:val="002D56"/>
      <w:sz w:val="21"/>
      <w:szCs w:val="21"/>
    </w:rPr>
  </w:style>
  <w:style w:type="paragraph" w:styleId="a7">
    <w:name w:val="Balloon Text"/>
    <w:basedOn w:val="a"/>
    <w:link w:val="a8"/>
    <w:uiPriority w:val="99"/>
    <w:semiHidden/>
    <w:unhideWhenUsed/>
    <w:rsid w:val="005A35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591"/>
    <w:rPr>
      <w:rFonts w:ascii="Tahoma" w:hAnsi="Tahoma" w:cs="Tahoma"/>
      <w:sz w:val="16"/>
      <w:szCs w:val="16"/>
    </w:rPr>
  </w:style>
  <w:style w:type="character" w:customStyle="1" w:styleId="10">
    <w:name w:val="Заголовок 1 Знак"/>
    <w:basedOn w:val="a0"/>
    <w:link w:val="1"/>
    <w:uiPriority w:val="9"/>
    <w:rsid w:val="00823137"/>
    <w:rPr>
      <w:rFonts w:asciiTheme="majorHAnsi" w:eastAsiaTheme="majorEastAsia" w:hAnsiTheme="majorHAnsi" w:cstheme="majorBidi"/>
      <w:b/>
      <w:bCs/>
      <w:color w:val="365F91" w:themeColor="accent1" w:themeShade="BF"/>
      <w:sz w:val="28"/>
      <w:szCs w:val="28"/>
      <w:lang w:eastAsia="en-US"/>
    </w:rPr>
  </w:style>
  <w:style w:type="paragraph" w:styleId="a9">
    <w:name w:val="Body Text"/>
    <w:basedOn w:val="a"/>
    <w:link w:val="aa"/>
    <w:uiPriority w:val="99"/>
    <w:unhideWhenUsed/>
    <w:rsid w:val="00823137"/>
    <w:pPr>
      <w:spacing w:after="120"/>
    </w:pPr>
    <w:rPr>
      <w:rFonts w:eastAsiaTheme="minorHAnsi"/>
      <w:lang w:eastAsia="en-US"/>
    </w:rPr>
  </w:style>
  <w:style w:type="character" w:customStyle="1" w:styleId="aa">
    <w:name w:val="Основной текст Знак"/>
    <w:basedOn w:val="a0"/>
    <w:link w:val="a9"/>
    <w:uiPriority w:val="99"/>
    <w:rsid w:val="00823137"/>
    <w:rPr>
      <w:rFonts w:eastAsiaTheme="minorHAnsi"/>
      <w:lang w:eastAsia="en-US"/>
    </w:rPr>
  </w:style>
  <w:style w:type="character" w:styleId="ab">
    <w:name w:val="Strong"/>
    <w:basedOn w:val="a0"/>
    <w:uiPriority w:val="22"/>
    <w:qFormat/>
    <w:rsid w:val="004C334E"/>
    <w:rPr>
      <w:b/>
      <w:bCs/>
    </w:rPr>
  </w:style>
  <w:style w:type="character" w:customStyle="1" w:styleId="apple-converted-space">
    <w:name w:val="apple-converted-space"/>
    <w:basedOn w:val="a0"/>
    <w:rsid w:val="004C334E"/>
  </w:style>
  <w:style w:type="paragraph" w:styleId="ac">
    <w:name w:val="header"/>
    <w:basedOn w:val="a"/>
    <w:link w:val="ad"/>
    <w:uiPriority w:val="99"/>
    <w:semiHidden/>
    <w:unhideWhenUsed/>
    <w:rsid w:val="008F063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F063E"/>
  </w:style>
  <w:style w:type="paragraph" w:styleId="ae">
    <w:name w:val="footer"/>
    <w:basedOn w:val="a"/>
    <w:link w:val="af"/>
    <w:uiPriority w:val="99"/>
    <w:unhideWhenUsed/>
    <w:rsid w:val="008F06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063E"/>
  </w:style>
</w:styles>
</file>

<file path=word/webSettings.xml><?xml version="1.0" encoding="utf-8"?>
<w:webSettings xmlns:r="http://schemas.openxmlformats.org/officeDocument/2006/relationships" xmlns:w="http://schemas.openxmlformats.org/wordprocessingml/2006/main">
  <w:divs>
    <w:div w:id="6387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0"/>
      <c:perspective val="30"/>
    </c:view3D>
    <c:sideWall>
      <c:spPr>
        <a:ln>
          <a:solidFill>
            <a:schemeClr val="bg2">
              <a:lumMod val="50000"/>
            </a:schemeClr>
          </a:solidFill>
        </a:ln>
      </c:spPr>
    </c:sideWall>
    <c:backWall>
      <c:spPr>
        <a:ln>
          <a:solidFill>
            <a:schemeClr val="bg2">
              <a:lumMod val="50000"/>
            </a:schemeClr>
          </a:solidFill>
        </a:ln>
      </c:spPr>
    </c:backWall>
    <c:plotArea>
      <c:layout/>
      <c:bar3DChart>
        <c:barDir val="col"/>
        <c:grouping val="standard"/>
        <c:ser>
          <c:idx val="0"/>
          <c:order val="0"/>
          <c:tx>
            <c:strRef>
              <c:f>Лист1!$B$1</c:f>
              <c:strCache>
                <c:ptCount val="1"/>
                <c:pt idx="0">
                  <c:v>Отбасын құрмағандар және ажырасқандар</c:v>
                </c:pt>
              </c:strCache>
            </c:strRef>
          </c:tx>
          <c:spPr>
            <a:solidFill>
              <a:srgbClr val="893BC3">
                <a:alpha val="93725"/>
              </a:srgbClr>
            </a:solidFill>
            <a:scene3d>
              <a:camera prst="orthographicFront"/>
              <a:lightRig rig="threePt" dir="t"/>
            </a:scene3d>
            <a:sp3d>
              <a:bevelT/>
            </a:sp3d>
          </c:spPr>
          <c:dLbls>
            <c:dLbl>
              <c:idx val="0"/>
              <c:layout>
                <c:manualLayout>
                  <c:x val="2.3148148148148147E-3"/>
                  <c:y val="9.1269841269841223E-2"/>
                </c:manualLayout>
              </c:layout>
              <c:showVal val="1"/>
            </c:dLbl>
            <c:dLbl>
              <c:idx val="1"/>
              <c:layout>
                <c:manualLayout>
                  <c:x val="2.3148148148148147E-3"/>
                  <c:y val="4.7619047619047554E-2"/>
                </c:manualLayout>
              </c:layout>
              <c:showVal val="1"/>
            </c:dLbl>
            <c:dLbl>
              <c:idx val="2"/>
              <c:layout>
                <c:manualLayout>
                  <c:x val="2.3148148148148147E-3"/>
                  <c:y val="8.730158730158713E-2"/>
                </c:manualLayout>
              </c:layout>
              <c:showVal val="1"/>
            </c:dLbl>
            <c:dLbl>
              <c:idx val="3"/>
              <c:layout>
                <c:manualLayout>
                  <c:x val="2.3148148148148147E-3"/>
                  <c:y val="9.5238095238095413E-2"/>
                </c:manualLayout>
              </c:layout>
              <c:showVal val="1"/>
            </c:dLbl>
            <c:txPr>
              <a:bodyPr/>
              <a:lstStyle/>
              <a:p>
                <a:pPr>
                  <a:defRPr b="1">
                    <a:solidFill>
                      <a:sysClr val="windowText" lastClr="000000"/>
                    </a:solidFill>
                  </a:defRPr>
                </a:pPr>
                <a:endParaRPr lang="ru-RU"/>
              </a:p>
            </c:txPr>
            <c:showVal val="1"/>
          </c:dLbls>
          <c:cat>
            <c:strRef>
              <c:f>Лист1!$A$2:$A$5</c:f>
              <c:strCache>
                <c:ptCount val="4"/>
                <c:pt idx="0">
                  <c:v>Ата-аналарыммен бірге</c:v>
                </c:pt>
                <c:pt idx="1">
                  <c:v>Жатақханада</c:v>
                </c:pt>
                <c:pt idx="2">
                  <c:v>Жеке пәтер (үй)</c:v>
                </c:pt>
                <c:pt idx="3">
                  <c:v>Пәтер жалдау </c:v>
                </c:pt>
              </c:strCache>
            </c:strRef>
          </c:cat>
          <c:val>
            <c:numRef>
              <c:f>Лист1!$B$2:$B$5</c:f>
              <c:numCache>
                <c:formatCode>0.00%</c:formatCode>
                <c:ptCount val="4"/>
                <c:pt idx="0">
                  <c:v>0.29900000000000032</c:v>
                </c:pt>
                <c:pt idx="1">
                  <c:v>0.10199999999999998</c:v>
                </c:pt>
                <c:pt idx="2">
                  <c:v>0.1980000000000002</c:v>
                </c:pt>
                <c:pt idx="3">
                  <c:v>0.34700000000000047</c:v>
                </c:pt>
              </c:numCache>
            </c:numRef>
          </c:val>
        </c:ser>
        <c:ser>
          <c:idx val="1"/>
          <c:order val="1"/>
          <c:tx>
            <c:strRef>
              <c:f>Лист1!$C$1</c:f>
              <c:strCache>
                <c:ptCount val="1"/>
                <c:pt idx="0">
                  <c:v>Отбасылылар</c:v>
                </c:pt>
              </c:strCache>
            </c:strRef>
          </c:tx>
          <c:spPr>
            <a:solidFill>
              <a:srgbClr val="FF6161"/>
            </a:solidFill>
            <a:scene3d>
              <a:camera prst="orthographicFront"/>
              <a:lightRig rig="threePt" dir="t"/>
            </a:scene3d>
            <a:sp3d>
              <a:bevelT w="165100" prst="coolSlant"/>
            </a:sp3d>
          </c:spPr>
          <c:dLbls>
            <c:dLbl>
              <c:idx val="0"/>
              <c:layout>
                <c:manualLayout>
                  <c:x val="4.6296296296296788E-3"/>
                  <c:y val="-3.5714285714285712E-2"/>
                </c:manualLayout>
              </c:layout>
              <c:showVal val="1"/>
            </c:dLbl>
            <c:dLbl>
              <c:idx val="1"/>
              <c:layout>
                <c:manualLayout>
                  <c:x val="0"/>
                  <c:y val="-3.968253968253975E-2"/>
                </c:manualLayout>
              </c:layout>
              <c:showVal val="1"/>
            </c:dLbl>
            <c:dLbl>
              <c:idx val="2"/>
              <c:layout>
                <c:manualLayout>
                  <c:x val="0"/>
                  <c:y val="-3.1746031746031744E-2"/>
                </c:manualLayout>
              </c:layout>
              <c:showVal val="1"/>
            </c:dLbl>
            <c:dLbl>
              <c:idx val="3"/>
              <c:layout>
                <c:manualLayout>
                  <c:x val="0"/>
                  <c:y val="-3.5714285714285712E-2"/>
                </c:manualLayout>
              </c:layout>
              <c:showVal val="1"/>
            </c:dLbl>
            <c:txPr>
              <a:bodyPr/>
              <a:lstStyle/>
              <a:p>
                <a:pPr>
                  <a:defRPr b="1"/>
                </a:pPr>
                <a:endParaRPr lang="ru-RU"/>
              </a:p>
            </c:txPr>
            <c:showVal val="1"/>
          </c:dLbls>
          <c:cat>
            <c:strRef>
              <c:f>Лист1!$A$2:$A$5</c:f>
              <c:strCache>
                <c:ptCount val="4"/>
                <c:pt idx="0">
                  <c:v>Ата-аналарыммен бірге</c:v>
                </c:pt>
                <c:pt idx="1">
                  <c:v>Жатақханада</c:v>
                </c:pt>
                <c:pt idx="2">
                  <c:v>Жеке пәтер (үй)</c:v>
                </c:pt>
                <c:pt idx="3">
                  <c:v>Пәтер жалдау </c:v>
                </c:pt>
              </c:strCache>
            </c:strRef>
          </c:cat>
          <c:val>
            <c:numRef>
              <c:f>Лист1!$C$2:$C$5</c:f>
              <c:numCache>
                <c:formatCode>0.00%</c:formatCode>
                <c:ptCount val="4"/>
                <c:pt idx="0">
                  <c:v>0.127</c:v>
                </c:pt>
                <c:pt idx="1">
                  <c:v>2.2000000000000054E-2</c:v>
                </c:pt>
                <c:pt idx="2">
                  <c:v>0.65600000000000158</c:v>
                </c:pt>
                <c:pt idx="3">
                  <c:v>0.15600000000000033</c:v>
                </c:pt>
              </c:numCache>
            </c:numRef>
          </c:val>
        </c:ser>
        <c:dLbls>
          <c:showVal val="1"/>
        </c:dLbls>
        <c:gapWidth val="75"/>
        <c:shape val="box"/>
        <c:axId val="89527040"/>
        <c:axId val="89528576"/>
        <c:axId val="56901120"/>
      </c:bar3DChart>
      <c:catAx>
        <c:axId val="89527040"/>
        <c:scaling>
          <c:orientation val="minMax"/>
        </c:scaling>
        <c:axPos val="b"/>
        <c:majorTickMark val="in"/>
        <c:minorTickMark val="cross"/>
        <c:tickLblPos val="nextTo"/>
        <c:crossAx val="89528576"/>
        <c:crosses val="autoZero"/>
        <c:auto val="1"/>
        <c:lblAlgn val="ctr"/>
        <c:lblOffset val="100"/>
      </c:catAx>
      <c:valAx>
        <c:axId val="89528576"/>
        <c:scaling>
          <c:orientation val="minMax"/>
        </c:scaling>
        <c:axPos val="l"/>
        <c:majorGridlines/>
        <c:numFmt formatCode="0.00%" sourceLinked="1"/>
        <c:majorTickMark val="in"/>
        <c:tickLblPos val="nextTo"/>
        <c:crossAx val="89527040"/>
        <c:crosses val="autoZero"/>
        <c:crossBetween val="between"/>
      </c:valAx>
      <c:serAx>
        <c:axId val="56901120"/>
        <c:scaling>
          <c:orientation val="minMax"/>
        </c:scaling>
        <c:delete val="1"/>
        <c:axPos val="b"/>
        <c:tickLblPos val="none"/>
        <c:crossAx val="89528576"/>
        <c:crosses val="autoZero"/>
      </c:serAx>
    </c:plotArea>
    <c:legend>
      <c:legendPos val="b"/>
    </c:legend>
    <c:plotVisOnly val="1"/>
    <c:dispBlanksAs val="gap"/>
  </c:chart>
  <c:spPr>
    <a:gradFill flip="none" rotWithShape="1">
      <a:gsLst>
        <a:gs pos="0">
          <a:schemeClr val="accent1">
            <a:tint val="66000"/>
            <a:satMod val="160000"/>
          </a:schemeClr>
        </a:gs>
        <a:gs pos="29000">
          <a:schemeClr val="accent1">
            <a:tint val="44500"/>
            <a:satMod val="160000"/>
          </a:schemeClr>
        </a:gs>
        <a:gs pos="100000">
          <a:schemeClr val="accent1">
            <a:tint val="23500"/>
            <a:satMod val="160000"/>
          </a:schemeClr>
        </a:gs>
      </a:gsLst>
      <a:path path="circle">
        <a:fillToRect t="100000" r="100000"/>
      </a:path>
      <a:tileRect l="-100000" b="-100000"/>
    </a:gra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percentStacked"/>
        <c:ser>
          <c:idx val="0"/>
          <c:order val="0"/>
          <c:tx>
            <c:strRef>
              <c:f>Лист1!$B$1</c:f>
              <c:strCache>
                <c:ptCount val="1"/>
                <c:pt idx="0">
                  <c:v>2008</c:v>
                </c:pt>
              </c:strCache>
            </c:strRef>
          </c:tx>
          <c:spPr>
            <a:solidFill>
              <a:srgbClr val="893BC3">
                <a:alpha val="93725"/>
              </a:srgbClr>
            </a:solidFill>
            <a:scene3d>
              <a:camera prst="orthographicFront"/>
              <a:lightRig rig="threePt" dir="t"/>
            </a:scene3d>
            <a:sp3d/>
          </c:spPr>
          <c:dLbls>
            <c:dLbl>
              <c:idx val="0"/>
              <c:layout>
                <c:manualLayout>
                  <c:x val="-5.3240740740740741E-2"/>
                  <c:y val="3.9682539682539802E-3"/>
                </c:manualLayout>
              </c:layout>
              <c:showVal val="1"/>
            </c:dLbl>
            <c:dLbl>
              <c:idx val="1"/>
              <c:layout>
                <c:manualLayout>
                  <c:x val="-5.0925925925925923E-2"/>
                  <c:y val="0"/>
                </c:manualLayout>
              </c:layout>
              <c:showVal val="1"/>
            </c:dLbl>
            <c:dLbl>
              <c:idx val="2"/>
              <c:layout>
                <c:manualLayout>
                  <c:x val="-6.25E-2"/>
                  <c:y val="-3.1246094238220594E-7"/>
                </c:manualLayout>
              </c:layout>
              <c:showVal val="1"/>
            </c:dLbl>
            <c:dLbl>
              <c:idx val="3"/>
              <c:layout>
                <c:manualLayout>
                  <c:x val="-2.3149970836978712E-3"/>
                  <c:y val="-3.9682539682539802E-3"/>
                </c:manualLayout>
              </c:layout>
              <c:showVal val="1"/>
            </c:dLbl>
            <c:dLbl>
              <c:idx val="4"/>
              <c:layout>
                <c:manualLayout>
                  <c:x val="0"/>
                  <c:y val="0"/>
                </c:manualLayout>
              </c:layout>
              <c:showVal val="1"/>
            </c:dLbl>
            <c:dLbl>
              <c:idx val="5"/>
              <c:layout>
                <c:manualLayout>
                  <c:x val="-3.7037037037037056E-2"/>
                  <c:y val="-3.9682539682539802E-3"/>
                </c:manualLayout>
              </c:layout>
              <c:showVal val="1"/>
            </c:dLbl>
            <c:txPr>
              <a:bodyPr/>
              <a:lstStyle/>
              <a:p>
                <a:pPr>
                  <a:defRPr b="1">
                    <a:solidFill>
                      <a:sysClr val="windowText" lastClr="000000"/>
                    </a:solidFill>
                  </a:defRPr>
                </a:pPr>
                <a:endParaRPr lang="ru-RU"/>
              </a:p>
            </c:txPr>
            <c:showVal val="1"/>
          </c:dLbls>
          <c:cat>
            <c:strRef>
              <c:f>Лист1!$A$2:$A$11</c:f>
              <c:strCache>
                <c:ptCount val="10"/>
                <c:pt idx="0">
                  <c:v>Жауап беруге қиналғандар</c:v>
                </c:pt>
                <c:pt idx="1">
                  <c:v>7000 теңгеден 20000 тг. дейін </c:v>
                </c:pt>
                <c:pt idx="2">
                  <c:v> 20001 тг.-ден 35000 тг. дейін</c:v>
                </c:pt>
                <c:pt idx="3">
                  <c:v>35001 тг.-ден 45000 тг. дейін </c:v>
                </c:pt>
                <c:pt idx="4">
                  <c:v>45001тг.-ден 55000 тг. дейін </c:v>
                </c:pt>
                <c:pt idx="5">
                  <c:v>55001 тг.-ден 65000 тг. дейін</c:v>
                </c:pt>
                <c:pt idx="6">
                  <c:v>65001 тг.-ден 75000 тг. дейін </c:v>
                </c:pt>
                <c:pt idx="7">
                  <c:v>75001 тг.-ден 85000 тг. дейін </c:v>
                </c:pt>
                <c:pt idx="8">
                  <c:v>85001 тг.-ден 100000 тг. дейін</c:v>
                </c:pt>
                <c:pt idx="9">
                  <c:v> 100001 тг.-ден жоғары</c:v>
                </c:pt>
              </c:strCache>
            </c:strRef>
          </c:cat>
          <c:val>
            <c:numRef>
              <c:f>Лист1!$B$2:$B$11</c:f>
              <c:numCache>
                <c:formatCode>0.00%</c:formatCode>
                <c:ptCount val="10"/>
                <c:pt idx="0">
                  <c:v>3.2000000000000042E-2</c:v>
                </c:pt>
                <c:pt idx="1">
                  <c:v>0.14900000000000024</c:v>
                </c:pt>
                <c:pt idx="2">
                  <c:v>0.31600000000000111</c:v>
                </c:pt>
                <c:pt idx="3">
                  <c:v>0.19900000000000001</c:v>
                </c:pt>
                <c:pt idx="4">
                  <c:v>0.113</c:v>
                </c:pt>
                <c:pt idx="5">
                  <c:v>8.0000000000000043E-2</c:v>
                </c:pt>
                <c:pt idx="6">
                  <c:v>0.05</c:v>
                </c:pt>
                <c:pt idx="7">
                  <c:v>2.5999999999999999E-2</c:v>
                </c:pt>
                <c:pt idx="8">
                  <c:v>1.6000000000000021E-2</c:v>
                </c:pt>
                <c:pt idx="9">
                  <c:v>2.1999999999999999E-2</c:v>
                </c:pt>
              </c:numCache>
            </c:numRef>
          </c:val>
        </c:ser>
        <c:ser>
          <c:idx val="1"/>
          <c:order val="1"/>
          <c:tx>
            <c:strRef>
              <c:f>Лист1!$C$1</c:f>
              <c:strCache>
                <c:ptCount val="1"/>
                <c:pt idx="0">
                  <c:v>2012</c:v>
                </c:pt>
              </c:strCache>
            </c:strRef>
          </c:tx>
          <c:spPr>
            <a:solidFill>
              <a:srgbClr val="FF6161"/>
            </a:solidFill>
            <a:effectLst>
              <a:glow rad="63500">
                <a:schemeClr val="accent4">
                  <a:lumMod val="60000"/>
                  <a:lumOff val="40000"/>
                  <a:alpha val="40000"/>
                </a:schemeClr>
              </a:glow>
            </a:effectLst>
            <a:scene3d>
              <a:camera prst="orthographicFront"/>
              <a:lightRig rig="threePt" dir="t"/>
            </a:scene3d>
            <a:sp3d>
              <a:bevelT w="165100" prst="coolSlant"/>
            </a:sp3d>
          </c:spPr>
          <c:dLbls>
            <c:dLbl>
              <c:idx val="0"/>
              <c:layout>
                <c:manualLayout>
                  <c:x val="4.6296296296296745E-3"/>
                  <c:y val="0"/>
                </c:manualLayout>
              </c:layout>
              <c:showVal val="1"/>
            </c:dLbl>
            <c:dLbl>
              <c:idx val="1"/>
              <c:layout>
                <c:manualLayout>
                  <c:x val="-2.3148148148148147E-3"/>
                  <c:y val="-3.9682539682539802E-3"/>
                </c:manualLayout>
              </c:layout>
              <c:showVal val="1"/>
            </c:dLbl>
            <c:dLbl>
              <c:idx val="2"/>
              <c:layout>
                <c:manualLayout>
                  <c:x val="6.9444444444444935E-3"/>
                  <c:y val="-7.9368203974504534E-3"/>
                </c:manualLayout>
              </c:layout>
              <c:showVal val="1"/>
            </c:dLbl>
            <c:dLbl>
              <c:idx val="3"/>
              <c:layout>
                <c:manualLayout>
                  <c:x val="0"/>
                  <c:y val="-3.9682539682540452E-3"/>
                </c:manualLayout>
              </c:layout>
              <c:showVal val="1"/>
            </c:dLbl>
            <c:txPr>
              <a:bodyPr/>
              <a:lstStyle/>
              <a:p>
                <a:pPr>
                  <a:defRPr b="1"/>
                </a:pPr>
                <a:endParaRPr lang="ru-RU"/>
              </a:p>
            </c:txPr>
            <c:showVal val="1"/>
          </c:dLbls>
          <c:cat>
            <c:strRef>
              <c:f>Лист1!$A$2:$A$11</c:f>
              <c:strCache>
                <c:ptCount val="10"/>
                <c:pt idx="0">
                  <c:v>Жауап беруге қиналғандар</c:v>
                </c:pt>
                <c:pt idx="1">
                  <c:v>7000 теңгеден 20000 тг. дейін </c:v>
                </c:pt>
                <c:pt idx="2">
                  <c:v> 20001 тг.-ден 35000 тг. дейін</c:v>
                </c:pt>
                <c:pt idx="3">
                  <c:v>35001 тг.-ден 45000 тг. дейін </c:v>
                </c:pt>
                <c:pt idx="4">
                  <c:v>45001тг.-ден 55000 тг. дейін </c:v>
                </c:pt>
                <c:pt idx="5">
                  <c:v>55001 тг.-ден 65000 тг. дейін</c:v>
                </c:pt>
                <c:pt idx="6">
                  <c:v>65001 тг.-ден 75000 тг. дейін </c:v>
                </c:pt>
                <c:pt idx="7">
                  <c:v>75001 тг.-ден 85000 тг. дейін </c:v>
                </c:pt>
                <c:pt idx="8">
                  <c:v>85001 тг.-ден 100000 тг. дейін</c:v>
                </c:pt>
                <c:pt idx="9">
                  <c:v> 100001 тг.-ден жоғары</c:v>
                </c:pt>
              </c:strCache>
            </c:strRef>
          </c:cat>
          <c:val>
            <c:numRef>
              <c:f>Лист1!$C$2:$C$11</c:f>
              <c:numCache>
                <c:formatCode>0.00%</c:formatCode>
                <c:ptCount val="10"/>
                <c:pt idx="0">
                  <c:v>6.9000000000000034E-2</c:v>
                </c:pt>
                <c:pt idx="1">
                  <c:v>4.5999999999999999E-2</c:v>
                </c:pt>
                <c:pt idx="2">
                  <c:v>6.9000000000000034E-2</c:v>
                </c:pt>
                <c:pt idx="3">
                  <c:v>0.112</c:v>
                </c:pt>
                <c:pt idx="4">
                  <c:v>8.1000000000000003E-2</c:v>
                </c:pt>
                <c:pt idx="5">
                  <c:v>0.10900000000000012</c:v>
                </c:pt>
                <c:pt idx="6">
                  <c:v>0.10900000000000012</c:v>
                </c:pt>
                <c:pt idx="7">
                  <c:v>0.10299999999999998</c:v>
                </c:pt>
                <c:pt idx="8">
                  <c:v>0.14600000000000021</c:v>
                </c:pt>
                <c:pt idx="9">
                  <c:v>0.15500000000000044</c:v>
                </c:pt>
              </c:numCache>
            </c:numRef>
          </c:val>
        </c:ser>
        <c:gapWidth val="23"/>
        <c:overlap val="98"/>
        <c:axId val="89166208"/>
        <c:axId val="89167744"/>
      </c:barChart>
      <c:catAx>
        <c:axId val="89166208"/>
        <c:scaling>
          <c:orientation val="minMax"/>
        </c:scaling>
        <c:axPos val="l"/>
        <c:numFmt formatCode="General" sourceLinked="1"/>
        <c:majorTickMark val="in"/>
        <c:minorTickMark val="cross"/>
        <c:tickLblPos val="nextTo"/>
        <c:crossAx val="89167744"/>
        <c:crosses val="autoZero"/>
        <c:auto val="1"/>
        <c:lblAlgn val="ctr"/>
        <c:lblOffset val="100"/>
      </c:catAx>
      <c:valAx>
        <c:axId val="89167744"/>
        <c:scaling>
          <c:orientation val="minMax"/>
        </c:scaling>
        <c:axPos val="b"/>
        <c:majorGridlines/>
        <c:numFmt formatCode="0%" sourceLinked="1"/>
        <c:majorTickMark val="in"/>
        <c:tickLblPos val="nextTo"/>
        <c:crossAx val="89166208"/>
        <c:crosses val="autoZero"/>
        <c:crossBetween val="between"/>
      </c:valAx>
      <c:spPr>
        <a:ln>
          <a:solidFill>
            <a:schemeClr val="bg2">
              <a:lumMod val="50000"/>
            </a:schemeClr>
          </a:solidFill>
        </a:ln>
      </c:spPr>
    </c:plotArea>
    <c:legend>
      <c:legendPos val="b"/>
    </c:legend>
    <c:plotVisOnly val="1"/>
    <c:dispBlanksAs val="gap"/>
  </c:chart>
  <c:spPr>
    <a:gradFill flip="none" rotWithShape="1">
      <a:gsLst>
        <a:gs pos="0">
          <a:schemeClr val="accent1">
            <a:tint val="66000"/>
            <a:satMod val="160000"/>
          </a:schemeClr>
        </a:gs>
        <a:gs pos="29000">
          <a:schemeClr val="accent1">
            <a:tint val="44500"/>
            <a:satMod val="160000"/>
          </a:schemeClr>
        </a:gs>
        <a:gs pos="100000">
          <a:schemeClr val="accent1">
            <a:tint val="23500"/>
            <a:satMod val="160000"/>
          </a:schemeClr>
        </a:gs>
      </a:gsLst>
      <a:path path="circle">
        <a:fillToRect t="100000" r="100000"/>
      </a:path>
      <a:tileRect l="-100000" b="-100000"/>
    </a:gra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varyColors val="1"/>
        <c:ser>
          <c:idx val="0"/>
          <c:order val="0"/>
          <c:tx>
            <c:strRef>
              <c:f>Лист1!$B$1</c:f>
              <c:strCache>
                <c:ptCount val="1"/>
                <c:pt idx="0">
                  <c:v>Табыс деңгейі</c:v>
                </c:pt>
              </c:strCache>
            </c:strRef>
          </c:tx>
          <c:spPr>
            <a:scene3d>
              <a:camera prst="orthographicFront"/>
              <a:lightRig rig="threePt" dir="t"/>
            </a:scene3d>
            <a:sp3d>
              <a:bevelT w="165100" prst="coolSlant"/>
            </a:sp3d>
          </c:spPr>
          <c:dPt>
            <c:idx val="0"/>
            <c:spPr>
              <a:solidFill>
                <a:srgbClr val="002060"/>
              </a:solidFill>
              <a:scene3d>
                <a:camera prst="orthographicFront"/>
                <a:lightRig rig="threePt" dir="t"/>
              </a:scene3d>
              <a:sp3d>
                <a:bevelT w="165100" prst="coolSlant"/>
              </a:sp3d>
            </c:spPr>
          </c:dPt>
          <c:dPt>
            <c:idx val="2"/>
            <c:spPr>
              <a:solidFill>
                <a:srgbClr val="7030A0"/>
              </a:solidFill>
              <a:scene3d>
                <a:camera prst="orthographicFront"/>
                <a:lightRig rig="threePt" dir="t"/>
              </a:scene3d>
              <a:sp3d>
                <a:bevelT w="165100" prst="coolSlant"/>
              </a:sp3d>
            </c:spPr>
          </c:dPt>
          <c:dPt>
            <c:idx val="3"/>
            <c:spPr>
              <a:solidFill>
                <a:srgbClr val="FF6161"/>
              </a:solidFill>
              <a:scene3d>
                <a:camera prst="orthographicFront"/>
                <a:lightRig rig="threePt" dir="t"/>
              </a:scene3d>
              <a:sp3d>
                <a:bevelT w="165100" prst="coolSlant"/>
              </a:sp3d>
            </c:spPr>
          </c:dPt>
          <c:dPt>
            <c:idx val="4"/>
            <c:spPr>
              <a:solidFill>
                <a:schemeClr val="accent6">
                  <a:lumMod val="50000"/>
                </a:schemeClr>
              </a:solidFill>
              <a:scene3d>
                <a:camera prst="orthographicFront"/>
                <a:lightRig rig="threePt" dir="t"/>
              </a:scene3d>
              <a:sp3d>
                <a:bevelT w="165100" prst="coolSlant"/>
              </a:sp3d>
            </c:spPr>
          </c:dPt>
          <c:dLbls>
            <c:dLbl>
              <c:idx val="0"/>
              <c:layout>
                <c:manualLayout>
                  <c:x val="-2.3148148148148147E-3"/>
                  <c:y val="5.3968253968253973E-3"/>
                </c:manualLayout>
              </c:layout>
              <c:dLblPos val="outEnd"/>
              <c:showVal val="1"/>
            </c:dLbl>
            <c:dLbl>
              <c:idx val="1"/>
              <c:layout>
                <c:manualLayout>
                  <c:x val="-9.2592592592593975E-3"/>
                  <c:y val="1.4285714285713921E-3"/>
                </c:manualLayout>
              </c:layout>
              <c:dLblPos val="outEnd"/>
              <c:showVal val="1"/>
            </c:dLbl>
            <c:dLbl>
              <c:idx val="2"/>
              <c:layout>
                <c:manualLayout>
                  <c:x val="0"/>
                  <c:y val="1.4285714285714301E-3"/>
                </c:manualLayout>
              </c:layout>
              <c:dLblPos val="outEnd"/>
              <c:showVal val="1"/>
            </c:dLbl>
            <c:dLbl>
              <c:idx val="3"/>
              <c:layout>
                <c:manualLayout>
                  <c:x val="0"/>
                  <c:y val="5.3968253968253973E-3"/>
                </c:manualLayout>
              </c:layout>
              <c:dLblPos val="outEnd"/>
              <c:showVal val="1"/>
            </c:dLbl>
            <c:dLbl>
              <c:idx val="4"/>
              <c:layout>
                <c:manualLayout>
                  <c:x val="-1.3888888888889034E-2"/>
                  <c:y val="-6.5079365079365745E-3"/>
                </c:manualLayout>
              </c:layout>
              <c:dLblPos val="outEnd"/>
              <c:showVal val="1"/>
            </c:dLbl>
            <c:txPr>
              <a:bodyPr/>
              <a:lstStyle/>
              <a:p>
                <a:pPr>
                  <a:defRPr b="1">
                    <a:solidFill>
                      <a:sysClr val="windowText" lastClr="000000"/>
                    </a:solidFill>
                  </a:defRPr>
                </a:pPr>
                <a:endParaRPr lang="ru-RU"/>
              </a:p>
            </c:txPr>
            <c:dLblPos val="inEnd"/>
            <c:showVal val="1"/>
          </c:dLbls>
          <c:trendline>
            <c:trendlineType val="poly"/>
            <c:order val="2"/>
          </c:trendline>
          <c:cat>
            <c:strRef>
              <c:f>Лист1!$A$2:$A$6</c:f>
              <c:strCache>
                <c:ptCount val="5"/>
                <c:pt idx="0">
                  <c:v>1.  Мен (біз) ешқандай экономикалық қиындықтарды сезінбеймін (міз)   </c:v>
                </c:pt>
                <c:pt idx="1">
                  <c:v>2. Табысым қымбат сауда жасаудан басқасының барлығына жетеді</c:v>
                </c:pt>
                <c:pt idx="2">
                  <c:v>3. Ақшам тек негізгілерге: азық-түлік пен киімге ғана жетеді</c:v>
                </c:pt>
                <c:pt idx="3">
                  <c:v>4. Азық-түлікке жетеді, бірақ киім сатып алу қиынға түседі</c:v>
                </c:pt>
                <c:pt idx="4">
                  <c:v> 5. Ақшам тіпті азық-түлікке де жетпейді. </c:v>
                </c:pt>
              </c:strCache>
            </c:strRef>
          </c:cat>
          <c:val>
            <c:numRef>
              <c:f>Лист1!$B$2:$B$6</c:f>
              <c:numCache>
                <c:formatCode>0.00%</c:formatCode>
                <c:ptCount val="5"/>
                <c:pt idx="0">
                  <c:v>7.0999999999999994E-2</c:v>
                </c:pt>
                <c:pt idx="1">
                  <c:v>0.29000000000000031</c:v>
                </c:pt>
                <c:pt idx="2">
                  <c:v>0.37400000000000105</c:v>
                </c:pt>
                <c:pt idx="3">
                  <c:v>0.16700000000000001</c:v>
                </c:pt>
                <c:pt idx="4">
                  <c:v>2.5000000000000001E-2</c:v>
                </c:pt>
              </c:numCache>
            </c:numRef>
          </c:val>
        </c:ser>
        <c:dLbls>
          <c:showVal val="1"/>
        </c:dLbls>
        <c:gapWidth val="75"/>
        <c:axId val="106160128"/>
        <c:axId val="106161664"/>
      </c:barChart>
      <c:catAx>
        <c:axId val="106160128"/>
        <c:scaling>
          <c:orientation val="minMax"/>
        </c:scaling>
        <c:axPos val="b"/>
        <c:majorTickMark val="in"/>
        <c:minorTickMark val="cross"/>
        <c:tickLblPos val="nextTo"/>
        <c:crossAx val="106161664"/>
        <c:crosses val="autoZero"/>
        <c:auto val="1"/>
        <c:lblAlgn val="ctr"/>
        <c:lblOffset val="100"/>
      </c:catAx>
      <c:valAx>
        <c:axId val="106161664"/>
        <c:scaling>
          <c:orientation val="minMax"/>
        </c:scaling>
        <c:delete val="1"/>
        <c:axPos val="l"/>
        <c:majorGridlines/>
        <c:numFmt formatCode="0.00%" sourceLinked="1"/>
        <c:majorTickMark val="in"/>
        <c:tickLblPos val="none"/>
        <c:crossAx val="106160128"/>
        <c:crosses val="autoZero"/>
        <c:crossBetween val="between"/>
      </c:valAx>
      <c:spPr>
        <a:noFill/>
        <a:ln>
          <a:solidFill>
            <a:schemeClr val="bg2">
              <a:lumMod val="50000"/>
            </a:schemeClr>
          </a:solidFill>
        </a:ln>
      </c:spPr>
    </c:plotArea>
    <c:plotVisOnly val="1"/>
    <c:dispBlanksAs val="gap"/>
  </c:chart>
  <c:spPr>
    <a:gradFill flip="none" rotWithShape="1">
      <a:gsLst>
        <a:gs pos="0">
          <a:schemeClr val="accent1">
            <a:tint val="66000"/>
            <a:satMod val="160000"/>
          </a:schemeClr>
        </a:gs>
        <a:gs pos="29000">
          <a:schemeClr val="accent1">
            <a:tint val="44500"/>
            <a:satMod val="160000"/>
          </a:schemeClr>
        </a:gs>
        <a:gs pos="100000">
          <a:schemeClr val="accent1">
            <a:tint val="23500"/>
            <a:satMod val="160000"/>
          </a:schemeClr>
        </a:gs>
      </a:gsLst>
      <a:path path="circle">
        <a:fillToRect t="100000" r="100000"/>
      </a:path>
      <a:tileRect l="-100000" b="-100000"/>
    </a:grad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3DC8-5CDC-4D77-87F4-8F492428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Биржан</dc:creator>
  <cp:keywords/>
  <dc:description/>
  <cp:lastModifiedBy>admin</cp:lastModifiedBy>
  <cp:revision>77</cp:revision>
  <dcterms:created xsi:type="dcterms:W3CDTF">2012-10-22T14:53:00Z</dcterms:created>
  <dcterms:modified xsi:type="dcterms:W3CDTF">2013-02-02T04:27:00Z</dcterms:modified>
</cp:coreProperties>
</file>