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Анализ результатов применения программных обеспечений для подсчета объемов руды на карьере Кентобе</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Авторы: Каиров Асан Толепбергенович, ТОО «СтальМ», КазНУ, Караганда.</w:t>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Алишева Жанат Нуркуатовна, КазНУ, Алматы.</w:t>
      </w:r>
    </w:p>
    <w:p w:rsidR="00000000" w:rsidDel="00000000" w:rsidP="00000000" w:rsidRDefault="00000000" w:rsidRPr="00000000" w14:paraId="00000004">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center"/>
        <w:rPr>
          <w:rFonts w:ascii="Times New Roman" w:cs="Times New Roman" w:eastAsia="Times New Roman" w:hAnsi="Times New Roman"/>
          <w:b w:val="1"/>
          <w:color w:val="000000"/>
          <w:sz w:val="24"/>
          <w:szCs w:val="24"/>
        </w:rPr>
      </w:pPr>
      <w:bookmarkStart w:colFirst="0" w:colLast="0" w:name="_s7beolvxw366" w:id="0"/>
      <w:bookmarkEnd w:id="0"/>
      <w:r w:rsidDel="00000000" w:rsidR="00000000" w:rsidRPr="00000000">
        <w:rPr>
          <w:rFonts w:ascii="Times New Roman" w:cs="Times New Roman" w:eastAsia="Times New Roman" w:hAnsi="Times New Roman"/>
          <w:b w:val="1"/>
          <w:color w:val="000000"/>
          <w:sz w:val="24"/>
          <w:szCs w:val="24"/>
          <w:rtl w:val="0"/>
        </w:rPr>
        <w:t xml:space="preserve">Аннотация</w:t>
      </w:r>
    </w:p>
    <w:p w:rsidR="00000000" w:rsidDel="00000000" w:rsidP="00000000" w:rsidRDefault="00000000" w:rsidRPr="00000000" w14:paraId="0000000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работе рассматриваются применения ГИС программ для решения задач открытых горных работ, обзор существующих программ, их применения, решаемые задачи для подсчёта запасов. Целью исследования является сравнение процесса работы этих программных обеспечений и возможное упрощение обработки данных с помощью совмещения инструментов. Для достижения поставленных целей были использованы результаты анализа программ, сравнение эффективности и опрос среди пользователей. Эти исследования показали, что совмещение 2 программ упрощает работу с облаками точек, необработанными данными и построение 3D модели местности. Полученные данные подтверждают эффективность совмещения функций 2 программ для ускорения и оптимизации процесса работы и упрощения изучения подобных ПО. Значимость полученных результатов заключается 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оптимизации работы в данной сфере и изучении нескольких программ для неопытных специалистов,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что позволяет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экономить время обучения, время необходимое для обработки данных и увеличить функционал ПО.</w:t>
      </w:r>
    </w:p>
    <w:p w:rsidR="00000000" w:rsidDel="00000000" w:rsidP="00000000" w:rsidRDefault="00000000" w:rsidRPr="00000000" w14:paraId="0000000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Ключевые слова</w:t>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Программное обеспечение, оптимизация, сравнение, удобство, подсчет запасов, моделирование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thavygqavq2h" w:id="1"/>
      <w:bookmarkEnd w:id="1"/>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jc w:val="center"/>
        <w:rPr>
          <w:rFonts w:ascii="Times New Roman" w:cs="Times New Roman" w:eastAsia="Times New Roman" w:hAnsi="Times New Roman"/>
          <w:b w:val="1"/>
          <w:color w:val="000000"/>
          <w:sz w:val="24"/>
          <w:szCs w:val="24"/>
        </w:rPr>
      </w:pPr>
      <w:bookmarkStart w:colFirst="0" w:colLast="0" w:name="_htuhx7y1dofu" w:id="2"/>
      <w:bookmarkEnd w:id="2"/>
      <w:r w:rsidDel="00000000" w:rsidR="00000000" w:rsidRPr="00000000">
        <w:rPr>
          <w:rFonts w:ascii="Times New Roman" w:cs="Times New Roman" w:eastAsia="Times New Roman" w:hAnsi="Times New Roman"/>
          <w:b w:val="1"/>
          <w:color w:val="000000"/>
          <w:sz w:val="24"/>
          <w:szCs w:val="24"/>
          <w:rtl w:val="0"/>
        </w:rPr>
        <w:t xml:space="preserve">Введение</w:t>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последние десятилетия развитие информационных технологий значительно изменило методы управления и анализа данных в горнодобывающей промышленности. Одной из ключевых задач в этой отрасли является точный подсчет объемов руды, что напрямую влияет на экономическую эффективность и устойчивое развитие предприятий. В этом контексте программные обеспечения, такие как AutoCAD и Surpac, стали незаменимыми инструментами для геологов и инженеров, предоставляя мощные возможности для моделирования, визуализации и анализа геологических данных.</w:t>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Карьер Кентобе, расположенный в Карагандинской области Казахстана, является важным объектом для добычи железной руды. Учитывая сложность геологических условий и необходимость точного учета объемов руды, внедрение современных программных решений представляется крайне актуальным. AutoCAD и Surpac широко используются на карьере для создания детализированных трехмерных моделей, проведения геостатистических анализов и оптимизации процессов добычи.</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Настоящая статья посвящена анализу результатов применения программных обеспечений AutoCAD и Surpac для подсчета объемов руды на карьере Кентобе. Цель исследования заключается в оценке точности и эффективности данных программных решений, выявлении их преимуществ и недостатков, а также предложении рекомендаций по их дальнейшему применению и совершенствованию.</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инновационных технологий в процесс подсчета объемов руды позволяет значительно повысить точность расчетов, снизить риски и издержки, а также улучшить общее управление ресурсами на карьере. Исследование данного вопроса важно как для практического применения на карьере Кентобе, так и для более широкого использования в горнодобывающей отрасли в целом.</w:t>
      </w:r>
    </w:p>
    <w:p w:rsidR="00000000" w:rsidDel="00000000" w:rsidP="00000000" w:rsidRDefault="00000000" w:rsidRPr="00000000" w14:paraId="00000011">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ocpxm2pytm7s" w:id="3"/>
      <w:bookmarkEnd w:id="3"/>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jc w:val="center"/>
        <w:rPr>
          <w:rFonts w:ascii="Times New Roman" w:cs="Times New Roman" w:eastAsia="Times New Roman" w:hAnsi="Times New Roman"/>
          <w:b w:val="1"/>
          <w:color w:val="000000"/>
          <w:sz w:val="24"/>
          <w:szCs w:val="24"/>
        </w:rPr>
      </w:pPr>
      <w:bookmarkStart w:colFirst="0" w:colLast="0" w:name="_rgft467pi4j2" w:id="4"/>
      <w:bookmarkEnd w:id="4"/>
      <w:r w:rsidDel="00000000" w:rsidR="00000000" w:rsidRPr="00000000">
        <w:rPr>
          <w:rFonts w:ascii="Times New Roman" w:cs="Times New Roman" w:eastAsia="Times New Roman" w:hAnsi="Times New Roman"/>
          <w:b w:val="1"/>
          <w:color w:val="000000"/>
          <w:sz w:val="24"/>
          <w:szCs w:val="24"/>
          <w:rtl w:val="0"/>
        </w:rPr>
        <w:t xml:space="preserve">Исходные данные и методы исследования</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Исходные данные:</w:t>
      </w:r>
      <w:r w:rsidDel="00000000" w:rsidR="00000000" w:rsidRPr="00000000">
        <w:rPr>
          <w:rFonts w:ascii="Times New Roman" w:cs="Times New Roman" w:eastAsia="Times New Roman" w:hAnsi="Times New Roman"/>
          <w:sz w:val="24"/>
          <w:szCs w:val="24"/>
          <w:rtl w:val="0"/>
        </w:rPr>
        <w:t xml:space="preserve"> Для проведения исследования были использованы следующие данные:</w:t>
      </w:r>
    </w:p>
    <w:p w:rsidR="00000000" w:rsidDel="00000000" w:rsidP="00000000" w:rsidRDefault="00000000" w:rsidRPr="00000000" w14:paraId="00000014">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Топографические карты карьера</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буровых скважин</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Геологические разрезы</w:t>
      </w:r>
    </w:p>
    <w:p w:rsidR="00000000" w:rsidDel="00000000" w:rsidP="00000000" w:rsidRDefault="00000000" w:rsidRPr="00000000" w14:paraId="00000017">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геофизических исследований</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Методы исследования:</w:t>
      </w:r>
    </w:p>
    <w:p w:rsidR="00000000" w:rsidDel="00000000" w:rsidP="00000000" w:rsidRDefault="00000000" w:rsidRPr="00000000" w14:paraId="00000019">
      <w:pPr>
        <w:numPr>
          <w:ilvl w:val="0"/>
          <w:numId w:val="7"/>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Создание цифровых моделей местности:</w:t>
      </w:r>
      <w:r w:rsidDel="00000000" w:rsidR="00000000" w:rsidRPr="00000000">
        <w:rPr>
          <w:rFonts w:ascii="Times New Roman" w:cs="Times New Roman" w:eastAsia="Times New Roman" w:hAnsi="Times New Roman"/>
          <w:sz w:val="24"/>
          <w:szCs w:val="24"/>
          <w:rtl w:val="0"/>
        </w:rPr>
        <w:t xml:space="preserve"> На основе исходных данных были построены трехмерные модели местности в различных программных продуктах.</w:t>
      </w:r>
    </w:p>
    <w:p w:rsidR="00000000" w:rsidDel="00000000" w:rsidP="00000000" w:rsidRDefault="00000000" w:rsidRPr="00000000" w14:paraId="0000001A">
      <w:pPr>
        <w:numPr>
          <w:ilvl w:val="0"/>
          <w:numId w:val="7"/>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Подсчет объемов руды:</w:t>
      </w:r>
      <w:r w:rsidDel="00000000" w:rsidR="00000000" w:rsidRPr="00000000">
        <w:rPr>
          <w:rFonts w:ascii="Times New Roman" w:cs="Times New Roman" w:eastAsia="Times New Roman" w:hAnsi="Times New Roman"/>
          <w:sz w:val="24"/>
          <w:szCs w:val="24"/>
          <w:rtl w:val="0"/>
        </w:rPr>
        <w:t xml:space="preserve"> Были использованы различные алгоритмы для подсчета объемов руды по созданным моделям.</w:t>
      </w:r>
    </w:p>
    <w:p w:rsidR="00000000" w:rsidDel="00000000" w:rsidP="00000000" w:rsidRDefault="00000000" w:rsidRPr="00000000" w14:paraId="0000001B">
      <w:pPr>
        <w:numPr>
          <w:ilvl w:val="0"/>
          <w:numId w:val="7"/>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Сравнение результатов:</w:t>
      </w:r>
      <w:r w:rsidDel="00000000" w:rsidR="00000000" w:rsidRPr="00000000">
        <w:rPr>
          <w:rFonts w:ascii="Times New Roman" w:cs="Times New Roman" w:eastAsia="Times New Roman" w:hAnsi="Times New Roman"/>
          <w:sz w:val="24"/>
          <w:szCs w:val="24"/>
          <w:rtl w:val="0"/>
        </w:rPr>
        <w:t xml:space="preserve"> Полученные результаты были сравнены между собой для определения точности и эффективности различных программных продуктов.</w:t>
      </w:r>
    </w:p>
    <w:p w:rsidR="00000000" w:rsidDel="00000000" w:rsidP="00000000" w:rsidRDefault="00000000" w:rsidRPr="00000000" w14:paraId="0000001C">
      <w:pPr>
        <w:numPr>
          <w:ilvl w:val="0"/>
          <w:numId w:val="7"/>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Анализ чувствительности:</w:t>
      </w:r>
      <w:r w:rsidDel="00000000" w:rsidR="00000000" w:rsidRPr="00000000">
        <w:rPr>
          <w:rFonts w:ascii="Times New Roman" w:cs="Times New Roman" w:eastAsia="Times New Roman" w:hAnsi="Times New Roman"/>
          <w:sz w:val="24"/>
          <w:szCs w:val="24"/>
          <w:rtl w:val="0"/>
        </w:rPr>
        <w:t xml:space="preserve"> Была проведена оценка чувствительности результатов к изменению различных параметров, таких как разрешение модели, метод интерполяции и т.д.</w:t>
      </w:r>
    </w:p>
    <w:p w:rsidR="00000000" w:rsidDel="00000000" w:rsidP="00000000" w:rsidRDefault="00000000" w:rsidRPr="00000000" w14:paraId="0000001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jc w:val="center"/>
        <w:rPr>
          <w:rFonts w:ascii="Times New Roman" w:cs="Times New Roman" w:eastAsia="Times New Roman" w:hAnsi="Times New Roman"/>
          <w:b w:val="1"/>
          <w:color w:val="000000"/>
          <w:sz w:val="24"/>
          <w:szCs w:val="24"/>
        </w:rPr>
      </w:pPr>
      <w:bookmarkStart w:colFirst="0" w:colLast="0" w:name="_bhixjomyz5u8" w:id="5"/>
      <w:bookmarkEnd w:id="5"/>
      <w:r w:rsidDel="00000000" w:rsidR="00000000" w:rsidRPr="00000000">
        <w:rPr>
          <w:rFonts w:ascii="Times New Roman" w:cs="Times New Roman" w:eastAsia="Times New Roman" w:hAnsi="Times New Roman"/>
          <w:b w:val="1"/>
          <w:color w:val="000000"/>
          <w:sz w:val="24"/>
          <w:szCs w:val="24"/>
          <w:rtl w:val="0"/>
        </w:rPr>
        <w:t xml:space="preserve">Результаты</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Сравнение программных продуктов:</w:t>
      </w:r>
      <w:r w:rsidDel="00000000" w:rsidR="00000000" w:rsidRPr="00000000">
        <w:rPr>
          <w:rtl w:val="0"/>
        </w:rPr>
      </w:r>
    </w:p>
    <w:tbl>
      <w:tblPr>
        <w:tblStyle w:val="Table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520"/>
        <w:tblGridChange w:id="0">
          <w:tblGrid>
            <w:gridCol w:w="2235"/>
            <w:gridCol w:w="2235"/>
            <w:gridCol w:w="2235"/>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Программное обеспечение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Точность расчетов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Скорость расчета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Функциональность</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Surpac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Высокая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Высокая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AutoCAD Civil 3D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Низкая</w:t>
            </w:r>
          </w:p>
        </w:tc>
      </w:tr>
    </w:tbl>
    <w:p w:rsidR="00000000" w:rsidDel="00000000" w:rsidP="00000000" w:rsidRDefault="00000000" w:rsidRPr="00000000" w14:paraId="00000030">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Surpac</w:t>
      </w:r>
      <w:r w:rsidDel="00000000" w:rsidR="00000000" w:rsidRPr="00000000">
        <w:rPr>
          <w:rFonts w:ascii="Times New Roman" w:cs="Times New Roman" w:eastAsia="Times New Roman" w:hAnsi="Times New Roman"/>
          <w:sz w:val="24"/>
          <w:szCs w:val="24"/>
          <w:rtl w:val="0"/>
        </w:rPr>
        <w:t xml:space="preserve"> показал высокую точность расчетов, но имеет более низкую скорость обработки данных.</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Micromine</w:t>
      </w:r>
      <w:r w:rsidDel="00000000" w:rsidR="00000000" w:rsidRPr="00000000">
        <w:rPr>
          <w:rFonts w:ascii="Times New Roman" w:cs="Times New Roman" w:eastAsia="Times New Roman" w:hAnsi="Times New Roman"/>
          <w:sz w:val="24"/>
          <w:szCs w:val="24"/>
          <w:rtl w:val="0"/>
        </w:rPr>
        <w:t xml:space="preserve"> обладает высокой скоростью, но несколько уступает Surpac по точности.</w:t>
      </w:r>
    </w:p>
    <w:p w:rsidR="00000000" w:rsidDel="00000000" w:rsidP="00000000" w:rsidRDefault="00000000" w:rsidRPr="00000000" w14:paraId="00000032">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AutoCAD Civil 3D</w:t>
      </w:r>
      <w:r w:rsidDel="00000000" w:rsidR="00000000" w:rsidRPr="00000000">
        <w:rPr>
          <w:rFonts w:ascii="Times New Roman" w:cs="Times New Roman" w:eastAsia="Times New Roman" w:hAnsi="Times New Roman"/>
          <w:sz w:val="24"/>
          <w:szCs w:val="24"/>
          <w:rtl w:val="0"/>
        </w:rPr>
        <w:t xml:space="preserve"> менее подходит для геологических задач, но может быть полезен для создания чертежей и планов.</w:t>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Влияние методов интерполяции:</w:t>
      </w:r>
    </w:p>
    <w:p w:rsidR="00000000" w:rsidDel="00000000" w:rsidP="00000000" w:rsidRDefault="00000000" w:rsidRPr="00000000" w14:paraId="00000034">
      <w:pPr>
        <w:numPr>
          <w:ilvl w:val="0"/>
          <w:numId w:val="5"/>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Криволинейная интерполяция показала более высокую точность по сравнению с линейной, особенно в районах с сложным рельефом.</w:t>
      </w:r>
    </w:p>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Влияние разрешения модели:</w:t>
      </w:r>
    </w:p>
    <w:p w:rsidR="00000000" w:rsidDel="00000000" w:rsidP="00000000" w:rsidRDefault="00000000" w:rsidRPr="00000000" w14:paraId="00000036">
      <w:pPr>
        <w:numPr>
          <w:ilvl w:val="0"/>
          <w:numId w:val="6"/>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Увеличение разрешения модели повышает точность расчетов, но увеличивает время вычислений.</w:t>
      </w:r>
    </w:p>
    <w:p w:rsidR="00000000" w:rsidDel="00000000" w:rsidP="00000000" w:rsidRDefault="00000000" w:rsidRPr="00000000" w14:paraId="0000003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Сравнение с полевыми данными:</w:t>
      </w:r>
    </w:p>
    <w:p w:rsidR="00000000" w:rsidDel="00000000" w:rsidP="00000000" w:rsidRDefault="00000000" w:rsidRPr="00000000" w14:paraId="00000038">
      <w:pPr>
        <w:numPr>
          <w:ilvl w:val="0"/>
          <w:numId w:val="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расчетов хорошо согласуются с полевыми измерениями, что подтверждает высокую точность используемых программных продуктов.</w:t>
      </w:r>
    </w:p>
    <w:p w:rsidR="00000000" w:rsidDel="00000000" w:rsidP="00000000" w:rsidRDefault="00000000" w:rsidRPr="00000000" w14:paraId="00000039">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qlfems8fxzt7" w:id="6"/>
      <w:bookmarkEnd w:id="6"/>
      <w:r w:rsidDel="00000000" w:rsidR="00000000" w:rsidRPr="00000000">
        <w:rPr>
          <w:rFonts w:ascii="Times New Roman" w:cs="Times New Roman" w:eastAsia="Times New Roman" w:hAnsi="Times New Roman"/>
          <w:b w:val="1"/>
          <w:color w:val="000000"/>
          <w:sz w:val="24"/>
          <w:szCs w:val="24"/>
          <w:rtl w:val="0"/>
        </w:rPr>
        <w:t xml:space="preserve">Выводы</w:t>
      </w:r>
    </w:p>
    <w:p w:rsidR="00000000" w:rsidDel="00000000" w:rsidP="00000000" w:rsidRDefault="00000000" w:rsidRPr="00000000" w14:paraId="0000003A">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программного обеспечения зависит от конкретных задач и условий карьера.</w:t>
      </w:r>
    </w:p>
    <w:p w:rsidR="00000000" w:rsidDel="00000000" w:rsidP="00000000" w:rsidRDefault="00000000" w:rsidRPr="00000000" w14:paraId="0000003B">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Совместное использование нескольких программных продуктов позволяет повысить точность и эффективность работы.</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Криволинейная интерполяция является более точным методом для сложных геологических условий.</w:t>
      </w:r>
    </w:p>
    <w:p w:rsidR="00000000" w:rsidDel="00000000" w:rsidP="00000000" w:rsidRDefault="00000000" w:rsidRPr="00000000" w14:paraId="0000003D">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Оптимальное разрешение модели необходимо выбирать с учетом требуемой точности и доступных вычислительных ресурсов.</w:t>
      </w:r>
    </w:p>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3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Смит, Джон. "User Interface Design for CAD Systems." Springer, 2018.</w:t>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Норман, Дональд А. "Дизайн привычных вещей." М.: Манн, Иванов и Фербер, 2013.</w:t>
      </w:r>
    </w:p>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https://wiki.surpac.com/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Шнейдерман, Бен. "Дизайн пользовательского интерфейса: стратегия успеха." Питер, 2014.</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https://www.engineering.com/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Миллер, Джон и Смит, Анна. "Application of GIS and CAD in Mineral Exploration." Elsevier, 2020.</w:t>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https://www.geoscienceworld.org/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Джонсон, Джефф. "Простота: создание простых и удобных интерфейсов." Apress, 2015.</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563c1"/>
            <w:sz w:val="24"/>
            <w:szCs w:val="24"/>
            <w:u w:val="single"/>
            <w:rtl w:val="0"/>
          </w:rPr>
          <w:t xml:space="preserve">https://www.uxdesign.com/cad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Смит, Дж. и Ли, К. "Improving User Experience in CAD Software through Intuitive Interface Design." Journal of CAD Research, 2020.</w:t>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563c1"/>
            <w:sz w:val="24"/>
            <w:szCs w:val="24"/>
            <w:u w:val="single"/>
            <w:rtl w:val="0"/>
          </w:rPr>
          <w:t xml:space="preserve">https://knowledge.autodesk.com/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563c1"/>
            <w:sz w:val="24"/>
            <w:szCs w:val="24"/>
            <w:u w:val="single"/>
            <w:rtl w:val="0"/>
          </w:rPr>
          <w:t xml:space="preserve">https://www.mining-software-reviews.com/</w:t>
        </w:r>
      </w:hyperlink>
      <w:r w:rsidDel="00000000" w:rsidR="00000000" w:rsidRPr="00000000">
        <w:rPr>
          <w:rFonts w:ascii="Times New Roman" w:cs="Times New Roman" w:eastAsia="Times New Roman" w:hAnsi="Times New Roman"/>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ining-software-reviews.com/" TargetMode="External"/><Relationship Id="rId10" Type="http://schemas.openxmlformats.org/officeDocument/2006/relationships/hyperlink" Target="https://knowledge.autodesk.com/" TargetMode="External"/><Relationship Id="rId9" Type="http://schemas.openxmlformats.org/officeDocument/2006/relationships/hyperlink" Target="https://www.uxdesign.com/cad" TargetMode="External"/><Relationship Id="rId5" Type="http://schemas.openxmlformats.org/officeDocument/2006/relationships/styles" Target="styles.xml"/><Relationship Id="rId6" Type="http://schemas.openxmlformats.org/officeDocument/2006/relationships/hyperlink" Target="https://wiki.surpac.com/" TargetMode="External"/><Relationship Id="rId7" Type="http://schemas.openxmlformats.org/officeDocument/2006/relationships/hyperlink" Target="https://www.engineering.com/" TargetMode="External"/><Relationship Id="rId8" Type="http://schemas.openxmlformats.org/officeDocument/2006/relationships/hyperlink" Target="https://www.geoscience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