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47"/>
        </w:rPr>
      </w:pPr>
      <w:r>
        <w:rPr>
          <w:sz w:val="47"/>
        </w:rPr>
        <mc:AlternateContent>
          <mc:Choice Requires="wps">
            <w:drawing>
              <wp:anchor distT="0" distB="0" distL="0" distR="0" allowOverlap="1" layoutInCell="1" locked="0" behindDoc="1" simplePos="0" relativeHeight="487457280">
                <wp:simplePos x="0" y="0"/>
                <wp:positionH relativeFrom="page">
                  <wp:posOffset>0</wp:posOffset>
                </wp:positionH>
                <wp:positionV relativeFrom="page">
                  <wp:posOffset>12700</wp:posOffset>
                </wp:positionV>
                <wp:extent cx="7560309" cy="106794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679430"/>
                          <a:chExt cx="7560309" cy="10679430"/>
                        </a:xfrm>
                      </wpg:grpSpPr>
                      <pic:pic>
                        <pic:nvPicPr>
                          <pic:cNvPr id="2" name="Image 2"/>
                          <pic:cNvPicPr/>
                        </pic:nvPicPr>
                        <pic:blipFill>
                          <a:blip r:embed="rId5" cstate="print"/>
                          <a:stretch>
                            <a:fillRect/>
                          </a:stretch>
                        </pic:blipFill>
                        <pic:spPr>
                          <a:xfrm>
                            <a:off x="0" y="0"/>
                            <a:ext cx="7560007" cy="10679299"/>
                          </a:xfrm>
                          <a:prstGeom prst="rect">
                            <a:avLst/>
                          </a:prstGeom>
                        </pic:spPr>
                      </pic:pic>
                      <pic:pic>
                        <pic:nvPicPr>
                          <pic:cNvPr id="3" name="Image 3"/>
                          <pic:cNvPicPr/>
                        </pic:nvPicPr>
                        <pic:blipFill>
                          <a:blip r:embed="rId6" cstate="print"/>
                          <a:stretch>
                            <a:fillRect/>
                          </a:stretch>
                        </pic:blipFill>
                        <pic:spPr>
                          <a:xfrm>
                            <a:off x="1686577" y="4790800"/>
                            <a:ext cx="4179898" cy="106920"/>
                          </a:xfrm>
                          <a:prstGeom prst="rect">
                            <a:avLst/>
                          </a:prstGeom>
                        </pic:spPr>
                      </pic:pic>
                      <pic:pic>
                        <pic:nvPicPr>
                          <pic:cNvPr id="4" name="Image 4"/>
                          <pic:cNvPicPr/>
                        </pic:nvPicPr>
                        <pic:blipFill>
                          <a:blip r:embed="rId7" cstate="print"/>
                          <a:stretch>
                            <a:fillRect/>
                          </a:stretch>
                        </pic:blipFill>
                        <pic:spPr>
                          <a:xfrm>
                            <a:off x="1615017" y="6862236"/>
                            <a:ext cx="4179898" cy="106920"/>
                          </a:xfrm>
                          <a:prstGeom prst="rect">
                            <a:avLst/>
                          </a:prstGeom>
                        </pic:spPr>
                      </pic:pic>
                      <pic:pic>
                        <pic:nvPicPr>
                          <pic:cNvPr id="5" name="Image 5"/>
                          <pic:cNvPicPr/>
                        </pic:nvPicPr>
                        <pic:blipFill>
                          <a:blip r:embed="rId8" cstate="print"/>
                          <a:stretch>
                            <a:fillRect/>
                          </a:stretch>
                        </pic:blipFill>
                        <pic:spPr>
                          <a:xfrm>
                            <a:off x="1664574" y="875192"/>
                            <a:ext cx="1094212" cy="1252965"/>
                          </a:xfrm>
                          <a:prstGeom prst="rect">
                            <a:avLst/>
                          </a:prstGeom>
                        </pic:spPr>
                      </pic:pic>
                      <pic:pic>
                        <pic:nvPicPr>
                          <pic:cNvPr id="6" name="Image 6"/>
                          <pic:cNvPicPr/>
                        </pic:nvPicPr>
                        <pic:blipFill>
                          <a:blip r:embed="rId9" cstate="print"/>
                          <a:stretch>
                            <a:fillRect/>
                          </a:stretch>
                        </pic:blipFill>
                        <pic:spPr>
                          <a:xfrm>
                            <a:off x="3148568" y="852558"/>
                            <a:ext cx="2846842" cy="1308100"/>
                          </a:xfrm>
                          <a:prstGeom prst="rect">
                            <a:avLst/>
                          </a:prstGeom>
                        </pic:spPr>
                      </pic:pic>
                    </wpg:wgp>
                  </a:graphicData>
                </a:graphic>
              </wp:anchor>
            </w:drawing>
          </mc:Choice>
          <mc:Fallback>
            <w:pict>
              <v:group style="position:absolute;margin-left:0pt;margin-top:1.00007pt;width:595.3pt;height:840.9pt;mso-position-horizontal-relative:page;mso-position-vertical-relative:page;z-index:-15859200" id="docshapegroup1" coordorigin="0,20" coordsize="11906,16818">
                <v:shape style="position:absolute;left:0;top:20;width:11906;height:16818" type="#_x0000_t75" id="docshape2" stroked="false">
                  <v:imagedata r:id="rId5" o:title=""/>
                </v:shape>
                <v:shape style="position:absolute;left:2656;top:7564;width:6583;height:169" type="#_x0000_t75" id="docshape3" stroked="false">
                  <v:imagedata r:id="rId6" o:title=""/>
                </v:shape>
                <v:shape style="position:absolute;left:2543;top:10826;width:6583;height:169" type="#_x0000_t75" id="docshape4" stroked="false">
                  <v:imagedata r:id="rId7" o:title=""/>
                </v:shape>
                <v:shape style="position:absolute;left:2621;top:1398;width:1724;height:1974" type="#_x0000_t75" id="docshape5" stroked="false">
                  <v:imagedata r:id="rId8" o:title=""/>
                </v:shape>
                <v:shape style="position:absolute;left:4958;top:1362;width:4484;height:2060" type="#_x0000_t75" id="docshape6" stroked="false">
                  <v:imagedata r:id="rId9" o:title=""/>
                </v:shape>
                <w10:wrap type="none"/>
              </v:group>
            </w:pict>
          </mc:Fallback>
        </mc:AlternateContent>
      </w:r>
    </w:p>
    <w:p>
      <w:pPr>
        <w:pStyle w:val="BodyText"/>
        <w:rPr>
          <w:sz w:val="47"/>
        </w:rPr>
      </w:pPr>
    </w:p>
    <w:p>
      <w:pPr>
        <w:pStyle w:val="BodyText"/>
        <w:rPr>
          <w:sz w:val="47"/>
        </w:rPr>
      </w:pPr>
    </w:p>
    <w:p>
      <w:pPr>
        <w:pStyle w:val="BodyText"/>
        <w:spacing w:before="477"/>
        <w:rPr>
          <w:sz w:val="47"/>
        </w:rPr>
      </w:pPr>
    </w:p>
    <w:p>
      <w:pPr>
        <w:spacing w:before="0"/>
        <w:ind w:left="270" w:right="730" w:firstLine="0"/>
        <w:jc w:val="center"/>
        <w:rPr>
          <w:b/>
          <w:sz w:val="47"/>
        </w:rPr>
      </w:pPr>
      <w:r>
        <w:rPr>
          <w:b/>
          <w:color w:val="FFFFFF"/>
          <w:spacing w:val="-2"/>
          <w:w w:val="90"/>
          <w:sz w:val="47"/>
        </w:rPr>
        <w:t>Cтуденттер</w:t>
      </w:r>
      <w:r>
        <w:rPr>
          <w:b/>
          <w:color w:val="FFFFFF"/>
          <w:spacing w:val="-8"/>
          <w:w w:val="90"/>
          <w:sz w:val="47"/>
        </w:rPr>
        <w:t> </w:t>
      </w:r>
      <w:r>
        <w:rPr>
          <w:b/>
          <w:color w:val="FFFFFF"/>
          <w:spacing w:val="-2"/>
          <w:w w:val="90"/>
          <w:sz w:val="47"/>
        </w:rPr>
        <w:t>мен</w:t>
      </w:r>
      <w:r>
        <w:rPr>
          <w:b/>
          <w:color w:val="FFFFFF"/>
          <w:spacing w:val="-8"/>
          <w:w w:val="90"/>
          <w:sz w:val="47"/>
        </w:rPr>
        <w:t> </w:t>
      </w:r>
      <w:r>
        <w:rPr>
          <w:b/>
          <w:color w:val="FFFFFF"/>
          <w:spacing w:val="-2"/>
          <w:w w:val="90"/>
          <w:sz w:val="47"/>
        </w:rPr>
        <w:t>жас</w:t>
      </w:r>
      <w:r>
        <w:rPr>
          <w:b/>
          <w:color w:val="FFFFFF"/>
          <w:spacing w:val="-8"/>
          <w:w w:val="90"/>
          <w:sz w:val="47"/>
        </w:rPr>
        <w:t> </w:t>
      </w:r>
      <w:r>
        <w:rPr>
          <w:b/>
          <w:color w:val="FFFFFF"/>
          <w:spacing w:val="-2"/>
          <w:w w:val="90"/>
          <w:sz w:val="47"/>
        </w:rPr>
        <w:t>ғалымдардың</w:t>
      </w:r>
    </w:p>
    <w:p>
      <w:pPr>
        <w:pStyle w:val="Heading1"/>
        <w:spacing w:line="240" w:lineRule="auto" w:before="41"/>
      </w:pPr>
      <w:r>
        <w:rPr>
          <w:color w:val="FFFFFF"/>
        </w:rPr>
        <w:t>«ФАРАБИ</w:t>
      </w:r>
      <w:r>
        <w:rPr>
          <w:color w:val="FFFFFF"/>
          <w:spacing w:val="2"/>
        </w:rPr>
        <w:t> </w:t>
      </w:r>
      <w:r>
        <w:rPr>
          <w:color w:val="FFFFFF"/>
          <w:spacing w:val="-2"/>
        </w:rPr>
        <w:t>ӘЛЕМІ»</w:t>
      </w:r>
    </w:p>
    <w:p>
      <w:pPr>
        <w:spacing w:line="259" w:lineRule="auto" w:before="41"/>
        <w:ind w:left="270" w:right="730" w:firstLine="0"/>
        <w:jc w:val="center"/>
        <w:rPr>
          <w:b/>
          <w:sz w:val="47"/>
        </w:rPr>
      </w:pPr>
      <w:r>
        <w:rPr>
          <w:b/>
          <w:color w:val="FFFFFF"/>
          <w:w w:val="85"/>
          <w:sz w:val="47"/>
        </w:rPr>
        <w:t>атты халықаралық ғылыми </w:t>
      </w:r>
      <w:r>
        <w:rPr>
          <w:b/>
          <w:color w:val="FFFFFF"/>
          <w:w w:val="85"/>
          <w:sz w:val="47"/>
        </w:rPr>
        <w:t>конференциясы </w:t>
      </w:r>
      <w:r>
        <w:rPr>
          <w:b/>
          <w:color w:val="FFFFFF"/>
          <w:spacing w:val="-6"/>
          <w:sz w:val="47"/>
        </w:rPr>
        <w:t>Алматы,</w:t>
      </w:r>
      <w:r>
        <w:rPr>
          <w:b/>
          <w:color w:val="FFFFFF"/>
          <w:spacing w:val="-24"/>
          <w:sz w:val="47"/>
        </w:rPr>
        <w:t> </w:t>
      </w:r>
      <w:r>
        <w:rPr>
          <w:b/>
          <w:color w:val="FFFFFF"/>
          <w:spacing w:val="-6"/>
          <w:sz w:val="47"/>
        </w:rPr>
        <w:t>Қазақстан,</w:t>
      </w:r>
      <w:r>
        <w:rPr>
          <w:b/>
          <w:color w:val="FFFFFF"/>
          <w:spacing w:val="-23"/>
          <w:sz w:val="47"/>
        </w:rPr>
        <w:t> </w:t>
      </w:r>
      <w:r>
        <w:rPr>
          <w:b/>
          <w:color w:val="FFFFFF"/>
          <w:spacing w:val="-6"/>
          <w:sz w:val="47"/>
        </w:rPr>
        <w:t>4-6</w:t>
      </w:r>
      <w:r>
        <w:rPr>
          <w:b/>
          <w:color w:val="FFFFFF"/>
          <w:spacing w:val="-24"/>
          <w:sz w:val="47"/>
        </w:rPr>
        <w:t> </w:t>
      </w:r>
      <w:r>
        <w:rPr>
          <w:b/>
          <w:color w:val="FFFFFF"/>
          <w:spacing w:val="-6"/>
          <w:sz w:val="47"/>
        </w:rPr>
        <w:t>сәуір</w:t>
      </w:r>
      <w:r>
        <w:rPr>
          <w:b/>
          <w:color w:val="FFFFFF"/>
          <w:spacing w:val="-23"/>
          <w:sz w:val="47"/>
        </w:rPr>
        <w:t> </w:t>
      </w:r>
      <w:r>
        <w:rPr>
          <w:b/>
          <w:color w:val="FFFFFF"/>
          <w:spacing w:val="-6"/>
          <w:sz w:val="47"/>
        </w:rPr>
        <w:t>2024</w:t>
      </w:r>
      <w:r>
        <w:rPr>
          <w:b/>
          <w:color w:val="FFFFFF"/>
          <w:spacing w:val="-23"/>
          <w:sz w:val="47"/>
        </w:rPr>
        <w:t> </w:t>
      </w:r>
      <w:r>
        <w:rPr>
          <w:b/>
          <w:color w:val="FFFFFF"/>
          <w:spacing w:val="-6"/>
          <w:sz w:val="47"/>
        </w:rPr>
        <w:t>жыл</w:t>
      </w:r>
    </w:p>
    <w:p>
      <w:pPr>
        <w:pStyle w:val="BodyText"/>
        <w:rPr>
          <w:b/>
          <w:sz w:val="47"/>
        </w:rPr>
      </w:pPr>
    </w:p>
    <w:p>
      <w:pPr>
        <w:pStyle w:val="BodyText"/>
        <w:spacing w:before="78"/>
        <w:rPr>
          <w:b/>
          <w:sz w:val="47"/>
        </w:rPr>
      </w:pPr>
    </w:p>
    <w:p>
      <w:pPr>
        <w:spacing w:line="259" w:lineRule="auto" w:before="1"/>
        <w:ind w:left="270" w:right="730" w:firstLine="0"/>
        <w:jc w:val="center"/>
        <w:rPr>
          <w:b/>
          <w:sz w:val="47"/>
        </w:rPr>
      </w:pPr>
      <w:r>
        <w:rPr>
          <w:b/>
          <w:color w:val="FFFFFF"/>
          <w:w w:val="85"/>
          <w:sz w:val="47"/>
        </w:rPr>
        <w:t>Международная научная </w:t>
      </w:r>
      <w:r>
        <w:rPr>
          <w:b/>
          <w:color w:val="FFFFFF"/>
          <w:w w:val="85"/>
          <w:sz w:val="47"/>
        </w:rPr>
        <w:t>конференция</w:t>
      </w:r>
      <w:r>
        <w:rPr>
          <w:b/>
          <w:color w:val="FFFFFF"/>
          <w:spacing w:val="40"/>
          <w:sz w:val="47"/>
        </w:rPr>
        <w:t> </w:t>
      </w:r>
      <w:r>
        <w:rPr>
          <w:b/>
          <w:color w:val="FFFFFF"/>
          <w:w w:val="90"/>
          <w:sz w:val="47"/>
        </w:rPr>
        <w:t>студентов и молодых ученых</w:t>
      </w:r>
    </w:p>
    <w:p>
      <w:pPr>
        <w:pStyle w:val="Heading1"/>
      </w:pPr>
      <w:r>
        <w:rPr>
          <w:color w:val="FFFFFF"/>
        </w:rPr>
        <w:t>«ФАРАБИ</w:t>
      </w:r>
      <w:r>
        <w:rPr>
          <w:color w:val="FFFFFF"/>
          <w:spacing w:val="2"/>
        </w:rPr>
        <w:t> </w:t>
      </w:r>
      <w:r>
        <w:rPr>
          <w:color w:val="FFFFFF"/>
          <w:spacing w:val="-2"/>
        </w:rPr>
        <w:t>ӘЛЕМІ»</w:t>
      </w:r>
    </w:p>
    <w:p>
      <w:pPr>
        <w:spacing w:before="41"/>
        <w:ind w:left="270" w:right="730" w:firstLine="0"/>
        <w:jc w:val="center"/>
        <w:rPr>
          <w:b/>
          <w:sz w:val="47"/>
        </w:rPr>
      </w:pPr>
      <w:r>
        <w:rPr>
          <w:b/>
          <w:color w:val="FFFFFF"/>
          <w:w w:val="90"/>
          <w:sz w:val="47"/>
        </w:rPr>
        <w:t>Алматы,</w:t>
      </w:r>
      <w:r>
        <w:rPr>
          <w:b/>
          <w:color w:val="FFFFFF"/>
          <w:spacing w:val="40"/>
          <w:sz w:val="47"/>
        </w:rPr>
        <w:t> </w:t>
      </w:r>
      <w:r>
        <w:rPr>
          <w:b/>
          <w:color w:val="FFFFFF"/>
          <w:w w:val="90"/>
          <w:sz w:val="47"/>
        </w:rPr>
        <w:t>Казахстан,</w:t>
      </w:r>
      <w:r>
        <w:rPr>
          <w:b/>
          <w:color w:val="FFFFFF"/>
          <w:spacing w:val="41"/>
          <w:sz w:val="47"/>
        </w:rPr>
        <w:t> </w:t>
      </w:r>
      <w:r>
        <w:rPr>
          <w:b/>
          <w:color w:val="FFFFFF"/>
          <w:w w:val="90"/>
          <w:sz w:val="47"/>
        </w:rPr>
        <w:t>4-6</w:t>
      </w:r>
      <w:r>
        <w:rPr>
          <w:b/>
          <w:color w:val="FFFFFF"/>
          <w:spacing w:val="41"/>
          <w:sz w:val="47"/>
        </w:rPr>
        <w:t> </w:t>
      </w:r>
      <w:r>
        <w:rPr>
          <w:b/>
          <w:color w:val="FFFFFF"/>
          <w:w w:val="90"/>
          <w:sz w:val="47"/>
        </w:rPr>
        <w:t>апреля</w:t>
      </w:r>
      <w:r>
        <w:rPr>
          <w:b/>
          <w:color w:val="FFFFFF"/>
          <w:spacing w:val="41"/>
          <w:sz w:val="47"/>
        </w:rPr>
        <w:t> </w:t>
      </w:r>
      <w:r>
        <w:rPr>
          <w:b/>
          <w:color w:val="FFFFFF"/>
          <w:w w:val="90"/>
          <w:sz w:val="47"/>
        </w:rPr>
        <w:t>2024</w:t>
      </w:r>
      <w:r>
        <w:rPr>
          <w:b/>
          <w:color w:val="FFFFFF"/>
          <w:spacing w:val="41"/>
          <w:sz w:val="47"/>
        </w:rPr>
        <w:t> </w:t>
      </w:r>
      <w:r>
        <w:rPr>
          <w:b/>
          <w:color w:val="FFFFFF"/>
          <w:spacing w:val="-4"/>
          <w:w w:val="90"/>
          <w:sz w:val="47"/>
        </w:rPr>
        <w:t>года</w:t>
      </w:r>
    </w:p>
    <w:p>
      <w:pPr>
        <w:pStyle w:val="BodyText"/>
        <w:rPr>
          <w:b/>
          <w:sz w:val="47"/>
        </w:rPr>
      </w:pPr>
    </w:p>
    <w:p>
      <w:pPr>
        <w:pStyle w:val="BodyText"/>
        <w:spacing w:before="123"/>
        <w:rPr>
          <w:b/>
          <w:sz w:val="47"/>
        </w:rPr>
      </w:pPr>
    </w:p>
    <w:p>
      <w:pPr>
        <w:spacing w:line="259" w:lineRule="auto" w:before="0"/>
        <w:ind w:left="0" w:right="460" w:firstLine="0"/>
        <w:jc w:val="center"/>
        <w:rPr>
          <w:b/>
          <w:sz w:val="47"/>
        </w:rPr>
      </w:pPr>
      <w:r>
        <w:rPr>
          <w:b/>
          <w:color w:val="FFFFFF"/>
          <w:w w:val="90"/>
          <w:sz w:val="47"/>
        </w:rPr>
        <w:t>International</w:t>
      </w:r>
      <w:r>
        <w:rPr>
          <w:b/>
          <w:color w:val="FFFFFF"/>
          <w:spacing w:val="-18"/>
          <w:w w:val="90"/>
          <w:sz w:val="47"/>
        </w:rPr>
        <w:t> </w:t>
      </w:r>
      <w:r>
        <w:rPr>
          <w:b/>
          <w:color w:val="FFFFFF"/>
          <w:w w:val="90"/>
          <w:sz w:val="47"/>
        </w:rPr>
        <w:t>Scientific</w:t>
      </w:r>
      <w:r>
        <w:rPr>
          <w:b/>
          <w:color w:val="FFFFFF"/>
          <w:spacing w:val="-18"/>
          <w:w w:val="90"/>
          <w:sz w:val="47"/>
        </w:rPr>
        <w:t> </w:t>
      </w:r>
      <w:r>
        <w:rPr>
          <w:b/>
          <w:color w:val="FFFFFF"/>
          <w:w w:val="90"/>
          <w:sz w:val="47"/>
        </w:rPr>
        <w:t>Conference</w:t>
      </w:r>
      <w:r>
        <w:rPr>
          <w:b/>
          <w:color w:val="FFFFFF"/>
          <w:spacing w:val="-17"/>
          <w:w w:val="90"/>
          <w:sz w:val="47"/>
        </w:rPr>
        <w:t> </w:t>
      </w:r>
      <w:r>
        <w:rPr>
          <w:b/>
          <w:color w:val="FFFFFF"/>
          <w:w w:val="90"/>
          <w:sz w:val="47"/>
        </w:rPr>
        <w:t>of</w:t>
      </w:r>
      <w:r>
        <w:rPr>
          <w:b/>
          <w:color w:val="FFFFFF"/>
          <w:spacing w:val="-18"/>
          <w:w w:val="90"/>
          <w:sz w:val="47"/>
        </w:rPr>
        <w:t> </w:t>
      </w:r>
      <w:r>
        <w:rPr>
          <w:b/>
          <w:color w:val="FFFFFF"/>
          <w:w w:val="90"/>
          <w:sz w:val="47"/>
        </w:rPr>
        <w:t>Students</w:t>
      </w:r>
      <w:r>
        <w:rPr>
          <w:b/>
          <w:color w:val="FFFFFF"/>
          <w:spacing w:val="-18"/>
          <w:w w:val="90"/>
          <w:sz w:val="47"/>
        </w:rPr>
        <w:t> </w:t>
      </w:r>
      <w:r>
        <w:rPr>
          <w:b/>
          <w:color w:val="FFFFFF"/>
          <w:w w:val="90"/>
          <w:sz w:val="47"/>
        </w:rPr>
        <w:t>and </w:t>
      </w:r>
      <w:r>
        <w:rPr>
          <w:b/>
          <w:color w:val="FFFFFF"/>
          <w:spacing w:val="-10"/>
          <w:sz w:val="47"/>
        </w:rPr>
        <w:t>Young</w:t>
      </w:r>
      <w:r>
        <w:rPr>
          <w:b/>
          <w:color w:val="FFFFFF"/>
          <w:spacing w:val="-20"/>
          <w:sz w:val="47"/>
        </w:rPr>
        <w:t> </w:t>
      </w:r>
      <w:r>
        <w:rPr>
          <w:b/>
          <w:color w:val="FFFFFF"/>
          <w:spacing w:val="-10"/>
          <w:sz w:val="47"/>
        </w:rPr>
        <w:t>Scientists</w:t>
      </w:r>
    </w:p>
    <w:p>
      <w:pPr>
        <w:pStyle w:val="Heading1"/>
      </w:pPr>
      <w:r>
        <w:rPr>
          <w:color w:val="FFFFFF"/>
          <w:spacing w:val="-22"/>
        </w:rPr>
        <w:t>“FARABI</w:t>
      </w:r>
      <w:r>
        <w:rPr>
          <w:color w:val="FFFFFF"/>
          <w:spacing w:val="-3"/>
        </w:rPr>
        <w:t> </w:t>
      </w:r>
      <w:r>
        <w:rPr>
          <w:color w:val="FFFFFF"/>
          <w:spacing w:val="-2"/>
        </w:rPr>
        <w:t>ALEMI»</w:t>
      </w:r>
    </w:p>
    <w:p>
      <w:pPr>
        <w:spacing w:before="42"/>
        <w:ind w:left="270" w:right="730" w:firstLine="0"/>
        <w:jc w:val="center"/>
        <w:rPr>
          <w:b/>
          <w:sz w:val="47"/>
        </w:rPr>
      </w:pPr>
      <w:r>
        <w:rPr>
          <w:b/>
          <w:color w:val="FFFFFF"/>
          <w:w w:val="90"/>
          <w:sz w:val="47"/>
        </w:rPr>
        <w:t>Almaty,</w:t>
      </w:r>
      <w:r>
        <w:rPr>
          <w:b/>
          <w:color w:val="FFFFFF"/>
          <w:spacing w:val="39"/>
          <w:sz w:val="47"/>
        </w:rPr>
        <w:t> </w:t>
      </w:r>
      <w:r>
        <w:rPr>
          <w:b/>
          <w:color w:val="FFFFFF"/>
          <w:w w:val="90"/>
          <w:sz w:val="47"/>
        </w:rPr>
        <w:t>Kazakhstan,</w:t>
      </w:r>
      <w:r>
        <w:rPr>
          <w:b/>
          <w:color w:val="FFFFFF"/>
          <w:spacing w:val="40"/>
          <w:sz w:val="47"/>
        </w:rPr>
        <w:t> </w:t>
      </w:r>
      <w:r>
        <w:rPr>
          <w:b/>
          <w:color w:val="FFFFFF"/>
          <w:w w:val="90"/>
          <w:sz w:val="47"/>
        </w:rPr>
        <w:t>April</w:t>
      </w:r>
      <w:r>
        <w:rPr>
          <w:b/>
          <w:color w:val="FFFFFF"/>
          <w:spacing w:val="39"/>
          <w:sz w:val="47"/>
        </w:rPr>
        <w:t> </w:t>
      </w:r>
      <w:r>
        <w:rPr>
          <w:b/>
          <w:color w:val="FFFFFF"/>
          <w:w w:val="90"/>
          <w:sz w:val="47"/>
        </w:rPr>
        <w:t>4-6,</w:t>
      </w:r>
      <w:r>
        <w:rPr>
          <w:b/>
          <w:color w:val="FFFFFF"/>
          <w:spacing w:val="40"/>
          <w:sz w:val="47"/>
        </w:rPr>
        <w:t> </w:t>
      </w:r>
      <w:r>
        <w:rPr>
          <w:b/>
          <w:color w:val="FFFFFF"/>
          <w:spacing w:val="-4"/>
          <w:w w:val="90"/>
          <w:sz w:val="47"/>
        </w:rPr>
        <w:t>2024</w:t>
      </w:r>
    </w:p>
    <w:p>
      <w:pPr>
        <w:spacing w:after="0"/>
        <w:jc w:val="center"/>
        <w:rPr>
          <w:b/>
          <w:sz w:val="47"/>
        </w:rPr>
        <w:sectPr>
          <w:type w:val="continuous"/>
          <w:pgSz w:w="11910" w:h="16840"/>
          <w:pgMar w:top="1920" w:bottom="280" w:left="1275" w:right="707"/>
        </w:sectPr>
      </w:pPr>
    </w:p>
    <w:p>
      <w:pPr>
        <w:spacing w:line="309" w:lineRule="auto" w:before="71"/>
        <w:ind w:left="1660" w:right="1374" w:firstLine="0"/>
        <w:jc w:val="center"/>
        <w:rPr>
          <w:sz w:val="21"/>
        </w:rPr>
      </w:pPr>
      <w:r>
        <w:rPr>
          <w:sz w:val="21"/>
        </w:rPr>
        <w:t>ƏЛ-ФАРАБИ АТЫНДАҒЫ ҚАЗАҚ ҰЛТТЫҚ УНИВЕРСИТЕТІ КАЗАХСКИЙ</w:t>
      </w:r>
      <w:r>
        <w:rPr>
          <w:spacing w:val="-14"/>
          <w:sz w:val="21"/>
        </w:rPr>
        <w:t> </w:t>
      </w:r>
      <w:r>
        <w:rPr>
          <w:sz w:val="21"/>
        </w:rPr>
        <w:t>НАЦИОНАЛЬНЫЙ</w:t>
      </w:r>
      <w:r>
        <w:rPr>
          <w:spacing w:val="-13"/>
          <w:sz w:val="21"/>
        </w:rPr>
        <w:t> </w:t>
      </w:r>
      <w:r>
        <w:rPr>
          <w:sz w:val="21"/>
        </w:rPr>
        <w:t>УНИВЕРСИТЕТ</w:t>
      </w:r>
      <w:r>
        <w:rPr>
          <w:spacing w:val="-13"/>
          <w:sz w:val="21"/>
        </w:rPr>
        <w:t> </w:t>
      </w:r>
      <w:r>
        <w:rPr>
          <w:sz w:val="21"/>
        </w:rPr>
        <w:t>ИМЕНИ</w:t>
      </w:r>
      <w:r>
        <w:rPr>
          <w:spacing w:val="-13"/>
          <w:sz w:val="21"/>
        </w:rPr>
        <w:t> </w:t>
      </w:r>
      <w:r>
        <w:rPr>
          <w:sz w:val="21"/>
        </w:rPr>
        <w:t>АЛЬ-ФАРАБИ AL-FARABI KAZAKH NATIONAL UNIVERSITY</w:t>
      </w:r>
    </w:p>
    <w:p>
      <w:pPr>
        <w:pStyle w:val="BodyText"/>
        <w:rPr>
          <w:sz w:val="21"/>
        </w:rPr>
      </w:pPr>
    </w:p>
    <w:p>
      <w:pPr>
        <w:pStyle w:val="BodyText"/>
        <w:spacing w:before="143"/>
        <w:rPr>
          <w:sz w:val="21"/>
        </w:rPr>
      </w:pPr>
    </w:p>
    <w:p>
      <w:pPr>
        <w:spacing w:line="309" w:lineRule="auto" w:before="0"/>
        <w:ind w:left="2688" w:right="2404" w:firstLine="4"/>
        <w:jc w:val="center"/>
        <w:rPr>
          <w:sz w:val="21"/>
        </w:rPr>
      </w:pPr>
      <w:r>
        <w:rPr>
          <w:sz w:val="21"/>
        </w:rPr>
        <w:t>ЭКОНОМИКА</w:t>
      </w:r>
      <w:r>
        <w:rPr>
          <w:spacing w:val="-5"/>
          <w:sz w:val="21"/>
        </w:rPr>
        <w:t> </w:t>
      </w:r>
      <w:r>
        <w:rPr>
          <w:sz w:val="21"/>
        </w:rPr>
        <w:t>ЖƏНЕ</w:t>
      </w:r>
      <w:r>
        <w:rPr>
          <w:spacing w:val="-5"/>
          <w:sz w:val="21"/>
        </w:rPr>
        <w:t> </w:t>
      </w:r>
      <w:r>
        <w:rPr>
          <w:sz w:val="21"/>
        </w:rPr>
        <w:t>БИЗНЕС</w:t>
      </w:r>
      <w:r>
        <w:rPr>
          <w:spacing w:val="-4"/>
          <w:sz w:val="21"/>
        </w:rPr>
        <w:t> </w:t>
      </w:r>
      <w:r>
        <w:rPr>
          <w:sz w:val="21"/>
        </w:rPr>
        <w:t>ЖОҒАРЫ</w:t>
      </w:r>
      <w:r>
        <w:rPr>
          <w:spacing w:val="-3"/>
          <w:sz w:val="21"/>
        </w:rPr>
        <w:t> </w:t>
      </w:r>
      <w:r>
        <w:rPr>
          <w:sz w:val="21"/>
        </w:rPr>
        <w:t>МЕКТЕБІ ВЫСШАЯ ШКОЛА ЭКОНОМИКИ И БИЗНЕСА HIGHER</w:t>
      </w:r>
      <w:r>
        <w:rPr>
          <w:spacing w:val="-11"/>
          <w:sz w:val="21"/>
        </w:rPr>
        <w:t> </w:t>
      </w:r>
      <w:r>
        <w:rPr>
          <w:sz w:val="21"/>
        </w:rPr>
        <w:t>SCHOOL</w:t>
      </w:r>
      <w:r>
        <w:rPr>
          <w:spacing w:val="-14"/>
          <w:sz w:val="21"/>
        </w:rPr>
        <w:t> </w:t>
      </w:r>
      <w:r>
        <w:rPr>
          <w:sz w:val="21"/>
        </w:rPr>
        <w:t>OF</w:t>
      </w:r>
      <w:r>
        <w:rPr>
          <w:spacing w:val="-9"/>
          <w:sz w:val="21"/>
        </w:rPr>
        <w:t> </w:t>
      </w:r>
      <w:r>
        <w:rPr>
          <w:sz w:val="21"/>
        </w:rPr>
        <w:t>ECONOMICS</w:t>
      </w:r>
      <w:r>
        <w:rPr>
          <w:spacing w:val="-14"/>
          <w:sz w:val="21"/>
        </w:rPr>
        <w:t> </w:t>
      </w:r>
      <w:r>
        <w:rPr>
          <w:sz w:val="21"/>
        </w:rPr>
        <w:t>AND</w:t>
      </w:r>
      <w:r>
        <w:rPr>
          <w:spacing w:val="-6"/>
          <w:sz w:val="21"/>
        </w:rPr>
        <w:t> </w:t>
      </w:r>
      <w:r>
        <w:rPr>
          <w:sz w:val="21"/>
        </w:rPr>
        <w:t>BUSINESS</w:t>
      </w:r>
    </w:p>
    <w:p>
      <w:pPr>
        <w:pStyle w:val="BodyText"/>
        <w:spacing w:before="7"/>
        <w:rPr>
          <w:sz w:val="18"/>
        </w:rPr>
      </w:pPr>
      <w:r>
        <w:rPr>
          <w:sz w:val="18"/>
        </w:rPr>
        <mc:AlternateContent>
          <mc:Choice Requires="wps">
            <w:drawing>
              <wp:anchor distT="0" distB="0" distL="0" distR="0" allowOverlap="1" layoutInCell="1" locked="0" behindDoc="1" simplePos="0" relativeHeight="487588352">
                <wp:simplePos x="0" y="0"/>
                <wp:positionH relativeFrom="page">
                  <wp:posOffset>1080820</wp:posOffset>
                </wp:positionH>
                <wp:positionV relativeFrom="paragraph">
                  <wp:posOffset>151715</wp:posOffset>
                </wp:positionV>
                <wp:extent cx="513588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5135880" cy="1270"/>
                        </a:xfrm>
                        <a:custGeom>
                          <a:avLst/>
                          <a:gdLst/>
                          <a:ahLst/>
                          <a:cxnLst/>
                          <a:rect l="l" t="t" r="r" b="b"/>
                          <a:pathLst>
                            <a:path w="5135880" h="0">
                              <a:moveTo>
                                <a:pt x="0" y="0"/>
                              </a:moveTo>
                              <a:lnTo>
                                <a:pt x="5135283" y="0"/>
                              </a:lnTo>
                            </a:path>
                          </a:pathLst>
                        </a:custGeom>
                        <a:ln w="54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11.946105pt;width:404.4pt;height:.1pt;mso-position-horizontal-relative:page;mso-position-vertical-relative:paragraph;z-index:-15728128;mso-wrap-distance-left:0;mso-wrap-distance-right:0" id="docshape7" coordorigin="1702,239" coordsize="8088,0" path="m1702,239l9789,239e" filled="false" stroked="true" strokeweight=".42867pt" strokecolor="#000000">
                <v:path arrowok="t"/>
                <v:stroke dashstyle="solid"/>
                <w10:wrap type="topAndBottom"/>
              </v:shape>
            </w:pict>
          </mc:Fallback>
        </mc:AlternateContent>
      </w: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95"/>
        <w:rPr>
          <w:sz w:val="21"/>
        </w:rPr>
      </w:pPr>
    </w:p>
    <w:p>
      <w:pPr>
        <w:spacing w:line="309" w:lineRule="auto" w:before="0"/>
        <w:ind w:left="3579" w:right="3291" w:firstLine="0"/>
        <w:jc w:val="center"/>
        <w:rPr>
          <w:sz w:val="21"/>
        </w:rPr>
      </w:pPr>
      <w:r>
        <w:rPr>
          <w:sz w:val="21"/>
        </w:rPr>
        <w:t>«Қаржы</w:t>
      </w:r>
      <w:r>
        <w:rPr>
          <w:spacing w:val="-9"/>
          <w:sz w:val="21"/>
        </w:rPr>
        <w:t> </w:t>
      </w:r>
      <w:r>
        <w:rPr>
          <w:sz w:val="21"/>
        </w:rPr>
        <w:t>және</w:t>
      </w:r>
      <w:r>
        <w:rPr>
          <w:spacing w:val="-9"/>
          <w:sz w:val="21"/>
        </w:rPr>
        <w:t> </w:t>
      </w:r>
      <w:r>
        <w:rPr>
          <w:sz w:val="21"/>
        </w:rPr>
        <w:t>есеп»</w:t>
      </w:r>
      <w:r>
        <w:rPr>
          <w:spacing w:val="-13"/>
          <w:sz w:val="21"/>
        </w:rPr>
        <w:t> </w:t>
      </w:r>
      <w:r>
        <w:rPr>
          <w:sz w:val="21"/>
        </w:rPr>
        <w:t>кафедрасы кафедра «Финансы и учет»</w:t>
      </w:r>
    </w:p>
    <w:p>
      <w:pPr>
        <w:pStyle w:val="BodyText"/>
        <w:rPr>
          <w:sz w:val="21"/>
        </w:rPr>
      </w:pPr>
    </w:p>
    <w:p>
      <w:pPr>
        <w:pStyle w:val="BodyText"/>
        <w:rPr>
          <w:sz w:val="21"/>
        </w:rPr>
      </w:pPr>
    </w:p>
    <w:p>
      <w:pPr>
        <w:pStyle w:val="BodyText"/>
        <w:spacing w:before="213"/>
        <w:rPr>
          <w:sz w:val="21"/>
        </w:rPr>
      </w:pPr>
    </w:p>
    <w:p>
      <w:pPr>
        <w:spacing w:before="0"/>
        <w:ind w:left="287" w:right="0" w:firstLine="0"/>
        <w:jc w:val="center"/>
        <w:rPr>
          <w:sz w:val="21"/>
        </w:rPr>
      </w:pPr>
      <w:r>
        <w:rPr>
          <w:spacing w:val="-6"/>
          <w:sz w:val="21"/>
        </w:rPr>
        <w:t>«ФАРАБИ </w:t>
      </w:r>
      <w:r>
        <w:rPr>
          <w:spacing w:val="-2"/>
          <w:sz w:val="21"/>
        </w:rPr>
        <w:t>ƏЛЕМІ»</w:t>
      </w:r>
    </w:p>
    <w:p>
      <w:pPr>
        <w:spacing w:line="309" w:lineRule="auto" w:before="70"/>
        <w:ind w:left="2971" w:right="2683" w:firstLine="0"/>
        <w:jc w:val="center"/>
        <w:rPr>
          <w:sz w:val="21"/>
        </w:rPr>
      </w:pPr>
      <w:r>
        <w:rPr>
          <w:sz w:val="21"/>
        </w:rPr>
        <w:t>атты</w:t>
      </w:r>
      <w:r>
        <w:rPr>
          <w:spacing w:val="-14"/>
          <w:sz w:val="21"/>
        </w:rPr>
        <w:t> </w:t>
      </w:r>
      <w:r>
        <w:rPr>
          <w:sz w:val="21"/>
        </w:rPr>
        <w:t>студенттер</w:t>
      </w:r>
      <w:r>
        <w:rPr>
          <w:spacing w:val="-13"/>
          <w:sz w:val="21"/>
        </w:rPr>
        <w:t> </w:t>
      </w:r>
      <w:r>
        <w:rPr>
          <w:sz w:val="21"/>
        </w:rPr>
        <w:t>мен</w:t>
      </w:r>
      <w:r>
        <w:rPr>
          <w:spacing w:val="-13"/>
          <w:sz w:val="21"/>
        </w:rPr>
        <w:t> </w:t>
      </w:r>
      <w:r>
        <w:rPr>
          <w:sz w:val="21"/>
        </w:rPr>
        <w:t>жас</w:t>
      </w:r>
      <w:r>
        <w:rPr>
          <w:spacing w:val="-13"/>
          <w:sz w:val="21"/>
        </w:rPr>
        <w:t> </w:t>
      </w:r>
      <w:r>
        <w:rPr>
          <w:sz w:val="21"/>
        </w:rPr>
        <w:t>ғалымдардың халықаралық ғылыми конференция </w:t>
      </w:r>
      <w:r>
        <w:rPr>
          <w:spacing w:val="-2"/>
          <w:sz w:val="21"/>
        </w:rPr>
        <w:t>МАТЕРИАЛДАРЫ</w:t>
      </w:r>
    </w:p>
    <w:p>
      <w:pPr>
        <w:spacing w:before="2"/>
        <w:ind w:left="284" w:right="0" w:firstLine="0"/>
        <w:jc w:val="center"/>
        <w:rPr>
          <w:sz w:val="21"/>
        </w:rPr>
      </w:pPr>
      <w:r>
        <w:rPr>
          <w:sz w:val="21"/>
        </w:rPr>
        <w:t>Алматы,</w:t>
      </w:r>
      <w:r>
        <w:rPr>
          <w:spacing w:val="-10"/>
          <w:sz w:val="21"/>
        </w:rPr>
        <w:t> </w:t>
      </w:r>
      <w:r>
        <w:rPr>
          <w:sz w:val="21"/>
        </w:rPr>
        <w:t>Қазақстан,</w:t>
      </w:r>
      <w:r>
        <w:rPr>
          <w:spacing w:val="-7"/>
          <w:sz w:val="21"/>
        </w:rPr>
        <w:t> </w:t>
      </w:r>
      <w:r>
        <w:rPr>
          <w:sz w:val="21"/>
        </w:rPr>
        <w:t>4-5</w:t>
      </w:r>
      <w:r>
        <w:rPr>
          <w:spacing w:val="-4"/>
          <w:sz w:val="21"/>
        </w:rPr>
        <w:t> </w:t>
      </w:r>
      <w:r>
        <w:rPr>
          <w:sz w:val="21"/>
        </w:rPr>
        <w:t>сәуір</w:t>
      </w:r>
      <w:r>
        <w:rPr>
          <w:spacing w:val="-5"/>
          <w:sz w:val="21"/>
        </w:rPr>
        <w:t> </w:t>
      </w:r>
      <w:r>
        <w:rPr>
          <w:sz w:val="21"/>
        </w:rPr>
        <w:t>2024</w:t>
      </w:r>
      <w:r>
        <w:rPr>
          <w:spacing w:val="-7"/>
          <w:sz w:val="21"/>
        </w:rPr>
        <w:t> </w:t>
      </w:r>
      <w:r>
        <w:rPr>
          <w:spacing w:val="-5"/>
          <w:sz w:val="21"/>
        </w:rPr>
        <w:t>жыл</w:t>
      </w:r>
    </w:p>
    <w:p>
      <w:pPr>
        <w:pStyle w:val="BodyText"/>
        <w:rPr>
          <w:sz w:val="21"/>
        </w:rPr>
      </w:pPr>
    </w:p>
    <w:p>
      <w:pPr>
        <w:pStyle w:val="BodyText"/>
        <w:spacing w:before="212"/>
        <w:rPr>
          <w:sz w:val="21"/>
        </w:rPr>
      </w:pPr>
    </w:p>
    <w:p>
      <w:pPr>
        <w:spacing w:before="0"/>
        <w:ind w:left="1660" w:right="1374" w:firstLine="0"/>
        <w:jc w:val="center"/>
        <w:rPr>
          <w:sz w:val="21"/>
        </w:rPr>
      </w:pPr>
      <w:r>
        <w:rPr>
          <w:spacing w:val="-2"/>
          <w:sz w:val="21"/>
        </w:rPr>
        <w:t>МАТЕРИАЛЫ</w:t>
      </w:r>
    </w:p>
    <w:p>
      <w:pPr>
        <w:spacing w:line="309" w:lineRule="auto" w:before="70"/>
        <w:ind w:left="2969" w:right="2683" w:firstLine="0"/>
        <w:jc w:val="center"/>
        <w:rPr>
          <w:sz w:val="21"/>
        </w:rPr>
      </w:pPr>
      <w:r>
        <w:rPr>
          <w:spacing w:val="-2"/>
          <w:sz w:val="21"/>
        </w:rPr>
        <w:t>международной научной конференции </w:t>
      </w:r>
      <w:r>
        <w:rPr>
          <w:sz w:val="21"/>
        </w:rPr>
        <w:t>студентов и молодых ученых</w:t>
      </w:r>
    </w:p>
    <w:p>
      <w:pPr>
        <w:spacing w:before="1"/>
        <w:ind w:left="287" w:right="0" w:firstLine="0"/>
        <w:jc w:val="center"/>
        <w:rPr>
          <w:sz w:val="21"/>
        </w:rPr>
      </w:pPr>
      <w:r>
        <w:rPr>
          <w:spacing w:val="-6"/>
          <w:sz w:val="21"/>
        </w:rPr>
        <w:t>«ФАРАБИ </w:t>
      </w:r>
      <w:r>
        <w:rPr>
          <w:spacing w:val="-2"/>
          <w:sz w:val="21"/>
        </w:rPr>
        <w:t>ƏЛЕМІ»</w:t>
      </w:r>
    </w:p>
    <w:p>
      <w:pPr>
        <w:spacing w:before="71"/>
        <w:ind w:left="285" w:right="0" w:firstLine="0"/>
        <w:jc w:val="center"/>
        <w:rPr>
          <w:sz w:val="21"/>
        </w:rPr>
      </w:pPr>
      <w:r>
        <w:rPr>
          <w:sz w:val="21"/>
        </w:rPr>
        <w:t>Алматы,</w:t>
      </w:r>
      <w:r>
        <w:rPr>
          <w:spacing w:val="-13"/>
          <w:sz w:val="21"/>
        </w:rPr>
        <w:t> </w:t>
      </w:r>
      <w:r>
        <w:rPr>
          <w:sz w:val="21"/>
        </w:rPr>
        <w:t>Казахстан,</w:t>
      </w:r>
      <w:r>
        <w:rPr>
          <w:spacing w:val="-7"/>
          <w:sz w:val="21"/>
        </w:rPr>
        <w:t> </w:t>
      </w:r>
      <w:r>
        <w:rPr>
          <w:sz w:val="21"/>
        </w:rPr>
        <w:t>4-5</w:t>
      </w:r>
      <w:r>
        <w:rPr>
          <w:spacing w:val="-8"/>
          <w:sz w:val="21"/>
        </w:rPr>
        <w:t> </w:t>
      </w:r>
      <w:r>
        <w:rPr>
          <w:sz w:val="21"/>
        </w:rPr>
        <w:t>апреля</w:t>
      </w:r>
      <w:r>
        <w:rPr>
          <w:spacing w:val="-9"/>
          <w:sz w:val="21"/>
        </w:rPr>
        <w:t> </w:t>
      </w:r>
      <w:r>
        <w:rPr>
          <w:sz w:val="21"/>
        </w:rPr>
        <w:t>2024</w:t>
      </w:r>
      <w:r>
        <w:rPr>
          <w:spacing w:val="-7"/>
          <w:sz w:val="21"/>
        </w:rPr>
        <w:t> </w:t>
      </w:r>
      <w:r>
        <w:rPr>
          <w:spacing w:val="-4"/>
          <w:sz w:val="21"/>
        </w:rPr>
        <w:t>годa</w:t>
      </w:r>
    </w:p>
    <w:p>
      <w:pPr>
        <w:pStyle w:val="BodyText"/>
        <w:rPr>
          <w:sz w:val="21"/>
        </w:rPr>
      </w:pPr>
    </w:p>
    <w:p>
      <w:pPr>
        <w:pStyle w:val="BodyText"/>
        <w:rPr>
          <w:sz w:val="21"/>
        </w:rPr>
      </w:pPr>
    </w:p>
    <w:p>
      <w:pPr>
        <w:pStyle w:val="BodyText"/>
        <w:rPr>
          <w:sz w:val="21"/>
        </w:rPr>
      </w:pPr>
    </w:p>
    <w:p>
      <w:pPr>
        <w:pStyle w:val="BodyText"/>
        <w:spacing w:before="40"/>
        <w:rPr>
          <w:sz w:val="21"/>
        </w:rPr>
      </w:pPr>
    </w:p>
    <w:p>
      <w:pPr>
        <w:spacing w:before="0"/>
        <w:ind w:left="283" w:right="0" w:firstLine="0"/>
        <w:jc w:val="center"/>
        <w:rPr>
          <w:sz w:val="21"/>
        </w:rPr>
      </w:pPr>
      <w:r>
        <w:rPr>
          <w:spacing w:val="-2"/>
          <w:sz w:val="21"/>
        </w:rPr>
        <w:t>MATERIALS</w:t>
      </w:r>
    </w:p>
    <w:p>
      <w:pPr>
        <w:spacing w:line="309" w:lineRule="auto" w:before="71"/>
        <w:ind w:left="3579" w:right="3288" w:firstLine="0"/>
        <w:jc w:val="center"/>
        <w:rPr>
          <w:sz w:val="21"/>
        </w:rPr>
      </w:pPr>
      <w:r>
        <w:rPr>
          <w:sz w:val="21"/>
        </w:rPr>
        <w:t>International</w:t>
      </w:r>
      <w:r>
        <w:rPr>
          <w:spacing w:val="-14"/>
          <w:sz w:val="21"/>
        </w:rPr>
        <w:t> </w:t>
      </w:r>
      <w:r>
        <w:rPr>
          <w:sz w:val="21"/>
        </w:rPr>
        <w:t>Scientific</w:t>
      </w:r>
      <w:r>
        <w:rPr>
          <w:spacing w:val="-13"/>
          <w:sz w:val="21"/>
        </w:rPr>
        <w:t> </w:t>
      </w:r>
      <w:r>
        <w:rPr>
          <w:sz w:val="21"/>
        </w:rPr>
        <w:t>Conference оf Students and Young Scientists</w:t>
      </w:r>
    </w:p>
    <w:p>
      <w:pPr>
        <w:spacing w:before="1"/>
        <w:ind w:left="280" w:right="0" w:firstLine="0"/>
        <w:jc w:val="center"/>
        <w:rPr>
          <w:sz w:val="21"/>
        </w:rPr>
      </w:pPr>
      <w:r>
        <w:rPr>
          <w:spacing w:val="-5"/>
          <w:sz w:val="21"/>
        </w:rPr>
        <w:t>«FARABI</w:t>
      </w:r>
      <w:r>
        <w:rPr>
          <w:spacing w:val="-3"/>
          <w:sz w:val="21"/>
        </w:rPr>
        <w:t> </w:t>
      </w:r>
      <w:r>
        <w:rPr>
          <w:spacing w:val="-2"/>
          <w:sz w:val="21"/>
        </w:rPr>
        <w:t>ALEMI»</w:t>
      </w:r>
    </w:p>
    <w:p>
      <w:pPr>
        <w:spacing w:before="71"/>
        <w:ind w:left="282" w:right="0" w:firstLine="0"/>
        <w:jc w:val="center"/>
        <w:rPr>
          <w:sz w:val="21"/>
        </w:rPr>
      </w:pPr>
      <w:r>
        <w:rPr>
          <w:spacing w:val="-2"/>
          <w:sz w:val="21"/>
        </w:rPr>
        <w:t>Almaty,</w:t>
      </w:r>
      <w:r>
        <w:rPr>
          <w:spacing w:val="2"/>
          <w:sz w:val="21"/>
        </w:rPr>
        <w:t> </w:t>
      </w:r>
      <w:r>
        <w:rPr>
          <w:spacing w:val="-2"/>
          <w:sz w:val="21"/>
        </w:rPr>
        <w:t>Kazakhstan,</w:t>
      </w:r>
      <w:r>
        <w:rPr>
          <w:spacing w:val="-11"/>
          <w:sz w:val="21"/>
        </w:rPr>
        <w:t> </w:t>
      </w:r>
      <w:r>
        <w:rPr>
          <w:spacing w:val="-2"/>
          <w:sz w:val="21"/>
        </w:rPr>
        <w:t>April</w:t>
      </w:r>
      <w:r>
        <w:rPr>
          <w:spacing w:val="2"/>
          <w:sz w:val="21"/>
        </w:rPr>
        <w:t> </w:t>
      </w:r>
      <w:r>
        <w:rPr>
          <w:spacing w:val="-2"/>
          <w:sz w:val="21"/>
        </w:rPr>
        <w:t>4-5,</w:t>
      </w:r>
      <w:r>
        <w:rPr>
          <w:spacing w:val="3"/>
          <w:sz w:val="21"/>
        </w:rPr>
        <w:t> </w:t>
      </w:r>
      <w:r>
        <w:rPr>
          <w:spacing w:val="-4"/>
          <w:sz w:val="21"/>
        </w:rPr>
        <w:t>2024</w:t>
      </w: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05"/>
        <w:rPr>
          <w:sz w:val="21"/>
        </w:rPr>
      </w:pPr>
    </w:p>
    <w:p>
      <w:pPr>
        <w:spacing w:before="0"/>
        <w:ind w:left="392" w:right="0" w:firstLine="0"/>
        <w:jc w:val="center"/>
        <w:rPr>
          <w:sz w:val="21"/>
        </w:rPr>
      </w:pPr>
      <w:r>
        <w:rPr>
          <w:spacing w:val="-2"/>
          <w:sz w:val="21"/>
        </w:rPr>
        <w:t>Алматы</w:t>
      </w:r>
    </w:p>
    <w:p>
      <w:pPr>
        <w:spacing w:line="309" w:lineRule="auto" w:before="12"/>
        <w:ind w:left="4026" w:right="3631" w:firstLine="0"/>
        <w:jc w:val="center"/>
        <w:rPr>
          <w:sz w:val="21"/>
        </w:rPr>
      </w:pPr>
      <w:r>
        <w:rPr>
          <w:sz w:val="21"/>
        </w:rPr>
        <w:t>“Қазақ</w:t>
      </w:r>
      <w:r>
        <w:rPr>
          <w:spacing w:val="-14"/>
          <w:sz w:val="21"/>
        </w:rPr>
        <w:t> </w:t>
      </w:r>
      <w:r>
        <w:rPr>
          <w:sz w:val="21"/>
        </w:rPr>
        <w:t>университеті” </w:t>
      </w:r>
      <w:r>
        <w:rPr>
          <w:spacing w:val="-4"/>
          <w:sz w:val="21"/>
        </w:rPr>
        <w:t>2024</w:t>
      </w:r>
    </w:p>
    <w:p>
      <w:pPr>
        <w:spacing w:after="0" w:line="309" w:lineRule="auto"/>
        <w:jc w:val="center"/>
        <w:rPr>
          <w:sz w:val="21"/>
        </w:rPr>
        <w:sectPr>
          <w:pgSz w:w="11910" w:h="16840"/>
          <w:pgMar w:top="1080" w:bottom="280" w:left="1275" w:right="708"/>
        </w:sectPr>
      </w:pPr>
    </w:p>
    <w:p>
      <w:pPr>
        <w:pStyle w:val="BodyText"/>
        <w:spacing w:line="271" w:lineRule="auto" w:before="72"/>
        <w:ind w:left="427"/>
      </w:pPr>
      <w:r>
        <w:rPr/>
        <w:t>развития. Однако пути этого развития различны и зависят от специфики экономической</w:t>
      </w:r>
      <w:r>
        <w:rPr>
          <w:spacing w:val="40"/>
        </w:rPr>
        <w:t> </w:t>
      </w:r>
      <w:r>
        <w:rPr/>
        <w:t>политики, структуры экономики и внешних факторов.</w:t>
      </w:r>
    </w:p>
    <w:p>
      <w:pPr>
        <w:pStyle w:val="BodyText"/>
        <w:spacing w:before="37"/>
      </w:pPr>
    </w:p>
    <w:p>
      <w:pPr>
        <w:pStyle w:val="BodyText"/>
        <w:ind w:left="993"/>
      </w:pPr>
      <w:r>
        <w:rPr>
          <w:spacing w:val="-2"/>
        </w:rPr>
        <w:t>Литература:</w:t>
      </w:r>
    </w:p>
    <w:p>
      <w:pPr>
        <w:pStyle w:val="ListParagraph"/>
        <w:numPr>
          <w:ilvl w:val="0"/>
          <w:numId w:val="1"/>
        </w:numPr>
        <w:tabs>
          <w:tab w:pos="1233" w:val="left" w:leader="none"/>
          <w:tab w:pos="7265" w:val="left" w:leader="none"/>
        </w:tabs>
        <w:spacing w:line="240" w:lineRule="auto" w:before="36" w:after="0"/>
        <w:ind w:left="1233" w:right="0" w:hanging="240"/>
        <w:jc w:val="left"/>
        <w:rPr>
          <w:sz w:val="24"/>
        </w:rPr>
      </w:pPr>
      <w:hyperlink r:id="rId11">
        <w:r>
          <w:rPr>
            <w:spacing w:val="-2"/>
            <w:sz w:val="24"/>
            <w:u w:val="single"/>
          </w:rPr>
          <w:t>https://stat.uz/img/press-relizlar/01_-vvp_press-reliz-2023-</w:t>
        </w:r>
        <w:r>
          <w:rPr>
            <w:spacing w:val="-10"/>
            <w:sz w:val="24"/>
            <w:u w:val="single"/>
          </w:rPr>
          <w:t>g</w:t>
        </w:r>
        <w:r>
          <w:rPr>
            <w:sz w:val="24"/>
            <w:u w:val="single"/>
          </w:rPr>
          <w:tab/>
        </w:r>
        <w:r>
          <w:rPr>
            <w:spacing w:val="-2"/>
            <w:sz w:val="24"/>
            <w:u w:val="single"/>
          </w:rPr>
          <w:t>rus.pdf</w:t>
        </w:r>
      </w:hyperlink>
    </w:p>
    <w:p>
      <w:pPr>
        <w:pStyle w:val="ListParagraph"/>
        <w:numPr>
          <w:ilvl w:val="0"/>
          <w:numId w:val="1"/>
        </w:numPr>
        <w:tabs>
          <w:tab w:pos="1547" w:val="left" w:leader="none"/>
        </w:tabs>
        <w:spacing w:line="271" w:lineRule="auto" w:before="36" w:after="0"/>
        <w:ind w:left="427" w:right="139" w:firstLine="566"/>
        <w:jc w:val="left"/>
        <w:rPr>
          <w:sz w:val="24"/>
        </w:rPr>
      </w:pPr>
      <w:r>
        <w:rPr>
          <w:spacing w:val="-2"/>
          <w:sz w:val="24"/>
        </w:rPr>
        <w:t>https:/</w:t>
      </w:r>
      <w:hyperlink r:id="rId12">
        <w:r>
          <w:rPr>
            <w:spacing w:val="-2"/>
            <w:sz w:val="24"/>
          </w:rPr>
          <w:t>/www.aa.com.tr/ru/мир/численность-населения-узбекистана-превысила-36-</w:t>
        </w:r>
      </w:hyperlink>
      <w:r>
        <w:rPr>
          <w:spacing w:val="-2"/>
          <w:sz w:val="24"/>
        </w:rPr>
        <w:t> млн-человек/2804022#:~:text=К%20началу%202023%20года%20из,население%20—</w:t>
      </w:r>
    </w:p>
    <w:p>
      <w:pPr>
        <w:pStyle w:val="BodyText"/>
        <w:ind w:left="427"/>
      </w:pPr>
      <w:r>
        <w:rPr>
          <w:spacing w:val="-2"/>
        </w:rPr>
        <w:t>%2017%2C69%20миллиона</w:t>
      </w:r>
    </w:p>
    <w:p>
      <w:pPr>
        <w:pStyle w:val="ListParagraph"/>
        <w:numPr>
          <w:ilvl w:val="0"/>
          <w:numId w:val="1"/>
        </w:numPr>
        <w:tabs>
          <w:tab w:pos="1293" w:val="left" w:leader="none"/>
        </w:tabs>
        <w:spacing w:line="240" w:lineRule="auto" w:before="37" w:after="0"/>
        <w:ind w:left="1293" w:right="0" w:hanging="300"/>
        <w:jc w:val="left"/>
        <w:rPr>
          <w:sz w:val="24"/>
        </w:rPr>
      </w:pPr>
      <w:hyperlink r:id="rId13">
        <w:r>
          <w:rPr>
            <w:spacing w:val="-2"/>
            <w:sz w:val="24"/>
            <w:u w:val="single"/>
          </w:rPr>
          <w:t>https://stat.gov.kz/ru/industries/economy/national-accounts/publications/117664/</w:t>
        </w:r>
      </w:hyperlink>
    </w:p>
    <w:p>
      <w:pPr>
        <w:pStyle w:val="ListParagraph"/>
        <w:numPr>
          <w:ilvl w:val="0"/>
          <w:numId w:val="1"/>
        </w:numPr>
        <w:tabs>
          <w:tab w:pos="1617" w:val="left" w:leader="none"/>
        </w:tabs>
        <w:spacing w:line="271" w:lineRule="auto" w:before="36" w:after="0"/>
        <w:ind w:left="427" w:right="141" w:firstLine="566"/>
        <w:jc w:val="left"/>
        <w:rPr>
          <w:sz w:val="24"/>
        </w:rPr>
      </w:pPr>
      <w:r>
        <w:rPr>
          <w:spacing w:val="-2"/>
          <w:sz w:val="24"/>
        </w:rPr>
        <w:t>https://kapital.kz/economic/121673/vvp-na-dushu-naseleniya-v-kazakhstane-v-2023- godu-sostavil-13-3-tysyachi.html</w:t>
      </w:r>
    </w:p>
    <w:p>
      <w:pPr>
        <w:pStyle w:val="ListParagraph"/>
        <w:numPr>
          <w:ilvl w:val="0"/>
          <w:numId w:val="1"/>
        </w:numPr>
        <w:tabs>
          <w:tab w:pos="1173" w:val="left" w:leader="none"/>
        </w:tabs>
        <w:spacing w:line="271" w:lineRule="auto" w:before="0" w:after="0"/>
        <w:ind w:left="427" w:right="172" w:firstLine="566"/>
        <w:jc w:val="left"/>
        <w:rPr>
          <w:sz w:val="24"/>
        </w:rPr>
      </w:pPr>
      <w:r>
        <w:rPr>
          <w:spacing w:val="-2"/>
          <w:sz w:val="24"/>
        </w:rPr>
        <w:t>https://data.worldbank.org/indicator/NY.GDP.PCAP.CD?locale=ru&amp;locations=UZ&amp;nam e_desc=false</w:t>
      </w:r>
    </w:p>
    <w:p>
      <w:pPr>
        <w:pStyle w:val="ListParagraph"/>
        <w:numPr>
          <w:ilvl w:val="0"/>
          <w:numId w:val="1"/>
        </w:numPr>
        <w:tabs>
          <w:tab w:pos="1233" w:val="left" w:leader="none"/>
        </w:tabs>
        <w:spacing w:line="240" w:lineRule="auto" w:before="1" w:after="0"/>
        <w:ind w:left="1233" w:right="0" w:hanging="240"/>
        <w:jc w:val="left"/>
        <w:rPr>
          <w:sz w:val="24"/>
        </w:rPr>
      </w:pPr>
      <w:hyperlink r:id="rId14">
        <w:r>
          <w:rPr>
            <w:spacing w:val="-2"/>
            <w:sz w:val="24"/>
            <w:u w:val="single"/>
          </w:rPr>
          <w:t>https://data.worldbank.org/indicator/NY.GDP.MKTP.CD?locations=KZ</w:t>
        </w:r>
      </w:hyperlink>
    </w:p>
    <w:p>
      <w:pPr>
        <w:pStyle w:val="ListParagraph"/>
        <w:numPr>
          <w:ilvl w:val="0"/>
          <w:numId w:val="1"/>
        </w:numPr>
        <w:tabs>
          <w:tab w:pos="1173" w:val="left" w:leader="none"/>
        </w:tabs>
        <w:spacing w:line="240" w:lineRule="auto" w:before="36" w:after="0"/>
        <w:ind w:left="1173" w:right="0" w:hanging="180"/>
        <w:jc w:val="left"/>
        <w:rPr>
          <w:sz w:val="24"/>
        </w:rPr>
      </w:pPr>
      <w:r>
        <w:rPr>
          <w:sz w:val="24"/>
        </w:rPr>
        <w:t>​</w:t>
      </w:r>
    </w:p>
    <w:p>
      <w:pPr>
        <w:pStyle w:val="BodyText"/>
        <w:spacing w:before="36"/>
        <w:ind w:left="427"/>
      </w:pPr>
      <w:hyperlink r:id="rId15">
        <w:r>
          <w:rPr>
            <w:spacing w:val="-2"/>
            <w:u w:val="single"/>
          </w:rPr>
          <w:t>https://data.worldbank.org/indicator/NY.GDP.MKTP.CD?locations=UZ&amp;name_desc=false</w:t>
        </w:r>
      </w:hyperlink>
    </w:p>
    <w:p>
      <w:pPr>
        <w:pStyle w:val="BodyText"/>
      </w:pPr>
    </w:p>
    <w:p>
      <w:pPr>
        <w:pStyle w:val="BodyText"/>
        <w:spacing w:before="112"/>
      </w:pPr>
    </w:p>
    <w:p>
      <w:pPr>
        <w:pStyle w:val="Heading2"/>
        <w:spacing w:before="1"/>
        <w:ind w:left="864"/>
      </w:pPr>
      <w:r>
        <w:rPr>
          <w:spacing w:val="-2"/>
        </w:rPr>
        <w:t>GREEN</w:t>
      </w:r>
      <w:r>
        <w:rPr>
          <w:spacing w:val="-8"/>
        </w:rPr>
        <w:t> </w:t>
      </w:r>
      <w:r>
        <w:rPr>
          <w:spacing w:val="-2"/>
        </w:rPr>
        <w:t>BANKING</w:t>
      </w:r>
      <w:r>
        <w:rPr>
          <w:spacing w:val="-3"/>
        </w:rPr>
        <w:t> </w:t>
      </w:r>
      <w:r>
        <w:rPr>
          <w:spacing w:val="-2"/>
        </w:rPr>
        <w:t>PROMOTES</w:t>
      </w:r>
      <w:r>
        <w:rPr>
          <w:spacing w:val="-3"/>
        </w:rPr>
        <w:t> </w:t>
      </w:r>
      <w:r>
        <w:rPr>
          <w:spacing w:val="-2"/>
        </w:rPr>
        <w:t>ENVIRONMENTALLY-FRIENDLY</w:t>
      </w:r>
      <w:r>
        <w:rPr>
          <w:spacing w:val="-13"/>
        </w:rPr>
        <w:t> </w:t>
      </w:r>
      <w:r>
        <w:rPr>
          <w:spacing w:val="-2"/>
        </w:rPr>
        <w:t>FINANCIAL</w:t>
      </w:r>
    </w:p>
    <w:p>
      <w:pPr>
        <w:spacing w:before="36"/>
        <w:ind w:left="280" w:right="0" w:firstLine="0"/>
        <w:jc w:val="center"/>
        <w:rPr>
          <w:b/>
          <w:sz w:val="24"/>
        </w:rPr>
      </w:pPr>
      <w:r>
        <w:rPr>
          <w:b/>
          <w:spacing w:val="-2"/>
          <w:sz w:val="24"/>
        </w:rPr>
        <w:t>PRACTICES</w:t>
      </w:r>
    </w:p>
    <w:p>
      <w:pPr>
        <w:pStyle w:val="BodyText"/>
        <w:spacing w:before="67"/>
        <w:rPr>
          <w:b/>
        </w:rPr>
      </w:pPr>
    </w:p>
    <w:p>
      <w:pPr>
        <w:pStyle w:val="BodyText"/>
        <w:spacing w:line="271" w:lineRule="auto"/>
        <w:ind w:left="5681" w:right="141" w:firstLine="2213"/>
        <w:jc w:val="right"/>
      </w:pPr>
      <w:r>
        <w:rPr/>
        <w:t>Ussembay</w:t>
      </w:r>
      <w:r>
        <w:rPr>
          <w:spacing w:val="-15"/>
        </w:rPr>
        <w:t> </w:t>
      </w:r>
      <w:r>
        <w:rPr/>
        <w:t>Nurzhan Higher</w:t>
      </w:r>
      <w:r>
        <w:rPr>
          <w:spacing w:val="-3"/>
        </w:rPr>
        <w:t> </w:t>
      </w:r>
      <w:r>
        <w:rPr/>
        <w:t>School</w:t>
      </w:r>
      <w:r>
        <w:rPr>
          <w:spacing w:val="-1"/>
        </w:rPr>
        <w:t> </w:t>
      </w:r>
      <w:r>
        <w:rPr/>
        <w:t>of</w:t>
      </w:r>
      <w:r>
        <w:rPr>
          <w:spacing w:val="-1"/>
        </w:rPr>
        <w:t> </w:t>
      </w:r>
      <w:r>
        <w:rPr/>
        <w:t>Economics</w:t>
      </w:r>
      <w:r>
        <w:rPr>
          <w:spacing w:val="-2"/>
        </w:rPr>
        <w:t> </w:t>
      </w:r>
      <w:r>
        <w:rPr/>
        <w:t>and</w:t>
      </w:r>
      <w:r>
        <w:rPr>
          <w:spacing w:val="1"/>
        </w:rPr>
        <w:t> </w:t>
      </w:r>
      <w:r>
        <w:rPr>
          <w:spacing w:val="-2"/>
        </w:rPr>
        <w:t>Business</w:t>
      </w:r>
    </w:p>
    <w:p>
      <w:pPr>
        <w:pStyle w:val="BodyText"/>
        <w:spacing w:line="271" w:lineRule="auto"/>
        <w:ind w:left="5902" w:right="141" w:firstLine="1545"/>
        <w:jc w:val="right"/>
      </w:pPr>
      <w:r>
        <w:rPr/>
        <w:t>Finance</w:t>
      </w:r>
      <w:r>
        <w:rPr>
          <w:spacing w:val="-15"/>
        </w:rPr>
        <w:t> </w:t>
      </w:r>
      <w:r>
        <w:rPr/>
        <w:t>and</w:t>
      </w:r>
      <w:r>
        <w:rPr>
          <w:spacing w:val="-15"/>
        </w:rPr>
        <w:t> </w:t>
      </w:r>
      <w:r>
        <w:rPr/>
        <w:t>Accounting Academic</w:t>
      </w:r>
      <w:r>
        <w:rPr>
          <w:spacing w:val="-15"/>
        </w:rPr>
        <w:t> </w:t>
      </w:r>
      <w:r>
        <w:rPr/>
        <w:t>advisor:</w:t>
      </w:r>
      <w:r>
        <w:rPr>
          <w:spacing w:val="-15"/>
        </w:rPr>
        <w:t> </w:t>
      </w:r>
      <w:r>
        <w:rPr/>
        <w:t>Zhumadilova</w:t>
      </w:r>
      <w:r>
        <w:rPr>
          <w:spacing w:val="-15"/>
        </w:rPr>
        <w:t> </w:t>
      </w:r>
      <w:r>
        <w:rPr/>
        <w:t>Tolkyn Master of economics, PhD student</w:t>
      </w:r>
    </w:p>
    <w:p>
      <w:pPr>
        <w:pStyle w:val="Heading3"/>
        <w:spacing w:before="207"/>
      </w:pPr>
      <w:r>
        <w:rPr>
          <w:spacing w:val="-2"/>
        </w:rPr>
        <w:t>Introduction</w:t>
      </w:r>
    </w:p>
    <w:p>
      <w:pPr>
        <w:pStyle w:val="BodyText"/>
        <w:spacing w:line="271" w:lineRule="auto" w:before="32"/>
        <w:ind w:left="427" w:right="142" w:firstLine="566"/>
        <w:jc w:val="both"/>
      </w:pPr>
      <w:r>
        <w:rPr/>
        <w:t>A</w:t>
      </w:r>
      <w:r>
        <w:rPr>
          <w:spacing w:val="-15"/>
        </w:rPr>
        <w:t> </w:t>
      </w:r>
      <w:r>
        <w:rPr/>
        <w:t>recent</w:t>
      </w:r>
      <w:r>
        <w:rPr>
          <w:spacing w:val="-15"/>
        </w:rPr>
        <w:t> </w:t>
      </w:r>
      <w:r>
        <w:rPr/>
        <w:t>development</w:t>
      </w:r>
      <w:r>
        <w:rPr>
          <w:spacing w:val="-15"/>
        </w:rPr>
        <w:t> </w:t>
      </w:r>
      <w:r>
        <w:rPr/>
        <w:t>in</w:t>
      </w:r>
      <w:r>
        <w:rPr>
          <w:spacing w:val="-15"/>
        </w:rPr>
        <w:t> </w:t>
      </w:r>
      <w:r>
        <w:rPr/>
        <w:t>finance</w:t>
      </w:r>
      <w:r>
        <w:rPr>
          <w:spacing w:val="-15"/>
        </w:rPr>
        <w:t> </w:t>
      </w:r>
      <w:r>
        <w:rPr/>
        <w:t>is</w:t>
      </w:r>
      <w:r>
        <w:rPr>
          <w:spacing w:val="-15"/>
        </w:rPr>
        <w:t> </w:t>
      </w:r>
      <w:r>
        <w:rPr/>
        <w:t>the</w:t>
      </w:r>
      <w:r>
        <w:rPr>
          <w:spacing w:val="-15"/>
        </w:rPr>
        <w:t> </w:t>
      </w:r>
      <w:r>
        <w:rPr/>
        <w:t>concept</w:t>
      </w:r>
      <w:r>
        <w:rPr>
          <w:spacing w:val="-15"/>
        </w:rPr>
        <w:t> </w:t>
      </w:r>
      <w:r>
        <w:rPr/>
        <w:t>of</w:t>
      </w:r>
      <w:r>
        <w:rPr>
          <w:spacing w:val="-15"/>
        </w:rPr>
        <w:t> </w:t>
      </w:r>
      <w:r>
        <w:rPr/>
        <w:t>"green</w:t>
      </w:r>
      <w:r>
        <w:rPr>
          <w:spacing w:val="-15"/>
        </w:rPr>
        <w:t> </w:t>
      </w:r>
      <w:r>
        <w:rPr/>
        <w:t>banking,"</w:t>
      </w:r>
      <w:r>
        <w:rPr>
          <w:spacing w:val="-15"/>
        </w:rPr>
        <w:t> </w:t>
      </w:r>
      <w:r>
        <w:rPr/>
        <w:t>in</w:t>
      </w:r>
      <w:r>
        <w:rPr>
          <w:spacing w:val="-15"/>
        </w:rPr>
        <w:t> </w:t>
      </w:r>
      <w:r>
        <w:rPr/>
        <w:t>which</w:t>
      </w:r>
      <w:r>
        <w:rPr>
          <w:spacing w:val="-15"/>
        </w:rPr>
        <w:t> </w:t>
      </w:r>
      <w:r>
        <w:rPr/>
        <w:t>banks</w:t>
      </w:r>
      <w:r>
        <w:rPr>
          <w:spacing w:val="-15"/>
        </w:rPr>
        <w:t> </w:t>
      </w:r>
      <w:r>
        <w:rPr/>
        <w:t>reposition their investment strategies to emphasize environmentally friendly projects and sustainable technologies. It emphasizes the importance of banks shifting their investment strategies towards environmentally-friendly initiatives and promoting clean energy. The reference to the Paris Climate</w:t>
      </w:r>
      <w:r>
        <w:rPr>
          <w:spacing w:val="-15"/>
        </w:rPr>
        <w:t> </w:t>
      </w:r>
      <w:r>
        <w:rPr/>
        <w:t>Agreement</w:t>
      </w:r>
      <w:r>
        <w:rPr>
          <w:spacing w:val="-14"/>
        </w:rPr>
        <w:t> </w:t>
      </w:r>
      <w:r>
        <w:rPr/>
        <w:t>underscores</w:t>
      </w:r>
      <w:r>
        <w:rPr>
          <w:spacing w:val="-8"/>
        </w:rPr>
        <w:t> </w:t>
      </w:r>
      <w:r>
        <w:rPr/>
        <w:t>the</w:t>
      </w:r>
      <w:r>
        <w:rPr>
          <w:spacing w:val="-5"/>
        </w:rPr>
        <w:t> </w:t>
      </w:r>
      <w:r>
        <w:rPr/>
        <w:t>global</w:t>
      </w:r>
      <w:r>
        <w:rPr>
          <w:spacing w:val="-8"/>
        </w:rPr>
        <w:t> </w:t>
      </w:r>
      <w:r>
        <w:rPr/>
        <w:t>momentum</w:t>
      </w:r>
      <w:r>
        <w:rPr>
          <w:spacing w:val="-8"/>
        </w:rPr>
        <w:t> </w:t>
      </w:r>
      <w:r>
        <w:rPr/>
        <w:t>towards</w:t>
      </w:r>
      <w:r>
        <w:rPr>
          <w:spacing w:val="-9"/>
        </w:rPr>
        <w:t> </w:t>
      </w:r>
      <w:r>
        <w:rPr/>
        <w:t>combating</w:t>
      </w:r>
      <w:r>
        <w:rPr>
          <w:spacing w:val="-8"/>
        </w:rPr>
        <w:t> </w:t>
      </w:r>
      <w:r>
        <w:rPr/>
        <w:t>climate</w:t>
      </w:r>
      <w:r>
        <w:rPr>
          <w:spacing w:val="-9"/>
        </w:rPr>
        <w:t> </w:t>
      </w:r>
      <w:r>
        <w:rPr/>
        <w:t>change</w:t>
      </w:r>
      <w:r>
        <w:rPr>
          <w:spacing w:val="-9"/>
        </w:rPr>
        <w:t> </w:t>
      </w:r>
      <w:r>
        <w:rPr/>
        <w:t>and</w:t>
      </w:r>
      <w:r>
        <w:rPr>
          <w:spacing w:val="-8"/>
        </w:rPr>
        <w:t> </w:t>
      </w:r>
      <w:r>
        <w:rPr/>
        <w:t>the role of financial institutions in supporting this effort.</w:t>
      </w:r>
    </w:p>
    <w:p>
      <w:pPr>
        <w:pStyle w:val="BodyText"/>
        <w:spacing w:line="271" w:lineRule="auto" w:before="1"/>
        <w:ind w:left="427" w:right="137" w:firstLine="566"/>
        <w:jc w:val="both"/>
      </w:pPr>
      <w:r>
        <w:rPr/>
        <w:t>The mention of the IPCC's projections serves as a stark reminder of the potential consequences of inaction on climate change, including extreme weather events and economic losses.</w:t>
      </w:r>
      <w:r>
        <w:rPr>
          <w:spacing w:val="-15"/>
        </w:rPr>
        <w:t> </w:t>
      </w:r>
      <w:r>
        <w:rPr/>
        <w:t>It</w:t>
      </w:r>
      <w:r>
        <w:rPr>
          <w:spacing w:val="-15"/>
        </w:rPr>
        <w:t> </w:t>
      </w:r>
      <w:r>
        <w:rPr/>
        <w:t>underscores</w:t>
      </w:r>
      <w:r>
        <w:rPr>
          <w:spacing w:val="-15"/>
        </w:rPr>
        <w:t> </w:t>
      </w:r>
      <w:r>
        <w:rPr/>
        <w:t>the</w:t>
      </w:r>
      <w:r>
        <w:rPr>
          <w:spacing w:val="-15"/>
        </w:rPr>
        <w:t> </w:t>
      </w:r>
      <w:r>
        <w:rPr/>
        <w:t>urgency</w:t>
      </w:r>
      <w:r>
        <w:rPr>
          <w:spacing w:val="-15"/>
        </w:rPr>
        <w:t> </w:t>
      </w:r>
      <w:r>
        <w:rPr/>
        <w:t>for</w:t>
      </w:r>
      <w:r>
        <w:rPr>
          <w:spacing w:val="-15"/>
        </w:rPr>
        <w:t> </w:t>
      </w:r>
      <w:r>
        <w:rPr/>
        <w:t>businesses,</w:t>
      </w:r>
      <w:r>
        <w:rPr>
          <w:spacing w:val="-15"/>
        </w:rPr>
        <w:t> </w:t>
      </w:r>
      <w:r>
        <w:rPr/>
        <w:t>including</w:t>
      </w:r>
      <w:r>
        <w:rPr>
          <w:spacing w:val="-15"/>
        </w:rPr>
        <w:t> </w:t>
      </w:r>
      <w:r>
        <w:rPr/>
        <w:t>banks,</w:t>
      </w:r>
      <w:r>
        <w:rPr>
          <w:spacing w:val="-15"/>
        </w:rPr>
        <w:t> </w:t>
      </w:r>
      <w:r>
        <w:rPr/>
        <w:t>to</w:t>
      </w:r>
      <w:r>
        <w:rPr>
          <w:spacing w:val="-15"/>
        </w:rPr>
        <w:t> </w:t>
      </w:r>
      <w:r>
        <w:rPr/>
        <w:t>take</w:t>
      </w:r>
      <w:r>
        <w:rPr>
          <w:spacing w:val="-15"/>
        </w:rPr>
        <w:t> </w:t>
      </w:r>
      <w:r>
        <w:rPr/>
        <w:t>responsibility</w:t>
      </w:r>
      <w:r>
        <w:rPr>
          <w:spacing w:val="-15"/>
        </w:rPr>
        <w:t> </w:t>
      </w:r>
      <w:r>
        <w:rPr/>
        <w:t>and</w:t>
      </w:r>
      <w:r>
        <w:rPr>
          <w:spacing w:val="-15"/>
        </w:rPr>
        <w:t> </w:t>
      </w:r>
      <w:r>
        <w:rPr/>
        <w:t>reduce greenhouse</w:t>
      </w:r>
      <w:r>
        <w:rPr>
          <w:spacing w:val="-9"/>
        </w:rPr>
        <w:t> </w:t>
      </w:r>
      <w:r>
        <w:rPr/>
        <w:t>gas</w:t>
      </w:r>
      <w:r>
        <w:rPr>
          <w:spacing w:val="-10"/>
        </w:rPr>
        <w:t> </w:t>
      </w:r>
      <w:r>
        <w:rPr/>
        <w:t>emissions</w:t>
      </w:r>
      <w:r>
        <w:rPr>
          <w:spacing w:val="-10"/>
        </w:rPr>
        <w:t> </w:t>
      </w:r>
      <w:r>
        <w:rPr/>
        <w:t>through</w:t>
      </w:r>
      <w:r>
        <w:rPr>
          <w:spacing w:val="-11"/>
        </w:rPr>
        <w:t> </w:t>
      </w:r>
      <w:r>
        <w:rPr/>
        <w:t>their</w:t>
      </w:r>
      <w:r>
        <w:rPr>
          <w:spacing w:val="-9"/>
        </w:rPr>
        <w:t> </w:t>
      </w:r>
      <w:r>
        <w:rPr/>
        <w:t>activities.</w:t>
      </w:r>
      <w:r>
        <w:rPr>
          <w:spacing w:val="-13"/>
        </w:rPr>
        <w:t> </w:t>
      </w:r>
      <w:r>
        <w:rPr/>
        <w:t>The</w:t>
      </w:r>
      <w:r>
        <w:rPr>
          <w:spacing w:val="-12"/>
        </w:rPr>
        <w:t> </w:t>
      </w:r>
      <w:r>
        <w:rPr/>
        <w:t>statistic</w:t>
      </w:r>
      <w:r>
        <w:rPr>
          <w:spacing w:val="-12"/>
        </w:rPr>
        <w:t> </w:t>
      </w:r>
      <w:r>
        <w:rPr/>
        <w:t>regarding</w:t>
      </w:r>
      <w:r>
        <w:rPr>
          <w:spacing w:val="-13"/>
        </w:rPr>
        <w:t> </w:t>
      </w:r>
      <w:r>
        <w:rPr/>
        <w:t>investments</w:t>
      </w:r>
      <w:r>
        <w:rPr>
          <w:spacing w:val="-10"/>
        </w:rPr>
        <w:t> </w:t>
      </w:r>
      <w:r>
        <w:rPr/>
        <w:t>in</w:t>
      </w:r>
      <w:r>
        <w:rPr>
          <w:spacing w:val="-10"/>
        </w:rPr>
        <w:t> </w:t>
      </w:r>
      <w:r>
        <w:rPr/>
        <w:t>fossil</w:t>
      </w:r>
      <w:r>
        <w:rPr>
          <w:spacing w:val="-10"/>
        </w:rPr>
        <w:t> </w:t>
      </w:r>
      <w:r>
        <w:rPr/>
        <w:t>fuel projects by large private banks raises concerns about the compatibility of such investments with climate</w:t>
      </w:r>
      <w:r>
        <w:rPr>
          <w:spacing w:val="-4"/>
        </w:rPr>
        <w:t> </w:t>
      </w:r>
      <w:r>
        <w:rPr/>
        <w:t>goals.</w:t>
      </w:r>
      <w:r>
        <w:rPr>
          <w:spacing w:val="-3"/>
        </w:rPr>
        <w:t> </w:t>
      </w:r>
      <w:r>
        <w:rPr/>
        <w:t>It</w:t>
      </w:r>
      <w:r>
        <w:rPr>
          <w:spacing w:val="-4"/>
        </w:rPr>
        <w:t> </w:t>
      </w:r>
      <w:r>
        <w:rPr/>
        <w:t>highlights</w:t>
      </w:r>
      <w:r>
        <w:rPr>
          <w:spacing w:val="-4"/>
        </w:rPr>
        <w:t> </w:t>
      </w:r>
      <w:r>
        <w:rPr/>
        <w:t>the</w:t>
      </w:r>
      <w:r>
        <w:rPr>
          <w:spacing w:val="-5"/>
        </w:rPr>
        <w:t> </w:t>
      </w:r>
      <w:r>
        <w:rPr/>
        <w:t>need</w:t>
      </w:r>
      <w:r>
        <w:rPr>
          <w:spacing w:val="-4"/>
        </w:rPr>
        <w:t> </w:t>
      </w:r>
      <w:r>
        <w:rPr/>
        <w:t>for</w:t>
      </w:r>
      <w:r>
        <w:rPr>
          <w:spacing w:val="-6"/>
        </w:rPr>
        <w:t> </w:t>
      </w:r>
      <w:r>
        <w:rPr/>
        <w:t>banks</w:t>
      </w:r>
      <w:r>
        <w:rPr>
          <w:spacing w:val="-5"/>
        </w:rPr>
        <w:t> </w:t>
      </w:r>
      <w:r>
        <w:rPr/>
        <w:t>to</w:t>
      </w:r>
      <w:r>
        <w:rPr>
          <w:spacing w:val="-3"/>
        </w:rPr>
        <w:t> </w:t>
      </w:r>
      <w:r>
        <w:rPr/>
        <w:t>align</w:t>
      </w:r>
      <w:r>
        <w:rPr>
          <w:spacing w:val="-5"/>
        </w:rPr>
        <w:t> </w:t>
      </w:r>
      <w:r>
        <w:rPr/>
        <w:t>their</w:t>
      </w:r>
      <w:r>
        <w:rPr>
          <w:spacing w:val="-4"/>
        </w:rPr>
        <w:t> </w:t>
      </w:r>
      <w:r>
        <w:rPr/>
        <w:t>financing</w:t>
      </w:r>
      <w:r>
        <w:rPr>
          <w:spacing w:val="-4"/>
        </w:rPr>
        <w:t> </w:t>
      </w:r>
      <w:r>
        <w:rPr/>
        <w:t>practices</w:t>
      </w:r>
      <w:r>
        <w:rPr>
          <w:spacing w:val="-5"/>
        </w:rPr>
        <w:t> </w:t>
      </w:r>
      <w:r>
        <w:rPr/>
        <w:t>with</w:t>
      </w:r>
      <w:r>
        <w:rPr>
          <w:spacing w:val="-4"/>
        </w:rPr>
        <w:t> </w:t>
      </w:r>
      <w:r>
        <w:rPr/>
        <w:t>sustainability principles to avoid undermining global efforts to address climate change effectively.</w:t>
      </w:r>
    </w:p>
    <w:p>
      <w:pPr>
        <w:pStyle w:val="BodyText"/>
        <w:spacing w:line="271" w:lineRule="auto" w:before="1"/>
        <w:ind w:left="427" w:right="139" w:firstLine="566"/>
        <w:jc w:val="both"/>
      </w:pPr>
      <w:r>
        <w:rPr/>
        <w:t>However, the adoption of green banking principles by major banks in recent years is a positive development. It suggests a growing recognition of the importance of environmental sustainability within the financial sector and the potential for banks to drive positive change by prioritizing clean energy investments and climate resiliency [1].</w:t>
      </w:r>
    </w:p>
    <w:p>
      <w:pPr>
        <w:pStyle w:val="BodyText"/>
        <w:spacing w:after="0" w:line="271" w:lineRule="auto"/>
        <w:jc w:val="both"/>
        <w:sectPr>
          <w:footerReference w:type="default" r:id="rId10"/>
          <w:pgSz w:w="11910" w:h="16840"/>
          <w:pgMar w:header="0" w:footer="1262" w:top="1060" w:bottom="1460" w:left="1275" w:right="708"/>
          <w:pgNumType w:start="75"/>
        </w:sectPr>
      </w:pPr>
    </w:p>
    <w:p>
      <w:pPr>
        <w:pStyle w:val="Heading3"/>
        <w:spacing w:before="77"/>
      </w:pPr>
      <w:r>
        <w:rPr/>
        <w:t>Literature</w:t>
      </w:r>
      <w:r>
        <w:rPr>
          <w:spacing w:val="-5"/>
        </w:rPr>
        <w:t> </w:t>
      </w:r>
      <w:r>
        <w:rPr>
          <w:spacing w:val="-2"/>
        </w:rPr>
        <w:t>Review</w:t>
      </w:r>
    </w:p>
    <w:p>
      <w:pPr>
        <w:pStyle w:val="BodyText"/>
        <w:spacing w:line="271" w:lineRule="auto" w:before="233"/>
        <w:ind w:left="427" w:right="139" w:firstLine="566"/>
        <w:jc w:val="both"/>
      </w:pPr>
      <w:r>
        <w:rPr/>
        <w:t>The studies mentioned provide valuable insights into the relationship between green credit and various aspects of bank performance in the Chinese banking</w:t>
      </w:r>
      <w:r>
        <w:rPr>
          <w:spacing w:val="-1"/>
        </w:rPr>
        <w:t> </w:t>
      </w:r>
      <w:r>
        <w:rPr/>
        <w:t>industry.</w:t>
      </w:r>
      <w:r>
        <w:rPr>
          <w:spacing w:val="40"/>
        </w:rPr>
        <w:t> </w:t>
      </w:r>
      <w:r>
        <w:rPr/>
        <w:t>Luo et al. (2021) find that green credit positively affects the core competence of commercial banks in China. This suggests that integrating environmental considerations into</w:t>
      </w:r>
      <w:r>
        <w:rPr>
          <w:spacing w:val="-2"/>
        </w:rPr>
        <w:t> </w:t>
      </w:r>
      <w:r>
        <w:rPr/>
        <w:t>lending</w:t>
      </w:r>
      <w:r>
        <w:rPr>
          <w:spacing w:val="-2"/>
        </w:rPr>
        <w:t> </w:t>
      </w:r>
      <w:r>
        <w:rPr/>
        <w:t>practices can enhance</w:t>
      </w:r>
      <w:r>
        <w:rPr>
          <w:spacing w:val="-1"/>
        </w:rPr>
        <w:t> </w:t>
      </w:r>
      <w:r>
        <w:rPr/>
        <w:t>overall banking performance, including factors such as profitability, liquidity, safety, growth, and competence. This aligns with the idea that sustainability practices can contribute to long-term financial</w:t>
      </w:r>
      <w:r>
        <w:rPr>
          <w:spacing w:val="-7"/>
        </w:rPr>
        <w:t> </w:t>
      </w:r>
      <w:r>
        <w:rPr/>
        <w:t>viability.</w:t>
      </w:r>
      <w:r>
        <w:rPr>
          <w:spacing w:val="-2"/>
        </w:rPr>
        <w:t> </w:t>
      </w:r>
      <w:r>
        <w:rPr/>
        <w:t>Zhou</w:t>
      </w:r>
      <w:r>
        <w:rPr>
          <w:spacing w:val="-4"/>
        </w:rPr>
        <w:t> </w:t>
      </w:r>
      <w:r>
        <w:rPr/>
        <w:t>et</w:t>
      </w:r>
      <w:r>
        <w:rPr>
          <w:spacing w:val="-6"/>
        </w:rPr>
        <w:t> </w:t>
      </w:r>
      <w:r>
        <w:rPr/>
        <w:t>al.</w:t>
      </w:r>
      <w:r>
        <w:rPr>
          <w:spacing w:val="-4"/>
        </w:rPr>
        <w:t> </w:t>
      </w:r>
      <w:r>
        <w:rPr/>
        <w:t>(2021)</w:t>
      </w:r>
      <w:r>
        <w:rPr>
          <w:spacing w:val="-5"/>
        </w:rPr>
        <w:t> </w:t>
      </w:r>
      <w:r>
        <w:rPr/>
        <w:t>explore</w:t>
      </w:r>
      <w:r>
        <w:rPr>
          <w:spacing w:val="-8"/>
        </w:rPr>
        <w:t> </w:t>
      </w:r>
      <w:r>
        <w:rPr/>
        <w:t>the</w:t>
      </w:r>
      <w:r>
        <w:rPr>
          <w:spacing w:val="-4"/>
        </w:rPr>
        <w:t> </w:t>
      </w:r>
      <w:r>
        <w:rPr/>
        <w:t>mediating</w:t>
      </w:r>
      <w:r>
        <w:rPr>
          <w:spacing w:val="-6"/>
        </w:rPr>
        <w:t> </w:t>
      </w:r>
      <w:r>
        <w:rPr/>
        <w:t>role</w:t>
      </w:r>
      <w:r>
        <w:rPr>
          <w:spacing w:val="-8"/>
        </w:rPr>
        <w:t> </w:t>
      </w:r>
      <w:r>
        <w:rPr/>
        <w:t>of</w:t>
      </w:r>
      <w:r>
        <w:rPr>
          <w:spacing w:val="-4"/>
        </w:rPr>
        <w:t> </w:t>
      </w:r>
      <w:r>
        <w:rPr/>
        <w:t>green</w:t>
      </w:r>
      <w:r>
        <w:rPr>
          <w:spacing w:val="-5"/>
        </w:rPr>
        <w:t> </w:t>
      </w:r>
      <w:r>
        <w:rPr/>
        <w:t>credit</w:t>
      </w:r>
      <w:r>
        <w:rPr>
          <w:spacing w:val="-6"/>
        </w:rPr>
        <w:t> </w:t>
      </w:r>
      <w:r>
        <w:rPr/>
        <w:t>in</w:t>
      </w:r>
      <w:r>
        <w:rPr>
          <w:spacing w:val="-6"/>
        </w:rPr>
        <w:t> </w:t>
      </w:r>
      <w:r>
        <w:rPr/>
        <w:t>the</w:t>
      </w:r>
      <w:r>
        <w:rPr>
          <w:spacing w:val="-5"/>
        </w:rPr>
        <w:t> </w:t>
      </w:r>
      <w:r>
        <w:rPr/>
        <w:t>relationship between corporate social responsibility (CSR) and bank performance. They find that while CSR may initially have a negative impact on bank performance, the presence of green credit can mitigate this effect, ultimately</w:t>
      </w:r>
      <w:r>
        <w:rPr>
          <w:spacing w:val="-1"/>
        </w:rPr>
        <w:t> </w:t>
      </w:r>
      <w:r>
        <w:rPr/>
        <w:t>leading to positive outcomes in the long run.</w:t>
      </w:r>
      <w:r>
        <w:rPr>
          <w:spacing w:val="-3"/>
        </w:rPr>
        <w:t> </w:t>
      </w:r>
      <w:r>
        <w:rPr/>
        <w:t>This underscores the importance of considering environmental factors in CSR initiatives to enhance overall performance. Yin et al. (2021) take a comprehensive approach by investigating the inter- relationships among green credit, bank performance, and bank risk. Their findings suggest that green lending contributes to increased bank profitability in China. This highlights the potential synergies between environmental sustainability, financial performance, and risk management within the banking industry [2].</w:t>
      </w:r>
    </w:p>
    <w:p>
      <w:pPr>
        <w:pStyle w:val="BodyText"/>
        <w:spacing w:line="271" w:lineRule="auto" w:before="3"/>
        <w:ind w:left="427" w:right="139" w:firstLine="566"/>
        <w:jc w:val="both"/>
      </w:pPr>
      <w:r>
        <w:rPr/>
        <w:t>Thomas</w:t>
      </w:r>
      <w:r>
        <w:rPr>
          <w:spacing w:val="-15"/>
        </w:rPr>
        <w:t> </w:t>
      </w:r>
      <w:r>
        <w:rPr/>
        <w:t>&amp;</w:t>
      </w:r>
      <w:r>
        <w:rPr>
          <w:spacing w:val="-15"/>
        </w:rPr>
        <w:t> </w:t>
      </w:r>
      <w:r>
        <w:rPr/>
        <w:t>Rasmus</w:t>
      </w:r>
      <w:r>
        <w:rPr>
          <w:spacing w:val="-15"/>
        </w:rPr>
        <w:t> </w:t>
      </w:r>
      <w:r>
        <w:rPr/>
        <w:t>(2019)</w:t>
      </w:r>
      <w:r>
        <w:rPr>
          <w:spacing w:val="-15"/>
        </w:rPr>
        <w:t> </w:t>
      </w:r>
      <w:r>
        <w:rPr/>
        <w:t>concluded</w:t>
      </w:r>
      <w:r>
        <w:rPr>
          <w:spacing w:val="-15"/>
        </w:rPr>
        <w:t> </w:t>
      </w:r>
      <w:r>
        <w:rPr/>
        <w:t>that</w:t>
      </w:r>
      <w:r>
        <w:rPr>
          <w:spacing w:val="-12"/>
        </w:rPr>
        <w:t> </w:t>
      </w:r>
      <w:r>
        <w:rPr/>
        <w:t>green</w:t>
      </w:r>
      <w:r>
        <w:rPr>
          <w:spacing w:val="-14"/>
        </w:rPr>
        <w:t> </w:t>
      </w:r>
      <w:r>
        <w:rPr/>
        <w:t>banking</w:t>
      </w:r>
      <w:r>
        <w:rPr>
          <w:spacing w:val="-15"/>
        </w:rPr>
        <w:t> </w:t>
      </w:r>
      <w:r>
        <w:rPr/>
        <w:t>positively</w:t>
      </w:r>
      <w:r>
        <w:rPr>
          <w:spacing w:val="-15"/>
        </w:rPr>
        <w:t> </w:t>
      </w:r>
      <w:r>
        <w:rPr/>
        <w:t>impacts</w:t>
      </w:r>
      <w:r>
        <w:rPr>
          <w:spacing w:val="-12"/>
        </w:rPr>
        <w:t> </w:t>
      </w:r>
      <w:r>
        <w:rPr/>
        <w:t>customer</w:t>
      </w:r>
      <w:r>
        <w:rPr>
          <w:spacing w:val="-15"/>
        </w:rPr>
        <w:t> </w:t>
      </w:r>
      <w:r>
        <w:rPr/>
        <w:t>loyalty and is crucial for improving the financial sector in the future. Aubhi (2016) suggested that the government</w:t>
      </w:r>
      <w:r>
        <w:rPr>
          <w:spacing w:val="-4"/>
        </w:rPr>
        <w:t> </w:t>
      </w:r>
      <w:r>
        <w:rPr/>
        <w:t>should</w:t>
      </w:r>
      <w:r>
        <w:rPr>
          <w:spacing w:val="-5"/>
        </w:rPr>
        <w:t> </w:t>
      </w:r>
      <w:r>
        <w:rPr/>
        <w:t>play</w:t>
      </w:r>
      <w:r>
        <w:rPr>
          <w:spacing w:val="-5"/>
        </w:rPr>
        <w:t> </w:t>
      </w:r>
      <w:r>
        <w:rPr/>
        <w:t>a</w:t>
      </w:r>
      <w:r>
        <w:rPr>
          <w:spacing w:val="-6"/>
        </w:rPr>
        <w:t> </w:t>
      </w:r>
      <w:r>
        <w:rPr/>
        <w:t>role</w:t>
      </w:r>
      <w:r>
        <w:rPr>
          <w:spacing w:val="-4"/>
        </w:rPr>
        <w:t> </w:t>
      </w:r>
      <w:r>
        <w:rPr/>
        <w:t>in</w:t>
      </w:r>
      <w:r>
        <w:rPr>
          <w:spacing w:val="-4"/>
        </w:rPr>
        <w:t> </w:t>
      </w:r>
      <w:r>
        <w:rPr/>
        <w:t>promoting</w:t>
      </w:r>
      <w:r>
        <w:rPr>
          <w:spacing w:val="-5"/>
        </w:rPr>
        <w:t> </w:t>
      </w:r>
      <w:r>
        <w:rPr/>
        <w:t>green</w:t>
      </w:r>
      <w:r>
        <w:rPr>
          <w:spacing w:val="-3"/>
        </w:rPr>
        <w:t> </w:t>
      </w:r>
      <w:r>
        <w:rPr/>
        <w:t>banking</w:t>
      </w:r>
      <w:r>
        <w:rPr>
          <w:spacing w:val="-7"/>
        </w:rPr>
        <w:t> </w:t>
      </w:r>
      <w:r>
        <w:rPr/>
        <w:t>practices</w:t>
      </w:r>
      <w:r>
        <w:rPr>
          <w:spacing w:val="-5"/>
        </w:rPr>
        <w:t> </w:t>
      </w:r>
      <w:r>
        <w:rPr/>
        <w:t>in</w:t>
      </w:r>
      <w:r>
        <w:rPr>
          <w:spacing w:val="-2"/>
        </w:rPr>
        <w:t> </w:t>
      </w:r>
      <w:r>
        <w:rPr/>
        <w:t>Bangladesh.</w:t>
      </w:r>
      <w:r>
        <w:rPr>
          <w:spacing w:val="-2"/>
        </w:rPr>
        <w:t> </w:t>
      </w:r>
      <w:r>
        <w:rPr/>
        <w:t>Lenin</w:t>
      </w:r>
      <w:r>
        <w:rPr>
          <w:spacing w:val="-2"/>
        </w:rPr>
        <w:t> </w:t>
      </w:r>
      <w:r>
        <w:rPr/>
        <w:t>(2021) determined that the implementation of green banking</w:t>
      </w:r>
      <w:r>
        <w:rPr>
          <w:spacing w:val="-1"/>
        </w:rPr>
        <w:t> </w:t>
      </w:r>
      <w:r>
        <w:rPr/>
        <w:t>practices contributes to the development of the banking sector.Tanima &amp; Imrul (2017) found that customers in Bangladesh prefer green banking practices, emphasizing the need for banks to promote such initiatives [3].</w:t>
      </w:r>
    </w:p>
    <w:p>
      <w:pPr>
        <w:pStyle w:val="BodyText"/>
        <w:spacing w:line="271" w:lineRule="auto" w:before="1"/>
        <w:ind w:left="427" w:right="140" w:firstLine="566"/>
        <w:jc w:val="both"/>
      </w:pPr>
      <w:r>
        <w:rPr/>
        <w:t>Zhang</w:t>
      </w:r>
      <w:r>
        <w:rPr>
          <w:spacing w:val="-12"/>
        </w:rPr>
        <w:t> </w:t>
      </w:r>
      <w:r>
        <w:rPr/>
        <w:t>et</w:t>
      </w:r>
      <w:r>
        <w:rPr>
          <w:spacing w:val="-12"/>
        </w:rPr>
        <w:t> </w:t>
      </w:r>
      <w:r>
        <w:rPr/>
        <w:t>al.</w:t>
      </w:r>
      <w:r>
        <w:rPr>
          <w:spacing w:val="-12"/>
        </w:rPr>
        <w:t> </w:t>
      </w:r>
      <w:r>
        <w:rPr/>
        <w:t>(2021)</w:t>
      </w:r>
      <w:r>
        <w:rPr>
          <w:spacing w:val="-13"/>
        </w:rPr>
        <w:t> </w:t>
      </w:r>
      <w:r>
        <w:rPr/>
        <w:t>and</w:t>
      </w:r>
      <w:r>
        <w:rPr>
          <w:spacing w:val="-10"/>
        </w:rPr>
        <w:t> </w:t>
      </w:r>
      <w:r>
        <w:rPr/>
        <w:t>Zhou</w:t>
      </w:r>
      <w:r>
        <w:rPr>
          <w:spacing w:val="-12"/>
        </w:rPr>
        <w:t> </w:t>
      </w:r>
      <w:r>
        <w:rPr/>
        <w:t>et</w:t>
      </w:r>
      <w:r>
        <w:rPr>
          <w:spacing w:val="-12"/>
        </w:rPr>
        <w:t> </w:t>
      </w:r>
      <w:r>
        <w:rPr/>
        <w:t>al.</w:t>
      </w:r>
      <w:r>
        <w:rPr>
          <w:spacing w:val="-12"/>
        </w:rPr>
        <w:t> </w:t>
      </w:r>
      <w:r>
        <w:rPr/>
        <w:t>(2020)</w:t>
      </w:r>
      <w:r>
        <w:rPr>
          <w:spacing w:val="-10"/>
        </w:rPr>
        <w:t> </w:t>
      </w:r>
      <w:r>
        <w:rPr/>
        <w:t>contended</w:t>
      </w:r>
      <w:r>
        <w:rPr>
          <w:spacing w:val="-12"/>
        </w:rPr>
        <w:t> </w:t>
      </w:r>
      <w:r>
        <w:rPr/>
        <w:t>that</w:t>
      </w:r>
      <w:r>
        <w:rPr>
          <w:spacing w:val="-12"/>
        </w:rPr>
        <w:t> </w:t>
      </w:r>
      <w:r>
        <w:rPr/>
        <w:t>over</w:t>
      </w:r>
      <w:r>
        <w:rPr>
          <w:spacing w:val="-13"/>
        </w:rPr>
        <w:t> </w:t>
      </w:r>
      <w:r>
        <w:rPr/>
        <w:t>the</w:t>
      </w:r>
      <w:r>
        <w:rPr>
          <w:spacing w:val="-13"/>
        </w:rPr>
        <w:t> </w:t>
      </w:r>
      <w:r>
        <w:rPr/>
        <w:t>past</w:t>
      </w:r>
      <w:r>
        <w:rPr>
          <w:spacing w:val="-11"/>
        </w:rPr>
        <w:t> </w:t>
      </w:r>
      <w:r>
        <w:rPr/>
        <w:t>decade,</w:t>
      </w:r>
      <w:r>
        <w:rPr>
          <w:spacing w:val="-10"/>
        </w:rPr>
        <w:t> </w:t>
      </w:r>
      <w:r>
        <w:rPr/>
        <w:t>green</w:t>
      </w:r>
      <w:r>
        <w:rPr>
          <w:spacing w:val="-12"/>
        </w:rPr>
        <w:t> </w:t>
      </w:r>
      <w:r>
        <w:rPr/>
        <w:t>finance has</w:t>
      </w:r>
      <w:r>
        <w:rPr>
          <w:spacing w:val="-5"/>
        </w:rPr>
        <w:t> </w:t>
      </w:r>
      <w:r>
        <w:rPr/>
        <w:t>experienced</w:t>
      </w:r>
      <w:r>
        <w:rPr>
          <w:spacing w:val="-4"/>
        </w:rPr>
        <w:t> </w:t>
      </w:r>
      <w:r>
        <w:rPr/>
        <w:t>rapid</w:t>
      </w:r>
      <w:r>
        <w:rPr>
          <w:spacing w:val="-3"/>
        </w:rPr>
        <w:t> </w:t>
      </w:r>
      <w:r>
        <w:rPr/>
        <w:t>growth</w:t>
      </w:r>
      <w:r>
        <w:rPr>
          <w:spacing w:val="-3"/>
        </w:rPr>
        <w:t> </w:t>
      </w:r>
      <w:r>
        <w:rPr/>
        <w:t>and</w:t>
      </w:r>
      <w:r>
        <w:rPr>
          <w:spacing w:val="-4"/>
        </w:rPr>
        <w:t> </w:t>
      </w:r>
      <w:r>
        <w:rPr/>
        <w:t>popularity,</w:t>
      </w:r>
      <w:r>
        <w:rPr>
          <w:spacing w:val="-4"/>
        </w:rPr>
        <w:t> </w:t>
      </w:r>
      <w:r>
        <w:rPr/>
        <w:t>largely</w:t>
      </w:r>
      <w:r>
        <w:rPr>
          <w:spacing w:val="-7"/>
        </w:rPr>
        <w:t> </w:t>
      </w:r>
      <w:r>
        <w:rPr/>
        <w:t>attributed</w:t>
      </w:r>
      <w:r>
        <w:rPr>
          <w:spacing w:val="-4"/>
        </w:rPr>
        <w:t> </w:t>
      </w:r>
      <w:r>
        <w:rPr/>
        <w:t>to</w:t>
      </w:r>
      <w:r>
        <w:rPr>
          <w:spacing w:val="-4"/>
        </w:rPr>
        <w:t> </w:t>
      </w:r>
      <w:r>
        <w:rPr/>
        <w:t>the</w:t>
      </w:r>
      <w:r>
        <w:rPr>
          <w:spacing w:val="-3"/>
        </w:rPr>
        <w:t> </w:t>
      </w:r>
      <w:r>
        <w:rPr/>
        <w:t>emergence</w:t>
      </w:r>
      <w:r>
        <w:rPr>
          <w:spacing w:val="-5"/>
        </w:rPr>
        <w:t> </w:t>
      </w:r>
      <w:r>
        <w:rPr/>
        <w:t>of</w:t>
      </w:r>
      <w:r>
        <w:rPr>
          <w:spacing w:val="-4"/>
        </w:rPr>
        <w:t> </w:t>
      </w:r>
      <w:r>
        <w:rPr/>
        <w:t>various</w:t>
      </w:r>
      <w:r>
        <w:rPr>
          <w:spacing w:val="-3"/>
        </w:rPr>
        <w:t> </w:t>
      </w:r>
      <w:r>
        <w:rPr/>
        <w:t>green financial instruments such as green bonds, green loans, green investment funds, green insurance, and</w:t>
      </w:r>
      <w:r>
        <w:rPr>
          <w:spacing w:val="-11"/>
        </w:rPr>
        <w:t> </w:t>
      </w:r>
      <w:r>
        <w:rPr/>
        <w:t>green</w:t>
      </w:r>
      <w:r>
        <w:rPr>
          <w:spacing w:val="-10"/>
        </w:rPr>
        <w:t> </w:t>
      </w:r>
      <w:r>
        <w:rPr/>
        <w:t>checks.</w:t>
      </w:r>
      <w:r>
        <w:rPr>
          <w:spacing w:val="-14"/>
        </w:rPr>
        <w:t> </w:t>
      </w:r>
      <w:r>
        <w:rPr/>
        <w:t>They</w:t>
      </w:r>
      <w:r>
        <w:rPr>
          <w:spacing w:val="-15"/>
        </w:rPr>
        <w:t> </w:t>
      </w:r>
      <w:r>
        <w:rPr/>
        <w:t>noted</w:t>
      </w:r>
      <w:r>
        <w:rPr>
          <w:spacing w:val="-13"/>
        </w:rPr>
        <w:t> </w:t>
      </w:r>
      <w:r>
        <w:rPr/>
        <w:t>that</w:t>
      </w:r>
      <w:r>
        <w:rPr>
          <w:spacing w:val="-12"/>
        </w:rPr>
        <w:t> </w:t>
      </w:r>
      <w:r>
        <w:rPr/>
        <w:t>the</w:t>
      </w:r>
      <w:r>
        <w:rPr>
          <w:spacing w:val="-10"/>
        </w:rPr>
        <w:t> </w:t>
      </w:r>
      <w:r>
        <w:rPr/>
        <w:t>issuance</w:t>
      </w:r>
      <w:r>
        <w:rPr>
          <w:spacing w:val="-11"/>
        </w:rPr>
        <w:t> </w:t>
      </w:r>
      <w:r>
        <w:rPr/>
        <w:t>of</w:t>
      </w:r>
      <w:r>
        <w:rPr>
          <w:spacing w:val="-11"/>
        </w:rPr>
        <w:t> </w:t>
      </w:r>
      <w:r>
        <w:rPr/>
        <w:t>the</w:t>
      </w:r>
      <w:r>
        <w:rPr>
          <w:spacing w:val="-13"/>
        </w:rPr>
        <w:t> </w:t>
      </w:r>
      <w:r>
        <w:rPr/>
        <w:t>first</w:t>
      </w:r>
      <w:r>
        <w:rPr>
          <w:spacing w:val="-9"/>
        </w:rPr>
        <w:t> </w:t>
      </w:r>
      <w:r>
        <w:rPr/>
        <w:t>green</w:t>
      </w:r>
      <w:r>
        <w:rPr>
          <w:spacing w:val="-10"/>
        </w:rPr>
        <w:t> </w:t>
      </w:r>
      <w:r>
        <w:rPr/>
        <w:t>bond</w:t>
      </w:r>
      <w:r>
        <w:rPr>
          <w:spacing w:val="-12"/>
        </w:rPr>
        <w:t> </w:t>
      </w:r>
      <w:r>
        <w:rPr/>
        <w:t>in</w:t>
      </w:r>
      <w:r>
        <w:rPr>
          <w:spacing w:val="-9"/>
        </w:rPr>
        <w:t> </w:t>
      </w:r>
      <w:r>
        <w:rPr/>
        <w:t>2008</w:t>
      </w:r>
      <w:r>
        <w:rPr>
          <w:spacing w:val="-12"/>
        </w:rPr>
        <w:t> </w:t>
      </w:r>
      <w:r>
        <w:rPr/>
        <w:t>marked</w:t>
      </w:r>
      <w:r>
        <w:rPr>
          <w:spacing w:val="-10"/>
        </w:rPr>
        <w:t> </w:t>
      </w:r>
      <w:r>
        <w:rPr/>
        <w:t>a</w:t>
      </w:r>
      <w:r>
        <w:rPr>
          <w:spacing w:val="-11"/>
        </w:rPr>
        <w:t> </w:t>
      </w:r>
      <w:r>
        <w:rPr/>
        <w:t>significant milestone in the development of the green finance market, leading to increased global interest in financing environmentally sustainable projects. This trend aligns with the United Nations' emphasis on achieving sustainable development goals, comprising 17 overarching goals and 169 associated long-term objectives. These initiatives have spurred the creation of innovative structures and governance frameworks geared towards promoting green finance [4].</w:t>
      </w:r>
    </w:p>
    <w:p>
      <w:pPr>
        <w:pStyle w:val="BodyText"/>
        <w:spacing w:line="271" w:lineRule="auto" w:before="2"/>
        <w:ind w:left="427" w:right="137" w:firstLine="566"/>
        <w:jc w:val="both"/>
      </w:pPr>
      <w:r>
        <w:rPr/>
        <w:t>Focusing</w:t>
      </w:r>
      <w:r>
        <w:rPr>
          <w:spacing w:val="-7"/>
        </w:rPr>
        <w:t> </w:t>
      </w:r>
      <w:r>
        <w:rPr/>
        <w:t>solely</w:t>
      </w:r>
      <w:r>
        <w:rPr>
          <w:spacing w:val="-10"/>
        </w:rPr>
        <w:t> </w:t>
      </w:r>
      <w:r>
        <w:rPr/>
        <w:t>on</w:t>
      </w:r>
      <w:r>
        <w:rPr>
          <w:spacing w:val="-3"/>
        </w:rPr>
        <w:t> </w:t>
      </w:r>
      <w:r>
        <w:rPr/>
        <w:t>financial</w:t>
      </w:r>
      <w:r>
        <w:rPr>
          <w:spacing w:val="-2"/>
        </w:rPr>
        <w:t> </w:t>
      </w:r>
      <w:r>
        <w:rPr/>
        <w:t>gains</w:t>
      </w:r>
      <w:r>
        <w:rPr>
          <w:spacing w:val="-4"/>
        </w:rPr>
        <w:t> </w:t>
      </w:r>
      <w:r>
        <w:rPr/>
        <w:t>in</w:t>
      </w:r>
      <w:r>
        <w:rPr>
          <w:spacing w:val="-2"/>
        </w:rPr>
        <w:t> </w:t>
      </w:r>
      <w:r>
        <w:rPr/>
        <w:t>development</w:t>
      </w:r>
      <w:r>
        <w:rPr>
          <w:spacing w:val="-2"/>
        </w:rPr>
        <w:t> </w:t>
      </w:r>
      <w:r>
        <w:rPr/>
        <w:t>is</w:t>
      </w:r>
      <w:r>
        <w:rPr>
          <w:spacing w:val="-4"/>
        </w:rPr>
        <w:t> </w:t>
      </w:r>
      <w:r>
        <w:rPr/>
        <w:t>identified</w:t>
      </w:r>
      <w:r>
        <w:rPr>
          <w:spacing w:val="-2"/>
        </w:rPr>
        <w:t> </w:t>
      </w:r>
      <w:r>
        <w:rPr/>
        <w:t>as</w:t>
      </w:r>
      <w:r>
        <w:rPr>
          <w:spacing w:val="-5"/>
        </w:rPr>
        <w:t> </w:t>
      </w:r>
      <w:r>
        <w:rPr/>
        <w:t>the</w:t>
      </w:r>
      <w:r>
        <w:rPr>
          <w:spacing w:val="-3"/>
        </w:rPr>
        <w:t> </w:t>
      </w:r>
      <w:r>
        <w:rPr/>
        <w:t>primary</w:t>
      </w:r>
      <w:r>
        <w:rPr>
          <w:spacing w:val="-7"/>
        </w:rPr>
        <w:t> </w:t>
      </w:r>
      <w:r>
        <w:rPr/>
        <w:t>driver</w:t>
      </w:r>
      <w:r>
        <w:rPr>
          <w:spacing w:val="-6"/>
        </w:rPr>
        <w:t> </w:t>
      </w:r>
      <w:r>
        <w:rPr/>
        <w:t>behind climate change, global warming, and the rise in Earth's temperature. There is increasing support for</w:t>
      </w:r>
      <w:r>
        <w:rPr>
          <w:spacing w:val="-6"/>
        </w:rPr>
        <w:t> </w:t>
      </w:r>
      <w:r>
        <w:rPr/>
        <w:t>the</w:t>
      </w:r>
      <w:r>
        <w:rPr>
          <w:spacing w:val="-2"/>
        </w:rPr>
        <w:t> </w:t>
      </w:r>
      <w:r>
        <w:rPr/>
        <w:t>concept</w:t>
      </w:r>
      <w:r>
        <w:rPr>
          <w:spacing w:val="-4"/>
        </w:rPr>
        <w:t> </w:t>
      </w:r>
      <w:r>
        <w:rPr/>
        <w:t>of</w:t>
      </w:r>
      <w:r>
        <w:rPr>
          <w:spacing w:val="-6"/>
        </w:rPr>
        <w:t> </w:t>
      </w:r>
      <w:r>
        <w:rPr/>
        <w:t>sustainable</w:t>
      </w:r>
      <w:r>
        <w:rPr>
          <w:spacing w:val="-5"/>
        </w:rPr>
        <w:t> </w:t>
      </w:r>
      <w:r>
        <w:rPr/>
        <w:t>development,</w:t>
      </w:r>
      <w:r>
        <w:rPr>
          <w:spacing w:val="-4"/>
        </w:rPr>
        <w:t> </w:t>
      </w:r>
      <w:r>
        <w:rPr/>
        <w:t>which</w:t>
      </w:r>
      <w:r>
        <w:rPr>
          <w:spacing w:val="-3"/>
        </w:rPr>
        <w:t> </w:t>
      </w:r>
      <w:r>
        <w:rPr/>
        <w:t>is</w:t>
      </w:r>
      <w:r>
        <w:rPr>
          <w:spacing w:val="-4"/>
        </w:rPr>
        <w:t> </w:t>
      </w:r>
      <w:r>
        <w:rPr/>
        <w:t>expected</w:t>
      </w:r>
      <w:r>
        <w:rPr>
          <w:spacing w:val="-5"/>
        </w:rPr>
        <w:t> </w:t>
      </w:r>
      <w:r>
        <w:rPr/>
        <w:t>to</w:t>
      </w:r>
      <w:r>
        <w:rPr>
          <w:spacing w:val="-4"/>
        </w:rPr>
        <w:t> </w:t>
      </w:r>
      <w:r>
        <w:rPr/>
        <w:t>facilitate</w:t>
      </w:r>
      <w:r>
        <w:rPr>
          <w:spacing w:val="-5"/>
        </w:rPr>
        <w:t> </w:t>
      </w:r>
      <w:r>
        <w:rPr/>
        <w:t>the</w:t>
      </w:r>
      <w:r>
        <w:rPr>
          <w:spacing w:val="-6"/>
        </w:rPr>
        <w:t> </w:t>
      </w:r>
      <w:r>
        <w:rPr/>
        <w:t>fusion</w:t>
      </w:r>
      <w:r>
        <w:rPr>
          <w:spacing w:val="-5"/>
        </w:rPr>
        <w:t> </w:t>
      </w:r>
      <w:r>
        <w:rPr/>
        <w:t>of</w:t>
      </w:r>
      <w:r>
        <w:rPr>
          <w:spacing w:val="-3"/>
        </w:rPr>
        <w:t> </w:t>
      </w:r>
      <w:r>
        <w:rPr/>
        <w:t>economic and environmental sustainability concerns. This integration can serve as a strategy for economic transformation, improve public access to justice, and alleviate poverty. However, sustainable development</w:t>
      </w:r>
      <w:r>
        <w:rPr>
          <w:spacing w:val="-8"/>
        </w:rPr>
        <w:t> </w:t>
      </w:r>
      <w:r>
        <w:rPr/>
        <w:t>requires</w:t>
      </w:r>
      <w:r>
        <w:rPr>
          <w:spacing w:val="-8"/>
        </w:rPr>
        <w:t> </w:t>
      </w:r>
      <w:r>
        <w:rPr/>
        <w:t>adequate</w:t>
      </w:r>
      <w:r>
        <w:rPr>
          <w:spacing w:val="-9"/>
        </w:rPr>
        <w:t> </w:t>
      </w:r>
      <w:r>
        <w:rPr/>
        <w:t>funding.</w:t>
      </w:r>
      <w:r>
        <w:rPr>
          <w:spacing w:val="-8"/>
        </w:rPr>
        <w:t> </w:t>
      </w:r>
      <w:r>
        <w:rPr/>
        <w:t>Sustainable</w:t>
      </w:r>
      <w:r>
        <w:rPr>
          <w:spacing w:val="-9"/>
        </w:rPr>
        <w:t> </w:t>
      </w:r>
      <w:r>
        <w:rPr/>
        <w:t>finance,</w:t>
      </w:r>
      <w:r>
        <w:rPr>
          <w:spacing w:val="-8"/>
        </w:rPr>
        <w:t> </w:t>
      </w:r>
      <w:r>
        <w:rPr/>
        <w:t>a</w:t>
      </w:r>
      <w:r>
        <w:rPr>
          <w:spacing w:val="-9"/>
        </w:rPr>
        <w:t> </w:t>
      </w:r>
      <w:r>
        <w:rPr/>
        <w:t>method</w:t>
      </w:r>
      <w:r>
        <w:rPr>
          <w:spacing w:val="-8"/>
        </w:rPr>
        <w:t> </w:t>
      </w:r>
      <w:r>
        <w:rPr/>
        <w:t>for</w:t>
      </w:r>
      <w:r>
        <w:rPr>
          <w:spacing w:val="-10"/>
        </w:rPr>
        <w:t> </w:t>
      </w:r>
      <w:r>
        <w:rPr/>
        <w:t>securing</w:t>
      </w:r>
      <w:r>
        <w:rPr>
          <w:spacing w:val="-11"/>
        </w:rPr>
        <w:t> </w:t>
      </w:r>
      <w:r>
        <w:rPr/>
        <w:t>capital,</w:t>
      </w:r>
      <w:r>
        <w:rPr>
          <w:spacing w:val="-8"/>
        </w:rPr>
        <w:t> </w:t>
      </w:r>
      <w:r>
        <w:rPr/>
        <w:t>funds, and investments for long-term sustainable development, has emerged as a solution. Although sustainability is relatively new, it has made significant strides in recent decades [5].</w:t>
      </w:r>
    </w:p>
    <w:p>
      <w:pPr>
        <w:pStyle w:val="BodyText"/>
        <w:spacing w:line="271" w:lineRule="auto" w:before="2"/>
        <w:ind w:left="427" w:right="139" w:firstLine="566"/>
        <w:jc w:val="both"/>
      </w:pPr>
      <w:r>
        <w:rPr/>
        <w:t>According to the concept of green banking perceives the banking sector as a key</w:t>
      </w:r>
      <w:r>
        <w:rPr>
          <w:spacing w:val="-2"/>
        </w:rPr>
        <w:t> </w:t>
      </w:r>
      <w:r>
        <w:rPr/>
        <w:t>economic player capable of fostering economic growth while minimizing long-term environmental repercussions.</w:t>
      </w:r>
      <w:r>
        <w:rPr>
          <w:spacing w:val="-15"/>
        </w:rPr>
        <w:t> </w:t>
      </w:r>
      <w:r>
        <w:rPr/>
        <w:t>Green</w:t>
      </w:r>
      <w:r>
        <w:rPr>
          <w:spacing w:val="-15"/>
        </w:rPr>
        <w:t> </w:t>
      </w:r>
      <w:r>
        <w:rPr/>
        <w:t>banking</w:t>
      </w:r>
      <w:r>
        <w:rPr>
          <w:spacing w:val="-15"/>
        </w:rPr>
        <w:t> </w:t>
      </w:r>
      <w:r>
        <w:rPr/>
        <w:t>encompasses</w:t>
      </w:r>
      <w:r>
        <w:rPr>
          <w:spacing w:val="-13"/>
        </w:rPr>
        <w:t> </w:t>
      </w:r>
      <w:r>
        <w:rPr/>
        <w:t>various</w:t>
      </w:r>
      <w:r>
        <w:rPr>
          <w:spacing w:val="-14"/>
        </w:rPr>
        <w:t> </w:t>
      </w:r>
      <w:r>
        <w:rPr/>
        <w:t>practices</w:t>
      </w:r>
      <w:r>
        <w:rPr>
          <w:spacing w:val="-14"/>
        </w:rPr>
        <w:t> </w:t>
      </w:r>
      <w:r>
        <w:rPr/>
        <w:t>such</w:t>
      </w:r>
      <w:r>
        <w:rPr>
          <w:spacing w:val="-12"/>
        </w:rPr>
        <w:t> </w:t>
      </w:r>
      <w:r>
        <w:rPr/>
        <w:t>as</w:t>
      </w:r>
      <w:r>
        <w:rPr>
          <w:spacing w:val="-14"/>
        </w:rPr>
        <w:t> </w:t>
      </w:r>
      <w:r>
        <w:rPr/>
        <w:t>eco-friendly</w:t>
      </w:r>
      <w:r>
        <w:rPr>
          <w:spacing w:val="-15"/>
        </w:rPr>
        <w:t> </w:t>
      </w:r>
      <w:r>
        <w:rPr/>
        <w:t>communication, marketing</w:t>
      </w:r>
      <w:r>
        <w:rPr>
          <w:spacing w:val="43"/>
        </w:rPr>
        <w:t> </w:t>
      </w:r>
      <w:r>
        <w:rPr/>
        <w:t>strategies,</w:t>
      </w:r>
      <w:r>
        <w:rPr>
          <w:spacing w:val="48"/>
        </w:rPr>
        <w:t> </w:t>
      </w:r>
      <w:r>
        <w:rPr/>
        <w:t>and</w:t>
      </w:r>
      <w:r>
        <w:rPr>
          <w:spacing w:val="49"/>
        </w:rPr>
        <w:t> </w:t>
      </w:r>
      <w:r>
        <w:rPr/>
        <w:t>investments,</w:t>
      </w:r>
      <w:r>
        <w:rPr>
          <w:spacing w:val="49"/>
        </w:rPr>
        <w:t> </w:t>
      </w:r>
      <w:r>
        <w:rPr/>
        <w:t>along</w:t>
      </w:r>
      <w:r>
        <w:rPr>
          <w:spacing w:val="50"/>
        </w:rPr>
        <w:t> </w:t>
      </w:r>
      <w:r>
        <w:rPr/>
        <w:t>with</w:t>
      </w:r>
      <w:r>
        <w:rPr>
          <w:spacing w:val="49"/>
        </w:rPr>
        <w:t> </w:t>
      </w:r>
      <w:r>
        <w:rPr/>
        <w:t>the</w:t>
      </w:r>
      <w:r>
        <w:rPr>
          <w:spacing w:val="48"/>
        </w:rPr>
        <w:t> </w:t>
      </w:r>
      <w:r>
        <w:rPr/>
        <w:t>utilization</w:t>
      </w:r>
      <w:r>
        <w:rPr>
          <w:spacing w:val="46"/>
        </w:rPr>
        <w:t> </w:t>
      </w:r>
      <w:r>
        <w:rPr/>
        <w:t>of</w:t>
      </w:r>
      <w:r>
        <w:rPr>
          <w:spacing w:val="48"/>
        </w:rPr>
        <w:t> </w:t>
      </w:r>
      <w:r>
        <w:rPr/>
        <w:t>mobile</w:t>
      </w:r>
      <w:r>
        <w:rPr>
          <w:spacing w:val="48"/>
        </w:rPr>
        <w:t> </w:t>
      </w:r>
      <w:r>
        <w:rPr/>
        <w:t>banking,</w:t>
      </w:r>
      <w:r>
        <w:rPr>
          <w:spacing w:val="49"/>
        </w:rPr>
        <w:t> </w:t>
      </w:r>
      <w:r>
        <w:rPr>
          <w:spacing w:val="-2"/>
        </w:rPr>
        <w:t>internet</w:t>
      </w:r>
    </w:p>
    <w:p>
      <w:pPr>
        <w:pStyle w:val="BodyText"/>
        <w:spacing w:after="0" w:line="271" w:lineRule="auto"/>
        <w:jc w:val="both"/>
        <w:sectPr>
          <w:pgSz w:w="11910" w:h="16840"/>
          <w:pgMar w:header="0" w:footer="1262" w:top="1060" w:bottom="1460" w:left="1275" w:right="708"/>
        </w:sectPr>
      </w:pPr>
    </w:p>
    <w:p>
      <w:pPr>
        <w:pStyle w:val="BodyText"/>
        <w:spacing w:line="271" w:lineRule="auto" w:before="72"/>
        <w:ind w:left="427" w:right="147"/>
        <w:jc w:val="both"/>
      </w:pPr>
      <w:r>
        <w:rPr/>
        <w:t>banking, paperless transactions, branchless services, environmentally friendly ATMs, green marketing initiatives, and construction of green buildings powered by renewable energy sources </w:t>
      </w:r>
      <w:r>
        <w:rPr>
          <w:spacing w:val="-4"/>
        </w:rPr>
        <w:t>[6].</w:t>
      </w:r>
    </w:p>
    <w:p>
      <w:pPr>
        <w:pStyle w:val="BodyText"/>
        <w:spacing w:line="271" w:lineRule="auto" w:before="1"/>
        <w:ind w:left="427" w:right="140" w:firstLine="566"/>
        <w:jc w:val="both"/>
      </w:pPr>
      <w:r>
        <w:rPr/>
        <w:t>Green</w:t>
      </w:r>
      <w:r>
        <w:rPr>
          <w:spacing w:val="-12"/>
        </w:rPr>
        <w:t> </w:t>
      </w:r>
      <w:r>
        <w:rPr/>
        <w:t>banking</w:t>
      </w:r>
      <w:r>
        <w:rPr>
          <w:spacing w:val="-13"/>
        </w:rPr>
        <w:t> </w:t>
      </w:r>
      <w:r>
        <w:rPr/>
        <w:t>involves</w:t>
      </w:r>
      <w:r>
        <w:rPr>
          <w:spacing w:val="-11"/>
        </w:rPr>
        <w:t> </w:t>
      </w:r>
      <w:r>
        <w:rPr/>
        <w:t>banks</w:t>
      </w:r>
      <w:r>
        <w:rPr>
          <w:spacing w:val="-11"/>
        </w:rPr>
        <w:t> </w:t>
      </w:r>
      <w:r>
        <w:rPr/>
        <w:t>conducting</w:t>
      </w:r>
      <w:r>
        <w:rPr>
          <w:spacing w:val="-13"/>
        </w:rPr>
        <w:t> </w:t>
      </w:r>
      <w:r>
        <w:rPr/>
        <w:t>their</w:t>
      </w:r>
      <w:r>
        <w:rPr>
          <w:spacing w:val="-12"/>
        </w:rPr>
        <w:t> </w:t>
      </w:r>
      <w:r>
        <w:rPr/>
        <w:t>daily</w:t>
      </w:r>
      <w:r>
        <w:rPr>
          <w:spacing w:val="-15"/>
        </w:rPr>
        <w:t> </w:t>
      </w:r>
      <w:r>
        <w:rPr/>
        <w:t>operations</w:t>
      </w:r>
      <w:r>
        <w:rPr>
          <w:spacing w:val="-11"/>
        </w:rPr>
        <w:t> </w:t>
      </w:r>
      <w:r>
        <w:rPr/>
        <w:t>with</w:t>
      </w:r>
      <w:r>
        <w:rPr>
          <w:spacing w:val="-11"/>
        </w:rPr>
        <w:t> </w:t>
      </w:r>
      <w:r>
        <w:rPr/>
        <w:t>a</w:t>
      </w:r>
      <w:r>
        <w:rPr>
          <w:spacing w:val="-12"/>
        </w:rPr>
        <w:t> </w:t>
      </w:r>
      <w:r>
        <w:rPr/>
        <w:t>strong</w:t>
      </w:r>
      <w:r>
        <w:rPr>
          <w:spacing w:val="-13"/>
        </w:rPr>
        <w:t> </w:t>
      </w:r>
      <w:r>
        <w:rPr/>
        <w:t>sense</w:t>
      </w:r>
      <w:r>
        <w:rPr>
          <w:spacing w:val="-12"/>
        </w:rPr>
        <w:t> </w:t>
      </w:r>
      <w:r>
        <w:rPr/>
        <w:t>of</w:t>
      </w:r>
      <w:r>
        <w:rPr>
          <w:spacing w:val="-12"/>
        </w:rPr>
        <w:t> </w:t>
      </w:r>
      <w:r>
        <w:rPr/>
        <w:t>social responsibility, considering both internal and external environmental sustainability</w:t>
      </w:r>
      <w:r>
        <w:rPr>
          <w:spacing w:val="-1"/>
        </w:rPr>
        <w:t> </w:t>
      </w:r>
      <w:r>
        <w:rPr/>
        <w:t>factors. Banks that</w:t>
      </w:r>
      <w:r>
        <w:rPr>
          <w:spacing w:val="-12"/>
        </w:rPr>
        <w:t> </w:t>
      </w:r>
      <w:r>
        <w:rPr/>
        <w:t>prioritize</w:t>
      </w:r>
      <w:r>
        <w:rPr>
          <w:spacing w:val="-13"/>
        </w:rPr>
        <w:t> </w:t>
      </w:r>
      <w:r>
        <w:rPr/>
        <w:t>these</w:t>
      </w:r>
      <w:r>
        <w:rPr>
          <w:spacing w:val="-13"/>
        </w:rPr>
        <w:t> </w:t>
      </w:r>
      <w:r>
        <w:rPr/>
        <w:t>efforts</w:t>
      </w:r>
      <w:r>
        <w:rPr>
          <w:spacing w:val="-12"/>
        </w:rPr>
        <w:t> </w:t>
      </w:r>
      <w:r>
        <w:rPr/>
        <w:t>are</w:t>
      </w:r>
      <w:r>
        <w:rPr>
          <w:spacing w:val="-14"/>
        </w:rPr>
        <w:t> </w:t>
      </w:r>
      <w:r>
        <w:rPr/>
        <w:t>often</w:t>
      </w:r>
      <w:r>
        <w:rPr>
          <w:spacing w:val="-12"/>
        </w:rPr>
        <w:t> </w:t>
      </w:r>
      <w:r>
        <w:rPr/>
        <w:t>referred</w:t>
      </w:r>
      <w:r>
        <w:rPr>
          <w:spacing w:val="-12"/>
        </w:rPr>
        <w:t> </w:t>
      </w:r>
      <w:r>
        <w:rPr/>
        <w:t>to</w:t>
      </w:r>
      <w:r>
        <w:rPr>
          <w:spacing w:val="-12"/>
        </w:rPr>
        <w:t> </w:t>
      </w:r>
      <w:r>
        <w:rPr/>
        <w:t>as</w:t>
      </w:r>
      <w:r>
        <w:rPr>
          <w:spacing w:val="-9"/>
        </w:rPr>
        <w:t> </w:t>
      </w:r>
      <w:r>
        <w:rPr/>
        <w:t>green</w:t>
      </w:r>
      <w:r>
        <w:rPr>
          <w:spacing w:val="-12"/>
        </w:rPr>
        <w:t> </w:t>
      </w:r>
      <w:r>
        <w:rPr/>
        <w:t>or</w:t>
      </w:r>
      <w:r>
        <w:rPr>
          <w:spacing w:val="-13"/>
        </w:rPr>
        <w:t> </w:t>
      </w:r>
      <w:r>
        <w:rPr/>
        <w:t>sustainable</w:t>
      </w:r>
      <w:r>
        <w:rPr>
          <w:spacing w:val="-13"/>
        </w:rPr>
        <w:t> </w:t>
      </w:r>
      <w:r>
        <w:rPr/>
        <w:t>banks,</w:t>
      </w:r>
      <w:r>
        <w:rPr>
          <w:spacing w:val="-10"/>
        </w:rPr>
        <w:t> </w:t>
      </w:r>
      <w:r>
        <w:rPr/>
        <w:t>as</w:t>
      </w:r>
      <w:r>
        <w:rPr>
          <w:spacing w:val="-12"/>
        </w:rPr>
        <w:t> </w:t>
      </w:r>
      <w:r>
        <w:rPr/>
        <w:t>stated</w:t>
      </w:r>
      <w:r>
        <w:rPr>
          <w:spacing w:val="-12"/>
        </w:rPr>
        <w:t> </w:t>
      </w:r>
      <w:r>
        <w:rPr/>
        <w:t>by</w:t>
      </w:r>
      <w:r>
        <w:rPr>
          <w:spacing w:val="-14"/>
        </w:rPr>
        <w:t> </w:t>
      </w:r>
      <w:r>
        <w:rPr/>
        <w:t>Hossain, Rahman, Hossain, and Karim (2020). In the competitive landscape of modern banking, Choudhury, Salim, Bashir, and Saha (2013) emphasized the necessity for every</w:t>
      </w:r>
      <w:r>
        <w:rPr>
          <w:spacing w:val="-1"/>
        </w:rPr>
        <w:t> </w:t>
      </w:r>
      <w:r>
        <w:rPr/>
        <w:t>bank to innovate and</w:t>
      </w:r>
      <w:r>
        <w:rPr>
          <w:spacing w:val="-7"/>
        </w:rPr>
        <w:t> </w:t>
      </w:r>
      <w:r>
        <w:rPr/>
        <w:t>introduce</w:t>
      </w:r>
      <w:r>
        <w:rPr>
          <w:spacing w:val="-8"/>
        </w:rPr>
        <w:t> </w:t>
      </w:r>
      <w:r>
        <w:rPr/>
        <w:t>new</w:t>
      </w:r>
      <w:r>
        <w:rPr>
          <w:spacing w:val="-5"/>
        </w:rPr>
        <w:t> </w:t>
      </w:r>
      <w:r>
        <w:rPr/>
        <w:t>environmentally</w:t>
      </w:r>
      <w:r>
        <w:rPr>
          <w:spacing w:val="-12"/>
        </w:rPr>
        <w:t> </w:t>
      </w:r>
      <w:r>
        <w:rPr/>
        <w:t>friendly</w:t>
      </w:r>
      <w:r>
        <w:rPr>
          <w:spacing w:val="-12"/>
        </w:rPr>
        <w:t> </w:t>
      </w:r>
      <w:r>
        <w:rPr/>
        <w:t>products</w:t>
      </w:r>
      <w:r>
        <w:rPr>
          <w:spacing w:val="-7"/>
        </w:rPr>
        <w:t> </w:t>
      </w:r>
      <w:r>
        <w:rPr/>
        <w:t>with</w:t>
      </w:r>
      <w:r>
        <w:rPr>
          <w:spacing w:val="-7"/>
        </w:rPr>
        <w:t> </w:t>
      </w:r>
      <w:r>
        <w:rPr/>
        <w:t>increased</w:t>
      </w:r>
      <w:r>
        <w:rPr>
          <w:spacing w:val="-7"/>
        </w:rPr>
        <w:t> </w:t>
      </w:r>
      <w:r>
        <w:rPr/>
        <w:t>stakeholder</w:t>
      </w:r>
      <w:r>
        <w:rPr>
          <w:spacing w:val="-8"/>
        </w:rPr>
        <w:t> </w:t>
      </w:r>
      <w:r>
        <w:rPr/>
        <w:t>involvement</w:t>
      </w:r>
      <w:r>
        <w:rPr>
          <w:spacing w:val="-7"/>
        </w:rPr>
        <w:t> </w:t>
      </w:r>
      <w:r>
        <w:rPr/>
        <w:t>and sustainable development (SD) focus [7].</w:t>
      </w:r>
    </w:p>
    <w:p>
      <w:pPr>
        <w:pStyle w:val="BodyText"/>
        <w:spacing w:line="271" w:lineRule="auto" w:before="1"/>
        <w:ind w:left="427" w:right="141" w:firstLine="566"/>
        <w:jc w:val="both"/>
      </w:pPr>
      <w:r>
        <w:rPr/>
        <w:t>The</w:t>
      </w:r>
      <w:r>
        <w:rPr>
          <w:spacing w:val="-12"/>
        </w:rPr>
        <w:t> </w:t>
      </w:r>
      <w:r>
        <w:rPr/>
        <w:t>concept</w:t>
      </w:r>
      <w:r>
        <w:rPr>
          <w:spacing w:val="-10"/>
        </w:rPr>
        <w:t> </w:t>
      </w:r>
      <w:r>
        <w:rPr/>
        <w:t>of</w:t>
      </w:r>
      <w:r>
        <w:rPr>
          <w:spacing w:val="-9"/>
        </w:rPr>
        <w:t> </w:t>
      </w:r>
      <w:r>
        <w:rPr/>
        <w:t>green</w:t>
      </w:r>
      <w:r>
        <w:rPr>
          <w:spacing w:val="-11"/>
        </w:rPr>
        <w:t> </w:t>
      </w:r>
      <w:r>
        <w:rPr/>
        <w:t>banking</w:t>
      </w:r>
      <w:r>
        <w:rPr>
          <w:spacing w:val="-13"/>
        </w:rPr>
        <w:t> </w:t>
      </w:r>
      <w:r>
        <w:rPr/>
        <w:t>encompasses</w:t>
      </w:r>
      <w:r>
        <w:rPr>
          <w:spacing w:val="-10"/>
        </w:rPr>
        <w:t> </w:t>
      </w:r>
      <w:r>
        <w:rPr/>
        <w:t>various</w:t>
      </w:r>
      <w:r>
        <w:rPr>
          <w:spacing w:val="-10"/>
        </w:rPr>
        <w:t> </w:t>
      </w:r>
      <w:r>
        <w:rPr/>
        <w:t>interpretations,</w:t>
      </w:r>
      <w:r>
        <w:rPr>
          <w:spacing w:val="-11"/>
        </w:rPr>
        <w:t> </w:t>
      </w:r>
      <w:r>
        <w:rPr/>
        <w:t>including</w:t>
      </w:r>
      <w:r>
        <w:rPr>
          <w:spacing w:val="-13"/>
        </w:rPr>
        <w:t> </w:t>
      </w:r>
      <w:r>
        <w:rPr/>
        <w:t>the</w:t>
      </w:r>
      <w:r>
        <w:rPr>
          <w:spacing w:val="-11"/>
        </w:rPr>
        <w:t> </w:t>
      </w:r>
      <w:r>
        <w:rPr/>
        <w:t>notion</w:t>
      </w:r>
      <w:r>
        <w:rPr>
          <w:spacing w:val="-11"/>
        </w:rPr>
        <w:t> </w:t>
      </w:r>
      <w:r>
        <w:rPr/>
        <w:t>that banks, akin to ethical banks, bear a societal responsibility towards environmental preservation (Marzio, 2007). However, the term "green banking" extends beyond environmental concerns alone, encompassing broader aspects associated with community development and fostering improved social conditions.</w:t>
      </w:r>
      <w:r>
        <w:rPr>
          <w:spacing w:val="-14"/>
        </w:rPr>
        <w:t> </w:t>
      </w:r>
      <w:r>
        <w:rPr/>
        <w:t>At its core, green banking</w:t>
      </w:r>
      <w:r>
        <w:rPr>
          <w:spacing w:val="-1"/>
        </w:rPr>
        <w:t> </w:t>
      </w:r>
      <w:r>
        <w:rPr/>
        <w:t>is founded on the principle of enhancing</w:t>
      </w:r>
      <w:r>
        <w:rPr>
          <w:spacing w:val="-1"/>
        </w:rPr>
        <w:t> </w:t>
      </w:r>
      <w:r>
        <w:rPr/>
        <w:t>a bank's risk management capabilities, particularly in relation to environmental factors, and promoting the expansion of its financing portfolio towards environmentally friendly endeavors. These</w:t>
      </w:r>
      <w:r>
        <w:rPr>
          <w:spacing w:val="-3"/>
        </w:rPr>
        <w:t> </w:t>
      </w:r>
      <w:r>
        <w:rPr/>
        <w:t>may</w:t>
      </w:r>
      <w:r>
        <w:rPr>
          <w:spacing w:val="-6"/>
        </w:rPr>
        <w:t> </w:t>
      </w:r>
      <w:r>
        <w:rPr/>
        <w:t>include</w:t>
      </w:r>
      <w:r>
        <w:rPr>
          <w:spacing w:val="-3"/>
        </w:rPr>
        <w:t> </w:t>
      </w:r>
      <w:r>
        <w:rPr/>
        <w:t>investments</w:t>
      </w:r>
      <w:r>
        <w:rPr>
          <w:spacing w:val="-1"/>
        </w:rPr>
        <w:t> </w:t>
      </w:r>
      <w:r>
        <w:rPr/>
        <w:t>in</w:t>
      </w:r>
      <w:r>
        <w:rPr>
          <w:spacing w:val="-1"/>
        </w:rPr>
        <w:t> </w:t>
      </w:r>
      <w:r>
        <w:rPr/>
        <w:t>renewable</w:t>
      </w:r>
      <w:r>
        <w:rPr>
          <w:spacing w:val="-2"/>
        </w:rPr>
        <w:t> </w:t>
      </w:r>
      <w:r>
        <w:rPr/>
        <w:t>energy,</w:t>
      </w:r>
      <w:r>
        <w:rPr>
          <w:spacing w:val="-2"/>
        </w:rPr>
        <w:t> </w:t>
      </w:r>
      <w:r>
        <w:rPr/>
        <w:t>initiatives</w:t>
      </w:r>
      <w:r>
        <w:rPr>
          <w:spacing w:val="-2"/>
        </w:rPr>
        <w:t> </w:t>
      </w:r>
      <w:r>
        <w:rPr/>
        <w:t>for</w:t>
      </w:r>
      <w:r>
        <w:rPr>
          <w:spacing w:val="-3"/>
        </w:rPr>
        <w:t> </w:t>
      </w:r>
      <w:r>
        <w:rPr/>
        <w:t>energy</w:t>
      </w:r>
      <w:r>
        <w:rPr>
          <w:spacing w:val="-6"/>
        </w:rPr>
        <w:t> </w:t>
      </w:r>
      <w:r>
        <w:rPr/>
        <w:t>efficiency,</w:t>
      </w:r>
      <w:r>
        <w:rPr>
          <w:spacing w:val="-2"/>
        </w:rPr>
        <w:t> </w:t>
      </w:r>
      <w:r>
        <w:rPr/>
        <w:t>support</w:t>
      </w:r>
      <w:r>
        <w:rPr>
          <w:spacing w:val="-2"/>
        </w:rPr>
        <w:t> </w:t>
      </w:r>
      <w:r>
        <w:rPr/>
        <w:t>for organic agriculture, development of eco-tourism, promotion of environmentally sustainable transportation, and the endorsement of various eco-labeled products (Yuniarti, 2013) [8].</w:t>
      </w:r>
    </w:p>
    <w:p>
      <w:pPr>
        <w:pStyle w:val="BodyText"/>
        <w:spacing w:line="271" w:lineRule="auto" w:before="2"/>
        <w:ind w:left="427" w:right="146" w:firstLine="566"/>
        <w:jc w:val="both"/>
      </w:pPr>
      <w:r>
        <w:rPr/>
        <w:t>Ahuja (2015) conducted a literature review on green banking to construct a conceptual framework. Within her review, she pinpointed challenges in implementing the green concept, highlighting customer education and awareness as a major concern. She observed that private sector</w:t>
      </w:r>
      <w:r>
        <w:rPr>
          <w:spacing w:val="-5"/>
        </w:rPr>
        <w:t> </w:t>
      </w:r>
      <w:r>
        <w:rPr/>
        <w:t>banks</w:t>
      </w:r>
      <w:r>
        <w:rPr>
          <w:spacing w:val="-3"/>
        </w:rPr>
        <w:t> </w:t>
      </w:r>
      <w:r>
        <w:rPr/>
        <w:t>tend</w:t>
      </w:r>
      <w:r>
        <w:rPr>
          <w:spacing w:val="-4"/>
        </w:rPr>
        <w:t> </w:t>
      </w:r>
      <w:r>
        <w:rPr/>
        <w:t>to</w:t>
      </w:r>
      <w:r>
        <w:rPr>
          <w:spacing w:val="-1"/>
        </w:rPr>
        <w:t> </w:t>
      </w:r>
      <w:r>
        <w:rPr/>
        <w:t>execute</w:t>
      </w:r>
      <w:r>
        <w:rPr>
          <w:spacing w:val="-4"/>
        </w:rPr>
        <w:t> </w:t>
      </w:r>
      <w:r>
        <w:rPr/>
        <w:t>the</w:t>
      </w:r>
      <w:r>
        <w:rPr>
          <w:spacing w:val="-1"/>
        </w:rPr>
        <w:t> </w:t>
      </w:r>
      <w:r>
        <w:rPr/>
        <w:t>concept</w:t>
      </w:r>
      <w:r>
        <w:rPr>
          <w:spacing w:val="-1"/>
        </w:rPr>
        <w:t> </w:t>
      </w:r>
      <w:r>
        <w:rPr/>
        <w:t>more</w:t>
      </w:r>
      <w:r>
        <w:rPr>
          <w:spacing w:val="-2"/>
        </w:rPr>
        <w:t> </w:t>
      </w:r>
      <w:r>
        <w:rPr/>
        <w:t>effectively.</w:t>
      </w:r>
      <w:r>
        <w:rPr>
          <w:spacing w:val="-15"/>
        </w:rPr>
        <w:t> </w:t>
      </w:r>
      <w:r>
        <w:rPr/>
        <w:t>Additionally,</w:t>
      </w:r>
      <w:r>
        <w:rPr>
          <w:spacing w:val="-1"/>
        </w:rPr>
        <w:t> </w:t>
      </w:r>
      <w:r>
        <w:rPr/>
        <w:t>she</w:t>
      </w:r>
      <w:r>
        <w:rPr>
          <w:spacing w:val="-2"/>
        </w:rPr>
        <w:t> </w:t>
      </w:r>
      <w:r>
        <w:rPr/>
        <w:t>delved</w:t>
      </w:r>
      <w:r>
        <w:rPr>
          <w:spacing w:val="-4"/>
        </w:rPr>
        <w:t> </w:t>
      </w:r>
      <w:r>
        <w:rPr/>
        <w:t>into</w:t>
      </w:r>
      <w:r>
        <w:rPr>
          <w:spacing w:val="-3"/>
        </w:rPr>
        <w:t> </w:t>
      </w:r>
      <w:r>
        <w:rPr/>
        <w:t>the green initiatives undertaken by SBI to illustrate the practice of green banking.</w:t>
      </w:r>
    </w:p>
    <w:p>
      <w:pPr>
        <w:pStyle w:val="BodyText"/>
        <w:spacing w:line="271" w:lineRule="auto" w:before="1"/>
        <w:ind w:left="427" w:right="141" w:firstLine="566"/>
        <w:jc w:val="both"/>
      </w:pPr>
      <w:r>
        <w:rPr/>
        <w:t>Islam and Das (2013) examined green banking practices in Bangladesh. Their analysis involved gathering secondary data from bank websites and scrutinizing statistics on Green fund allocation,</w:t>
      </w:r>
      <w:r>
        <w:rPr>
          <w:spacing w:val="-15"/>
        </w:rPr>
        <w:t> </w:t>
      </w:r>
      <w:r>
        <w:rPr/>
        <w:t>online</w:t>
      </w:r>
      <w:r>
        <w:rPr>
          <w:spacing w:val="-15"/>
        </w:rPr>
        <w:t> </w:t>
      </w:r>
      <w:r>
        <w:rPr/>
        <w:t>banking,</w:t>
      </w:r>
      <w:r>
        <w:rPr>
          <w:spacing w:val="-15"/>
        </w:rPr>
        <w:t> </w:t>
      </w:r>
      <w:r>
        <w:rPr/>
        <w:t>and</w:t>
      </w:r>
      <w:r>
        <w:rPr>
          <w:spacing w:val="-15"/>
        </w:rPr>
        <w:t> </w:t>
      </w:r>
      <w:r>
        <w:rPr/>
        <w:t>mobile</w:t>
      </w:r>
      <w:r>
        <w:rPr>
          <w:spacing w:val="-15"/>
        </w:rPr>
        <w:t> </w:t>
      </w:r>
      <w:r>
        <w:rPr/>
        <w:t>banking.</w:t>
      </w:r>
      <w:r>
        <w:rPr>
          <w:spacing w:val="-15"/>
        </w:rPr>
        <w:t> </w:t>
      </w:r>
      <w:r>
        <w:rPr/>
        <w:t>They</w:t>
      </w:r>
      <w:r>
        <w:rPr>
          <w:spacing w:val="-15"/>
        </w:rPr>
        <w:t> </w:t>
      </w:r>
      <w:r>
        <w:rPr/>
        <w:t>concluded</w:t>
      </w:r>
      <w:r>
        <w:rPr>
          <w:spacing w:val="-15"/>
        </w:rPr>
        <w:t> </w:t>
      </w:r>
      <w:r>
        <w:rPr/>
        <w:t>that</w:t>
      </w:r>
      <w:r>
        <w:rPr>
          <w:spacing w:val="-15"/>
        </w:rPr>
        <w:t> </w:t>
      </w:r>
      <w:r>
        <w:rPr/>
        <w:t>the</w:t>
      </w:r>
      <w:r>
        <w:rPr>
          <w:spacing w:val="-15"/>
        </w:rPr>
        <w:t> </w:t>
      </w:r>
      <w:r>
        <w:rPr/>
        <w:t>concept</w:t>
      </w:r>
      <w:r>
        <w:rPr>
          <w:spacing w:val="-15"/>
        </w:rPr>
        <w:t> </w:t>
      </w:r>
      <w:r>
        <w:rPr/>
        <w:t>of</w:t>
      </w:r>
      <w:r>
        <w:rPr>
          <w:spacing w:val="-15"/>
        </w:rPr>
        <w:t> </w:t>
      </w:r>
      <w:r>
        <w:rPr/>
        <w:t>Green</w:t>
      </w:r>
      <w:r>
        <w:rPr>
          <w:spacing w:val="-15"/>
        </w:rPr>
        <w:t> </w:t>
      </w:r>
      <w:r>
        <w:rPr/>
        <w:t>Banking is still nascent in Bangladeshi banks and requires further development [9].</w:t>
      </w:r>
    </w:p>
    <w:p>
      <w:pPr>
        <w:pStyle w:val="BodyText"/>
        <w:spacing w:line="271" w:lineRule="auto" w:before="1"/>
        <w:ind w:left="427" w:right="140" w:firstLine="566"/>
        <w:jc w:val="both"/>
      </w:pPr>
      <w:r>
        <w:rPr/>
        <w:t>Chowdari Prasad (2002) examined the effects of economic reforms on the Indian banking system,</w:t>
      </w:r>
      <w:r>
        <w:rPr>
          <w:spacing w:val="-13"/>
        </w:rPr>
        <w:t> </w:t>
      </w:r>
      <w:r>
        <w:rPr/>
        <w:t>offering</w:t>
      </w:r>
      <w:r>
        <w:rPr>
          <w:spacing w:val="-15"/>
        </w:rPr>
        <w:t> </w:t>
      </w:r>
      <w:r>
        <w:rPr/>
        <w:t>insights</w:t>
      </w:r>
      <w:r>
        <w:rPr>
          <w:spacing w:val="-10"/>
        </w:rPr>
        <w:t> </w:t>
      </w:r>
      <w:r>
        <w:rPr/>
        <w:t>into</w:t>
      </w:r>
      <w:r>
        <w:rPr>
          <w:spacing w:val="-13"/>
        </w:rPr>
        <w:t> </w:t>
      </w:r>
      <w:r>
        <w:rPr/>
        <w:t>how</w:t>
      </w:r>
      <w:r>
        <w:rPr>
          <w:spacing w:val="-14"/>
        </w:rPr>
        <w:t> </w:t>
      </w:r>
      <w:r>
        <w:rPr/>
        <w:t>the</w:t>
      </w:r>
      <w:r>
        <w:rPr>
          <w:spacing w:val="-14"/>
        </w:rPr>
        <w:t> </w:t>
      </w:r>
      <w:r>
        <w:rPr/>
        <w:t>sector</w:t>
      </w:r>
      <w:r>
        <w:rPr>
          <w:spacing w:val="-13"/>
        </w:rPr>
        <w:t> </w:t>
      </w:r>
      <w:r>
        <w:rPr/>
        <w:t>would</w:t>
      </w:r>
      <w:r>
        <w:rPr>
          <w:spacing w:val="-11"/>
        </w:rPr>
        <w:t> </w:t>
      </w:r>
      <w:r>
        <w:rPr/>
        <w:t>confront</w:t>
      </w:r>
      <w:r>
        <w:rPr>
          <w:spacing w:val="-13"/>
        </w:rPr>
        <w:t> </w:t>
      </w:r>
      <w:r>
        <w:rPr/>
        <w:t>shifts</w:t>
      </w:r>
      <w:r>
        <w:rPr>
          <w:spacing w:val="-13"/>
        </w:rPr>
        <w:t> </w:t>
      </w:r>
      <w:r>
        <w:rPr/>
        <w:t>and</w:t>
      </w:r>
      <w:r>
        <w:rPr>
          <w:spacing w:val="-13"/>
        </w:rPr>
        <w:t> </w:t>
      </w:r>
      <w:r>
        <w:rPr/>
        <w:t>obstacles.</w:t>
      </w:r>
      <w:r>
        <w:rPr>
          <w:spacing w:val="-13"/>
        </w:rPr>
        <w:t> </w:t>
      </w:r>
      <w:r>
        <w:rPr/>
        <w:t>Hopwood</w:t>
      </w:r>
      <w:r>
        <w:rPr>
          <w:spacing w:val="-13"/>
        </w:rPr>
        <w:t> </w:t>
      </w:r>
      <w:r>
        <w:rPr/>
        <w:t>(2005) emphasized the necessity for a paradigm shift, asserting that altering the conventional model is crucial</w:t>
      </w:r>
      <w:r>
        <w:rPr>
          <w:spacing w:val="-11"/>
        </w:rPr>
        <w:t> </w:t>
      </w:r>
      <w:r>
        <w:rPr/>
        <w:t>for</w:t>
      </w:r>
      <w:r>
        <w:rPr>
          <w:spacing w:val="-9"/>
        </w:rPr>
        <w:t> </w:t>
      </w:r>
      <w:r>
        <w:rPr/>
        <w:t>comprehending</w:t>
      </w:r>
      <w:r>
        <w:rPr>
          <w:spacing w:val="-10"/>
        </w:rPr>
        <w:t> </w:t>
      </w:r>
      <w:r>
        <w:rPr/>
        <w:t>the</w:t>
      </w:r>
      <w:r>
        <w:rPr>
          <w:spacing w:val="-8"/>
        </w:rPr>
        <w:t> </w:t>
      </w:r>
      <w:r>
        <w:rPr/>
        <w:t>banking</w:t>
      </w:r>
      <w:r>
        <w:rPr>
          <w:spacing w:val="-10"/>
        </w:rPr>
        <w:t> </w:t>
      </w:r>
      <w:r>
        <w:rPr/>
        <w:t>sector's</w:t>
      </w:r>
      <w:r>
        <w:rPr>
          <w:spacing w:val="-8"/>
        </w:rPr>
        <w:t> </w:t>
      </w:r>
      <w:r>
        <w:rPr/>
        <w:t>transition</w:t>
      </w:r>
      <w:r>
        <w:rPr>
          <w:spacing w:val="-7"/>
        </w:rPr>
        <w:t> </w:t>
      </w:r>
      <w:r>
        <w:rPr/>
        <w:t>towards</w:t>
      </w:r>
      <w:r>
        <w:rPr>
          <w:spacing w:val="-8"/>
        </w:rPr>
        <w:t> </w:t>
      </w:r>
      <w:r>
        <w:rPr/>
        <w:t>sustainability.</w:t>
      </w:r>
      <w:r>
        <w:rPr>
          <w:spacing w:val="-8"/>
        </w:rPr>
        <w:t> </w:t>
      </w:r>
      <w:r>
        <w:rPr/>
        <w:t>Mohmed</w:t>
      </w:r>
      <w:r>
        <w:rPr>
          <w:spacing w:val="-15"/>
        </w:rPr>
        <w:t> </w:t>
      </w:r>
      <w:r>
        <w:rPr/>
        <w:t>Aminul Islam (2010) noted the growing significance of Green Banking in contemporary contexts.</w:t>
      </w:r>
      <w:r>
        <w:rPr>
          <w:spacing w:val="-11"/>
        </w:rPr>
        <w:t> </w:t>
      </w:r>
      <w:r>
        <w:rPr/>
        <w:t>As the banking industry undergoes computerization and networking, the adoption of online banking is naturally gaining traction [10].</w:t>
      </w:r>
    </w:p>
    <w:p>
      <w:pPr>
        <w:pStyle w:val="Heading3"/>
        <w:spacing w:before="7"/>
      </w:pPr>
      <w:r>
        <w:rPr>
          <w:spacing w:val="-2"/>
        </w:rPr>
        <w:t>Methodology</w:t>
      </w:r>
    </w:p>
    <w:p>
      <w:pPr>
        <w:pStyle w:val="BodyText"/>
        <w:spacing w:line="271" w:lineRule="auto" w:before="232"/>
        <w:ind w:left="427" w:right="135" w:firstLine="566"/>
        <w:jc w:val="both"/>
      </w:pPr>
      <w:r>
        <w:rPr/>
        <w:t>Kazakhstan's banks are displaying insufficient urgency in transitioning towards environmentally</w:t>
      </w:r>
      <w:r>
        <w:rPr>
          <w:spacing w:val="-15"/>
        </w:rPr>
        <w:t> </w:t>
      </w:r>
      <w:r>
        <w:rPr/>
        <w:t>sustainable</w:t>
      </w:r>
      <w:r>
        <w:rPr>
          <w:spacing w:val="-15"/>
        </w:rPr>
        <w:t> </w:t>
      </w:r>
      <w:r>
        <w:rPr/>
        <w:t>lending</w:t>
      </w:r>
      <w:r>
        <w:rPr>
          <w:spacing w:val="-15"/>
        </w:rPr>
        <w:t> </w:t>
      </w:r>
      <w:r>
        <w:rPr/>
        <w:t>practices,</w:t>
      </w:r>
      <w:r>
        <w:rPr>
          <w:spacing w:val="-15"/>
        </w:rPr>
        <w:t> </w:t>
      </w:r>
      <w:r>
        <w:rPr/>
        <w:t>specifically</w:t>
      </w:r>
      <w:r>
        <w:rPr>
          <w:spacing w:val="-15"/>
        </w:rPr>
        <w:t> </w:t>
      </w:r>
      <w:r>
        <w:rPr/>
        <w:t>lending</w:t>
      </w:r>
      <w:r>
        <w:rPr>
          <w:spacing w:val="-15"/>
        </w:rPr>
        <w:t> </w:t>
      </w:r>
      <w:r>
        <w:rPr/>
        <w:t>that</w:t>
      </w:r>
      <w:r>
        <w:rPr>
          <w:spacing w:val="-14"/>
        </w:rPr>
        <w:t> </w:t>
      </w:r>
      <w:r>
        <w:rPr/>
        <w:t>facilitates</w:t>
      </w:r>
      <w:r>
        <w:rPr>
          <w:spacing w:val="-15"/>
        </w:rPr>
        <w:t> </w:t>
      </w:r>
      <w:r>
        <w:rPr/>
        <w:t>environmentally responsible</w:t>
      </w:r>
      <w:r>
        <w:rPr>
          <w:spacing w:val="-8"/>
        </w:rPr>
        <w:t> </w:t>
      </w:r>
      <w:r>
        <w:rPr/>
        <w:t>endeavors.</w:t>
      </w:r>
      <w:r>
        <w:rPr>
          <w:spacing w:val="-2"/>
        </w:rPr>
        <w:t> </w:t>
      </w:r>
      <w:r>
        <w:rPr/>
        <w:t>In</w:t>
      </w:r>
      <w:r>
        <w:rPr>
          <w:spacing w:val="-5"/>
        </w:rPr>
        <w:t> </w:t>
      </w:r>
      <w:r>
        <w:rPr/>
        <w:t>a</w:t>
      </w:r>
      <w:r>
        <w:rPr>
          <w:spacing w:val="-8"/>
        </w:rPr>
        <w:t> </w:t>
      </w:r>
      <w:r>
        <w:rPr/>
        <w:t>previous</w:t>
      </w:r>
      <w:r>
        <w:rPr>
          <w:spacing w:val="-7"/>
        </w:rPr>
        <w:t> </w:t>
      </w:r>
      <w:r>
        <w:rPr/>
        <w:t>blog</w:t>
      </w:r>
      <w:r>
        <w:rPr>
          <w:spacing w:val="-7"/>
        </w:rPr>
        <w:t> </w:t>
      </w:r>
      <w:r>
        <w:rPr/>
        <w:t>post,</w:t>
      </w:r>
      <w:r>
        <w:rPr>
          <w:spacing w:val="-7"/>
        </w:rPr>
        <w:t> </w:t>
      </w:r>
      <w:r>
        <w:rPr/>
        <w:t>we</w:t>
      </w:r>
      <w:r>
        <w:rPr>
          <w:spacing w:val="-6"/>
        </w:rPr>
        <w:t> </w:t>
      </w:r>
      <w:r>
        <w:rPr/>
        <w:t>outlined</w:t>
      </w:r>
      <w:r>
        <w:rPr>
          <w:spacing w:val="-8"/>
        </w:rPr>
        <w:t> </w:t>
      </w:r>
      <w:r>
        <w:rPr/>
        <w:t>a</w:t>
      </w:r>
      <w:r>
        <w:rPr>
          <w:spacing w:val="-8"/>
        </w:rPr>
        <w:t> </w:t>
      </w:r>
      <w:r>
        <w:rPr/>
        <w:t>dual</w:t>
      </w:r>
      <w:r>
        <w:rPr>
          <w:spacing w:val="-7"/>
        </w:rPr>
        <w:t> </w:t>
      </w:r>
      <w:r>
        <w:rPr/>
        <w:t>strategy</w:t>
      </w:r>
      <w:r>
        <w:rPr>
          <w:spacing w:val="-11"/>
        </w:rPr>
        <w:t> </w:t>
      </w:r>
      <w:r>
        <w:rPr/>
        <w:t>aimed</w:t>
      </w:r>
      <w:r>
        <w:rPr>
          <w:spacing w:val="-7"/>
        </w:rPr>
        <w:t> </w:t>
      </w:r>
      <w:r>
        <w:rPr/>
        <w:t>at</w:t>
      </w:r>
      <w:r>
        <w:rPr>
          <w:spacing w:val="-7"/>
        </w:rPr>
        <w:t> </w:t>
      </w:r>
      <w:r>
        <w:rPr/>
        <w:t>fostering</w:t>
      </w:r>
      <w:r>
        <w:rPr>
          <w:spacing w:val="-7"/>
        </w:rPr>
        <w:t> </w:t>
      </w:r>
      <w:r>
        <w:rPr/>
        <w:t>eco- friendly lending within Kazakhstani banks. In this publication, we will delve deeper into the concern of banks' vulnerability to transition risks, which entail risks associated with industries reliant on fossil fuels, amidst global shifts towards more environmentally conscious economic activities.</w:t>
      </w:r>
      <w:r>
        <w:rPr>
          <w:spacing w:val="7"/>
        </w:rPr>
        <w:t> </w:t>
      </w:r>
      <w:r>
        <w:rPr/>
        <w:t>We</w:t>
      </w:r>
      <w:r>
        <w:rPr>
          <w:spacing w:val="16"/>
        </w:rPr>
        <w:t> </w:t>
      </w:r>
      <w:r>
        <w:rPr/>
        <w:t>will</w:t>
      </w:r>
      <w:r>
        <w:rPr>
          <w:spacing w:val="16"/>
        </w:rPr>
        <w:t> </w:t>
      </w:r>
      <w:r>
        <w:rPr/>
        <w:t>examine</w:t>
      </w:r>
      <w:r>
        <w:rPr>
          <w:spacing w:val="16"/>
        </w:rPr>
        <w:t> </w:t>
      </w:r>
      <w:r>
        <w:rPr/>
        <w:t>the</w:t>
      </w:r>
      <w:r>
        <w:rPr>
          <w:spacing w:val="16"/>
        </w:rPr>
        <w:t> </w:t>
      </w:r>
      <w:r>
        <w:rPr/>
        <w:t>carbon</w:t>
      </w:r>
      <w:r>
        <w:rPr>
          <w:spacing w:val="16"/>
        </w:rPr>
        <w:t> </w:t>
      </w:r>
      <w:r>
        <w:rPr/>
        <w:t>footprint</w:t>
      </w:r>
      <w:r>
        <w:rPr>
          <w:spacing w:val="17"/>
        </w:rPr>
        <w:t> </w:t>
      </w:r>
      <w:r>
        <w:rPr/>
        <w:t>associated</w:t>
      </w:r>
      <w:r>
        <w:rPr>
          <w:spacing w:val="16"/>
        </w:rPr>
        <w:t> </w:t>
      </w:r>
      <w:r>
        <w:rPr/>
        <w:t>with</w:t>
      </w:r>
      <w:r>
        <w:rPr>
          <w:spacing w:val="17"/>
        </w:rPr>
        <w:t> </w:t>
      </w:r>
      <w:r>
        <w:rPr/>
        <w:t>lending</w:t>
      </w:r>
      <w:r>
        <w:rPr>
          <w:spacing w:val="16"/>
        </w:rPr>
        <w:t> </w:t>
      </w:r>
      <w:r>
        <w:rPr/>
        <w:t>and</w:t>
      </w:r>
      <w:r>
        <w:rPr>
          <w:spacing w:val="16"/>
        </w:rPr>
        <w:t> </w:t>
      </w:r>
      <w:r>
        <w:rPr/>
        <w:t>assess</w:t>
      </w:r>
      <w:r>
        <w:rPr>
          <w:spacing w:val="16"/>
        </w:rPr>
        <w:t> </w:t>
      </w:r>
      <w:r>
        <w:rPr/>
        <w:t>the</w:t>
      </w:r>
      <w:r>
        <w:rPr>
          <w:spacing w:val="16"/>
        </w:rPr>
        <w:t> </w:t>
      </w:r>
      <w:r>
        <w:rPr>
          <w:spacing w:val="-2"/>
        </w:rPr>
        <w:t>primary</w:t>
      </w:r>
    </w:p>
    <w:p>
      <w:pPr>
        <w:pStyle w:val="BodyText"/>
        <w:spacing w:after="0" w:line="271" w:lineRule="auto"/>
        <w:jc w:val="both"/>
        <w:sectPr>
          <w:pgSz w:w="11910" w:h="16840"/>
          <w:pgMar w:header="0" w:footer="1262" w:top="1060" w:bottom="1460" w:left="1275" w:right="708"/>
        </w:sectPr>
      </w:pPr>
    </w:p>
    <w:p>
      <w:pPr>
        <w:pStyle w:val="BodyText"/>
        <w:spacing w:before="72"/>
        <w:ind w:left="427"/>
        <w:jc w:val="both"/>
      </w:pPr>
      <w:r>
        <w:rPr/>
        <w:t>measures</w:t>
      </w:r>
      <w:r>
        <w:rPr>
          <w:spacing w:val="-4"/>
        </w:rPr>
        <w:t> </w:t>
      </w:r>
      <w:r>
        <w:rPr/>
        <w:t>undertaken</w:t>
      </w:r>
      <w:r>
        <w:rPr>
          <w:spacing w:val="-1"/>
        </w:rPr>
        <w:t> </w:t>
      </w:r>
      <w:r>
        <w:rPr/>
        <w:t>by</w:t>
      </w:r>
      <w:r>
        <w:rPr>
          <w:spacing w:val="-4"/>
        </w:rPr>
        <w:t> </w:t>
      </w:r>
      <w:r>
        <w:rPr/>
        <w:t>banking</w:t>
      </w:r>
      <w:r>
        <w:rPr>
          <w:spacing w:val="-3"/>
        </w:rPr>
        <w:t> </w:t>
      </w:r>
      <w:r>
        <w:rPr/>
        <w:t>regulatory</w:t>
      </w:r>
      <w:r>
        <w:rPr>
          <w:spacing w:val="-4"/>
        </w:rPr>
        <w:t> </w:t>
      </w:r>
      <w:r>
        <w:rPr/>
        <w:t>authorities</w:t>
      </w:r>
      <w:r>
        <w:rPr>
          <w:spacing w:val="-2"/>
        </w:rPr>
        <w:t> </w:t>
      </w:r>
      <w:r>
        <w:rPr/>
        <w:t>in</w:t>
      </w:r>
      <w:r>
        <w:rPr>
          <w:spacing w:val="-1"/>
        </w:rPr>
        <w:t> </w:t>
      </w:r>
      <w:r>
        <w:rPr/>
        <w:t>Kazakhstan </w:t>
      </w:r>
      <w:r>
        <w:rPr>
          <w:spacing w:val="-2"/>
        </w:rPr>
        <w:t>[11].</w:t>
      </w:r>
    </w:p>
    <w:p>
      <w:pPr>
        <w:pStyle w:val="Heading3"/>
        <w:spacing w:before="42"/>
        <w:jc w:val="both"/>
      </w:pPr>
      <w:r>
        <w:rPr/>
        <w:t>Results</w:t>
      </w:r>
      <w:r>
        <w:rPr>
          <w:spacing w:val="-4"/>
        </w:rPr>
        <w:t> </w:t>
      </w:r>
      <w:r>
        <w:rPr/>
        <w:t>and</w:t>
      </w:r>
      <w:r>
        <w:rPr>
          <w:spacing w:val="-3"/>
        </w:rPr>
        <w:t> </w:t>
      </w:r>
      <w:r>
        <w:rPr>
          <w:spacing w:val="-2"/>
        </w:rPr>
        <w:t>discussion</w:t>
      </w:r>
    </w:p>
    <w:p>
      <w:pPr>
        <w:pStyle w:val="BodyText"/>
        <w:spacing w:line="271" w:lineRule="auto" w:before="31"/>
        <w:ind w:left="427" w:right="137" w:firstLine="628"/>
        <w:jc w:val="both"/>
      </w:pPr>
      <w:r>
        <w:rPr/>
        <w:t>In 2017, as part of a collaborative effort between the AIFC and the European Bank for Reconstruction and Development (EBRD), a preliminary blueprint for fostering a sustainable financial</w:t>
      </w:r>
      <w:r>
        <w:rPr>
          <w:spacing w:val="-11"/>
        </w:rPr>
        <w:t> </w:t>
      </w:r>
      <w:r>
        <w:rPr/>
        <w:t>system</w:t>
      </w:r>
      <w:r>
        <w:rPr>
          <w:spacing w:val="-10"/>
        </w:rPr>
        <w:t> </w:t>
      </w:r>
      <w:r>
        <w:rPr/>
        <w:t>in</w:t>
      </w:r>
      <w:r>
        <w:rPr>
          <w:spacing w:val="-8"/>
        </w:rPr>
        <w:t> </w:t>
      </w:r>
      <w:r>
        <w:rPr/>
        <w:t>Kazakhstan</w:t>
      </w:r>
      <w:r>
        <w:rPr>
          <w:spacing w:val="-11"/>
        </w:rPr>
        <w:t> </w:t>
      </w:r>
      <w:r>
        <w:rPr/>
        <w:t>was</w:t>
      </w:r>
      <w:r>
        <w:rPr>
          <w:spacing w:val="-8"/>
        </w:rPr>
        <w:t> </w:t>
      </w:r>
      <w:r>
        <w:rPr/>
        <w:t>crafted</w:t>
      </w:r>
      <w:r>
        <w:rPr>
          <w:spacing w:val="-8"/>
        </w:rPr>
        <w:t> </w:t>
      </w:r>
      <w:r>
        <w:rPr/>
        <w:t>and</w:t>
      </w:r>
      <w:r>
        <w:rPr>
          <w:spacing w:val="-11"/>
        </w:rPr>
        <w:t> </w:t>
      </w:r>
      <w:r>
        <w:rPr/>
        <w:t>made</w:t>
      </w:r>
      <w:r>
        <w:rPr>
          <w:spacing w:val="-9"/>
        </w:rPr>
        <w:t> </w:t>
      </w:r>
      <w:r>
        <w:rPr/>
        <w:t>available</w:t>
      </w:r>
      <w:r>
        <w:rPr>
          <w:spacing w:val="-11"/>
        </w:rPr>
        <w:t> </w:t>
      </w:r>
      <w:r>
        <w:rPr/>
        <w:t>through</w:t>
      </w:r>
      <w:r>
        <w:rPr>
          <w:spacing w:val="-11"/>
        </w:rPr>
        <w:t> </w:t>
      </w:r>
      <w:r>
        <w:rPr/>
        <w:t>the</w:t>
      </w:r>
      <w:r>
        <w:rPr>
          <w:spacing w:val="-9"/>
        </w:rPr>
        <w:t> </w:t>
      </w:r>
      <w:r>
        <w:rPr/>
        <w:t>center's</w:t>
      </w:r>
      <w:r>
        <w:rPr>
          <w:spacing w:val="-8"/>
        </w:rPr>
        <w:t> </w:t>
      </w:r>
      <w:r>
        <w:rPr/>
        <w:t>platform.</w:t>
      </w:r>
      <w:r>
        <w:rPr>
          <w:spacing w:val="-13"/>
        </w:rPr>
        <w:t> </w:t>
      </w:r>
      <w:r>
        <w:rPr/>
        <w:t>This blueprint</w:t>
      </w:r>
      <w:r>
        <w:rPr>
          <w:spacing w:val="-15"/>
        </w:rPr>
        <w:t> </w:t>
      </w:r>
      <w:r>
        <w:rPr/>
        <w:t>served</w:t>
      </w:r>
      <w:r>
        <w:rPr>
          <w:spacing w:val="-15"/>
        </w:rPr>
        <w:t> </w:t>
      </w:r>
      <w:r>
        <w:rPr/>
        <w:t>as</w:t>
      </w:r>
      <w:r>
        <w:rPr>
          <w:spacing w:val="-15"/>
        </w:rPr>
        <w:t> </w:t>
      </w:r>
      <w:r>
        <w:rPr/>
        <w:t>the</w:t>
      </w:r>
      <w:r>
        <w:rPr>
          <w:spacing w:val="-15"/>
        </w:rPr>
        <w:t> </w:t>
      </w:r>
      <w:r>
        <w:rPr/>
        <w:t>cornerstone</w:t>
      </w:r>
      <w:r>
        <w:rPr>
          <w:spacing w:val="-15"/>
        </w:rPr>
        <w:t> </w:t>
      </w:r>
      <w:r>
        <w:rPr/>
        <w:t>for</w:t>
      </w:r>
      <w:r>
        <w:rPr>
          <w:spacing w:val="-15"/>
        </w:rPr>
        <w:t> </w:t>
      </w:r>
      <w:r>
        <w:rPr/>
        <w:t>advancing</w:t>
      </w:r>
      <w:r>
        <w:rPr>
          <w:spacing w:val="-15"/>
        </w:rPr>
        <w:t> </w:t>
      </w:r>
      <w:r>
        <w:rPr/>
        <w:t>sustainable</w:t>
      </w:r>
      <w:r>
        <w:rPr>
          <w:spacing w:val="-15"/>
        </w:rPr>
        <w:t> </w:t>
      </w:r>
      <w:r>
        <w:rPr/>
        <w:t>finance</w:t>
      </w:r>
      <w:r>
        <w:rPr>
          <w:spacing w:val="-15"/>
        </w:rPr>
        <w:t> </w:t>
      </w:r>
      <w:r>
        <w:rPr/>
        <w:t>initiatives.</w:t>
      </w:r>
      <w:r>
        <w:rPr>
          <w:spacing w:val="-15"/>
        </w:rPr>
        <w:t> </w:t>
      </w:r>
      <w:r>
        <w:rPr/>
        <w:t>Within</w:t>
      </w:r>
      <w:r>
        <w:rPr>
          <w:spacing w:val="-15"/>
        </w:rPr>
        <w:t> </w:t>
      </w:r>
      <w:r>
        <w:rPr/>
        <w:t>the</w:t>
      </w:r>
      <w:r>
        <w:rPr>
          <w:spacing w:val="-15"/>
        </w:rPr>
        <w:t> </w:t>
      </w:r>
      <w:r>
        <w:rPr/>
        <w:t>AIFC's jurisdiction, the International Financial Centre (IFC) possesses the authority to implement standards divergent from those mandated at the national level.</w:t>
      </w:r>
      <w:r>
        <w:rPr>
          <w:spacing w:val="-1"/>
        </w:rPr>
        <w:t> </w:t>
      </w:r>
      <w:r>
        <w:rPr/>
        <w:t>This enables the IFC to serve as a pioneering</w:t>
      </w:r>
      <w:r>
        <w:rPr>
          <w:spacing w:val="-7"/>
        </w:rPr>
        <w:t> </w:t>
      </w:r>
      <w:r>
        <w:rPr/>
        <w:t>entity,</w:t>
      </w:r>
      <w:r>
        <w:rPr>
          <w:spacing w:val="-4"/>
        </w:rPr>
        <w:t> </w:t>
      </w:r>
      <w:r>
        <w:rPr/>
        <w:t>trialing</w:t>
      </w:r>
      <w:r>
        <w:rPr>
          <w:spacing w:val="-4"/>
        </w:rPr>
        <w:t> </w:t>
      </w:r>
      <w:r>
        <w:rPr/>
        <w:t>and</w:t>
      </w:r>
      <w:r>
        <w:rPr>
          <w:spacing w:val="-4"/>
        </w:rPr>
        <w:t> </w:t>
      </w:r>
      <w:r>
        <w:rPr/>
        <w:t>refining</w:t>
      </w:r>
      <w:r>
        <w:rPr>
          <w:spacing w:val="-4"/>
        </w:rPr>
        <w:t> </w:t>
      </w:r>
      <w:r>
        <w:rPr/>
        <w:t>established</w:t>
      </w:r>
      <w:r>
        <w:rPr>
          <w:spacing w:val="-4"/>
        </w:rPr>
        <w:t> </w:t>
      </w:r>
      <w:r>
        <w:rPr/>
        <w:t>regulations</w:t>
      </w:r>
      <w:r>
        <w:rPr>
          <w:spacing w:val="-5"/>
        </w:rPr>
        <w:t> </w:t>
      </w:r>
      <w:r>
        <w:rPr/>
        <w:t>in</w:t>
      </w:r>
      <w:r>
        <w:rPr>
          <w:spacing w:val="-4"/>
        </w:rPr>
        <w:t> </w:t>
      </w:r>
      <w:r>
        <w:rPr/>
        <w:t>their</w:t>
      </w:r>
      <w:r>
        <w:rPr>
          <w:spacing w:val="-5"/>
        </w:rPr>
        <w:t> </w:t>
      </w:r>
      <w:r>
        <w:rPr/>
        <w:t>nascent</w:t>
      </w:r>
      <w:r>
        <w:rPr>
          <w:spacing w:val="-4"/>
        </w:rPr>
        <w:t> </w:t>
      </w:r>
      <w:r>
        <w:rPr/>
        <w:t>stages</w:t>
      </w:r>
      <w:r>
        <w:rPr>
          <w:spacing w:val="-5"/>
        </w:rPr>
        <w:t> </w:t>
      </w:r>
      <w:r>
        <w:rPr/>
        <w:t>before</w:t>
      </w:r>
      <w:r>
        <w:rPr>
          <w:spacing w:val="-6"/>
        </w:rPr>
        <w:t> </w:t>
      </w:r>
      <w:r>
        <w:rPr/>
        <w:t>wider adoption</w:t>
      </w:r>
      <w:r>
        <w:rPr>
          <w:spacing w:val="-8"/>
        </w:rPr>
        <w:t> </w:t>
      </w:r>
      <w:r>
        <w:rPr/>
        <w:t>across</w:t>
      </w:r>
      <w:r>
        <w:rPr>
          <w:spacing w:val="-6"/>
        </w:rPr>
        <w:t> </w:t>
      </w:r>
      <w:r>
        <w:rPr/>
        <w:t>the</w:t>
      </w:r>
      <w:r>
        <w:rPr>
          <w:spacing w:val="-6"/>
        </w:rPr>
        <w:t> </w:t>
      </w:r>
      <w:r>
        <w:rPr/>
        <w:t>nation.</w:t>
      </w:r>
      <w:r>
        <w:rPr>
          <w:spacing w:val="-6"/>
        </w:rPr>
        <w:t> </w:t>
      </w:r>
      <w:r>
        <w:rPr/>
        <w:t>Furthermore,</w:t>
      </w:r>
      <w:r>
        <w:rPr>
          <w:spacing w:val="-6"/>
        </w:rPr>
        <w:t> </w:t>
      </w:r>
      <w:r>
        <w:rPr/>
        <w:t>the</w:t>
      </w:r>
      <w:r>
        <w:rPr>
          <w:spacing w:val="-15"/>
        </w:rPr>
        <w:t> </w:t>
      </w:r>
      <w:r>
        <w:rPr/>
        <w:t>AIFC</w:t>
      </w:r>
      <w:r>
        <w:rPr>
          <w:spacing w:val="-3"/>
        </w:rPr>
        <w:t> </w:t>
      </w:r>
      <w:r>
        <w:rPr/>
        <w:t>has</w:t>
      </w:r>
      <w:r>
        <w:rPr>
          <w:spacing w:val="-6"/>
        </w:rPr>
        <w:t> </w:t>
      </w:r>
      <w:r>
        <w:rPr/>
        <w:t>proposed</w:t>
      </w:r>
      <w:r>
        <w:rPr>
          <w:spacing w:val="-6"/>
        </w:rPr>
        <w:t> </w:t>
      </w:r>
      <w:r>
        <w:rPr/>
        <w:t>several</w:t>
      </w:r>
      <w:r>
        <w:rPr>
          <w:spacing w:val="-5"/>
        </w:rPr>
        <w:t> </w:t>
      </w:r>
      <w:r>
        <w:rPr/>
        <w:t>legislative</w:t>
      </w:r>
      <w:r>
        <w:rPr>
          <w:spacing w:val="-7"/>
        </w:rPr>
        <w:t> </w:t>
      </w:r>
      <w:r>
        <w:rPr/>
        <w:t>measures.</w:t>
      </w:r>
      <w:r>
        <w:rPr>
          <w:spacing w:val="-10"/>
        </w:rPr>
        <w:t> </w:t>
      </w:r>
      <w:r>
        <w:rPr/>
        <w:t>The green bond market was launched in 2007 through the issuance of the European Investment Bank (EIB)</w:t>
      </w:r>
      <w:r>
        <w:rPr>
          <w:spacing w:val="-7"/>
        </w:rPr>
        <w:t> </w:t>
      </w:r>
      <w:r>
        <w:rPr/>
        <w:t>and</w:t>
      </w:r>
      <w:r>
        <w:rPr>
          <w:spacing w:val="-4"/>
        </w:rPr>
        <w:t> </w:t>
      </w:r>
      <w:r>
        <w:rPr/>
        <w:t>the</w:t>
      </w:r>
      <w:r>
        <w:rPr>
          <w:spacing w:val="-11"/>
        </w:rPr>
        <w:t> </w:t>
      </w:r>
      <w:r>
        <w:rPr/>
        <w:t>World</w:t>
      </w:r>
      <w:r>
        <w:rPr>
          <w:spacing w:val="-3"/>
        </w:rPr>
        <w:t> </w:t>
      </w:r>
      <w:r>
        <w:rPr/>
        <w:t>Bank.</w:t>
      </w:r>
      <w:r>
        <w:rPr>
          <w:spacing w:val="-11"/>
        </w:rPr>
        <w:t> </w:t>
      </w:r>
      <w:r>
        <w:rPr/>
        <w:t>The</w:t>
      </w:r>
      <w:r>
        <w:rPr>
          <w:spacing w:val="-7"/>
        </w:rPr>
        <w:t> </w:t>
      </w:r>
      <w:r>
        <w:rPr/>
        <w:t>broader</w:t>
      </w:r>
      <w:r>
        <w:rPr>
          <w:spacing w:val="-7"/>
        </w:rPr>
        <w:t> </w:t>
      </w:r>
      <w:r>
        <w:rPr/>
        <w:t>bond</w:t>
      </w:r>
      <w:r>
        <w:rPr>
          <w:spacing w:val="-6"/>
        </w:rPr>
        <w:t> </w:t>
      </w:r>
      <w:r>
        <w:rPr/>
        <w:t>market</w:t>
      </w:r>
      <w:r>
        <w:rPr>
          <w:spacing w:val="-5"/>
        </w:rPr>
        <w:t> </w:t>
      </w:r>
      <w:r>
        <w:rPr/>
        <w:t>began</w:t>
      </w:r>
      <w:r>
        <w:rPr>
          <w:spacing w:val="-4"/>
        </w:rPr>
        <w:t> </w:t>
      </w:r>
      <w:r>
        <w:rPr/>
        <w:t>to</w:t>
      </w:r>
      <w:r>
        <w:rPr>
          <w:spacing w:val="-5"/>
        </w:rPr>
        <w:t> </w:t>
      </w:r>
      <w:r>
        <w:rPr/>
        <w:t>react after</w:t>
      </w:r>
      <w:r>
        <w:rPr>
          <w:spacing w:val="-4"/>
        </w:rPr>
        <w:t> </w:t>
      </w:r>
      <w:r>
        <w:rPr/>
        <w:t>the</w:t>
      </w:r>
      <w:r>
        <w:rPr>
          <w:spacing w:val="-6"/>
        </w:rPr>
        <w:t> </w:t>
      </w:r>
      <w:r>
        <w:rPr/>
        <w:t>first</w:t>
      </w:r>
      <w:r>
        <w:rPr>
          <w:spacing w:val="-5"/>
        </w:rPr>
        <w:t> </w:t>
      </w:r>
      <w:r>
        <w:rPr/>
        <w:t>$1</w:t>
      </w:r>
      <w:r>
        <w:rPr>
          <w:spacing w:val="-6"/>
        </w:rPr>
        <w:t> </w:t>
      </w:r>
      <w:r>
        <w:rPr/>
        <w:t>billion</w:t>
      </w:r>
      <w:r>
        <w:rPr>
          <w:spacing w:val="-6"/>
        </w:rPr>
        <w:t> </w:t>
      </w:r>
      <w:r>
        <w:rPr/>
        <w:t>worth of</w:t>
      </w:r>
      <w:r>
        <w:rPr>
          <w:spacing w:val="-8"/>
        </w:rPr>
        <w:t> </w:t>
      </w:r>
      <w:r>
        <w:rPr/>
        <w:t>green</w:t>
      </w:r>
      <w:r>
        <w:rPr>
          <w:spacing w:val="-7"/>
        </w:rPr>
        <w:t> </w:t>
      </w:r>
      <w:r>
        <w:rPr/>
        <w:t>bonds</w:t>
      </w:r>
      <w:r>
        <w:rPr>
          <w:spacing w:val="-7"/>
        </w:rPr>
        <w:t> </w:t>
      </w:r>
      <w:r>
        <w:rPr/>
        <w:t>were</w:t>
      </w:r>
      <w:r>
        <w:rPr>
          <w:spacing w:val="-9"/>
        </w:rPr>
        <w:t> </w:t>
      </w:r>
      <w:r>
        <w:rPr/>
        <w:t>sold</w:t>
      </w:r>
      <w:r>
        <w:rPr>
          <w:spacing w:val="-4"/>
        </w:rPr>
        <w:t> </w:t>
      </w:r>
      <w:r>
        <w:rPr/>
        <w:t>within</w:t>
      </w:r>
      <w:r>
        <w:rPr>
          <w:spacing w:val="-7"/>
        </w:rPr>
        <w:t> </w:t>
      </w:r>
      <w:r>
        <w:rPr/>
        <w:t>an</w:t>
      </w:r>
      <w:r>
        <w:rPr>
          <w:spacing w:val="-7"/>
        </w:rPr>
        <w:t> </w:t>
      </w:r>
      <w:r>
        <w:rPr/>
        <w:t>hour</w:t>
      </w:r>
      <w:r>
        <w:rPr>
          <w:spacing w:val="-8"/>
        </w:rPr>
        <w:t> </w:t>
      </w:r>
      <w:r>
        <w:rPr/>
        <w:t>of</w:t>
      </w:r>
      <w:r>
        <w:rPr>
          <w:spacing w:val="-8"/>
        </w:rPr>
        <w:t> </w:t>
      </w:r>
      <w:r>
        <w:rPr/>
        <w:t>the</w:t>
      </w:r>
      <w:r>
        <w:rPr>
          <w:spacing w:val="-2"/>
        </w:rPr>
        <w:t> </w:t>
      </w:r>
      <w:r>
        <w:rPr/>
        <w:t>International</w:t>
      </w:r>
      <w:r>
        <w:rPr>
          <w:spacing w:val="-7"/>
        </w:rPr>
        <w:t> </w:t>
      </w:r>
      <w:r>
        <w:rPr/>
        <w:t>Finance</w:t>
      </w:r>
      <w:r>
        <w:rPr>
          <w:spacing w:val="-8"/>
        </w:rPr>
        <w:t> </w:t>
      </w:r>
      <w:r>
        <w:rPr/>
        <w:t>Corporation's</w:t>
      </w:r>
      <w:r>
        <w:rPr>
          <w:spacing w:val="-7"/>
        </w:rPr>
        <w:t> </w:t>
      </w:r>
      <w:r>
        <w:rPr/>
        <w:t>issue</w:t>
      </w:r>
      <w:r>
        <w:rPr>
          <w:spacing w:val="-8"/>
        </w:rPr>
        <w:t> </w:t>
      </w:r>
      <w:r>
        <w:rPr/>
        <w:t>in</w:t>
      </w:r>
      <w:r>
        <w:rPr>
          <w:spacing w:val="-7"/>
        </w:rPr>
        <w:t> </w:t>
      </w:r>
      <w:r>
        <w:rPr/>
        <w:t>March 2013 [Table1].</w:t>
      </w:r>
    </w:p>
    <w:p>
      <w:pPr>
        <w:pStyle w:val="BodyText"/>
        <w:spacing w:before="38"/>
      </w:pPr>
    </w:p>
    <w:p>
      <w:pPr>
        <w:pStyle w:val="BodyText"/>
        <w:spacing w:after="18"/>
        <w:ind w:left="993"/>
        <w:jc w:val="both"/>
      </w:pPr>
      <w:r>
        <w:rPr/>
        <w:t>Table</w:t>
      </w:r>
      <w:r>
        <w:rPr>
          <w:spacing w:val="-5"/>
        </w:rPr>
        <w:t> </w:t>
      </w:r>
      <w:r>
        <w:rPr/>
        <w:t>1.</w:t>
      </w:r>
      <w:r>
        <w:rPr>
          <w:spacing w:val="-10"/>
        </w:rPr>
        <w:t> </w:t>
      </w:r>
      <w:r>
        <w:rPr/>
        <w:t>The</w:t>
      </w:r>
      <w:r>
        <w:rPr>
          <w:spacing w:val="-3"/>
        </w:rPr>
        <w:t> </w:t>
      </w:r>
      <w:r>
        <w:rPr/>
        <w:t>Green</w:t>
      </w:r>
      <w:r>
        <w:rPr>
          <w:spacing w:val="-5"/>
        </w:rPr>
        <w:t> </w:t>
      </w:r>
      <w:r>
        <w:rPr/>
        <w:t>Bond</w:t>
      </w:r>
      <w:r>
        <w:rPr>
          <w:spacing w:val="-2"/>
        </w:rPr>
        <w:t> Market</w:t>
      </w:r>
    </w:p>
    <w:tbl>
      <w:tblPr>
        <w:tblW w:w="0" w:type="auto"/>
        <w:jc w:val="left"/>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1"/>
        <w:gridCol w:w="6625"/>
      </w:tblGrid>
      <w:tr>
        <w:trPr>
          <w:trHeight w:val="830" w:hRule="atLeast"/>
        </w:trPr>
        <w:tc>
          <w:tcPr>
            <w:tcW w:w="2691" w:type="dxa"/>
          </w:tcPr>
          <w:p>
            <w:pPr>
              <w:pStyle w:val="TableParagraph"/>
              <w:spacing w:line="273" w:lineRule="exact"/>
              <w:ind w:left="674"/>
              <w:rPr>
                <w:sz w:val="24"/>
              </w:rPr>
            </w:pPr>
            <w:r>
              <w:rPr>
                <w:sz w:val="24"/>
              </w:rPr>
              <w:t>In</w:t>
            </w:r>
            <w:r>
              <w:rPr>
                <w:spacing w:val="-4"/>
                <w:sz w:val="24"/>
              </w:rPr>
              <w:t> 2013</w:t>
            </w:r>
          </w:p>
        </w:tc>
        <w:tc>
          <w:tcPr>
            <w:tcW w:w="6625" w:type="dxa"/>
          </w:tcPr>
          <w:p>
            <w:pPr>
              <w:pStyle w:val="TableParagraph"/>
              <w:spacing w:line="276" w:lineRule="exact"/>
              <w:ind w:right="102"/>
              <w:jc w:val="both"/>
              <w:rPr>
                <w:sz w:val="24"/>
              </w:rPr>
            </w:pPr>
            <w:r>
              <w:rPr>
                <w:sz w:val="24"/>
              </w:rPr>
              <w:t>The first "green" bonds worth $1 billion were sold within an hour after the issue of the International Finance Corporation in March </w:t>
            </w:r>
            <w:r>
              <w:rPr>
                <w:spacing w:val="-2"/>
                <w:sz w:val="24"/>
              </w:rPr>
              <w:t>2013.</w:t>
            </w:r>
          </w:p>
        </w:tc>
      </w:tr>
      <w:tr>
        <w:trPr>
          <w:trHeight w:val="575" w:hRule="atLeast"/>
        </w:trPr>
        <w:tc>
          <w:tcPr>
            <w:tcW w:w="2691" w:type="dxa"/>
          </w:tcPr>
          <w:p>
            <w:pPr>
              <w:pStyle w:val="TableParagraph"/>
              <w:ind w:left="674"/>
              <w:rPr>
                <w:sz w:val="24"/>
              </w:rPr>
            </w:pPr>
            <w:r>
              <w:rPr>
                <w:sz w:val="24"/>
              </w:rPr>
              <w:t>In</w:t>
            </w:r>
            <w:r>
              <w:rPr>
                <w:spacing w:val="-4"/>
                <w:sz w:val="24"/>
              </w:rPr>
              <w:t> 2014</w:t>
            </w:r>
          </w:p>
        </w:tc>
        <w:tc>
          <w:tcPr>
            <w:tcW w:w="6625" w:type="dxa"/>
          </w:tcPr>
          <w:p>
            <w:pPr>
              <w:pStyle w:val="TableParagraph"/>
              <w:rPr>
                <w:sz w:val="24"/>
              </w:rPr>
            </w:pPr>
            <w:r>
              <w:rPr>
                <w:sz w:val="24"/>
              </w:rPr>
              <w:t>At</w:t>
            </w:r>
            <w:r>
              <w:rPr>
                <w:spacing w:val="-1"/>
                <w:sz w:val="24"/>
              </w:rPr>
              <w:t> </w:t>
            </w:r>
            <w:r>
              <w:rPr>
                <w:sz w:val="24"/>
              </w:rPr>
              <w:t>that time,</w:t>
            </w:r>
            <w:r>
              <w:rPr>
                <w:spacing w:val="-1"/>
                <w:sz w:val="24"/>
              </w:rPr>
              <w:t> </w:t>
            </w:r>
            <w:r>
              <w:rPr>
                <w:sz w:val="24"/>
              </w:rPr>
              <w:t>$37 billion</w:t>
            </w:r>
            <w:r>
              <w:rPr>
                <w:spacing w:val="-2"/>
                <w:sz w:val="24"/>
              </w:rPr>
              <w:t> </w:t>
            </w:r>
            <w:r>
              <w:rPr>
                <w:sz w:val="24"/>
              </w:rPr>
              <w:t>worth</w:t>
            </w:r>
            <w:r>
              <w:rPr>
                <w:spacing w:val="-1"/>
                <w:sz w:val="24"/>
              </w:rPr>
              <w:t> </w:t>
            </w:r>
            <w:r>
              <w:rPr>
                <w:sz w:val="24"/>
              </w:rPr>
              <w:t>of "green"</w:t>
            </w:r>
            <w:r>
              <w:rPr>
                <w:spacing w:val="-3"/>
                <w:sz w:val="24"/>
              </w:rPr>
              <w:t> </w:t>
            </w:r>
            <w:r>
              <w:rPr>
                <w:sz w:val="24"/>
              </w:rPr>
              <w:t>securities</w:t>
            </w:r>
            <w:r>
              <w:rPr>
                <w:spacing w:val="-1"/>
                <w:sz w:val="24"/>
              </w:rPr>
              <w:t> </w:t>
            </w:r>
            <w:r>
              <w:rPr>
                <w:sz w:val="24"/>
              </w:rPr>
              <w:t>were</w:t>
            </w:r>
            <w:r>
              <w:rPr>
                <w:spacing w:val="-1"/>
                <w:sz w:val="24"/>
              </w:rPr>
              <w:t> </w:t>
            </w:r>
            <w:r>
              <w:rPr>
                <w:spacing w:val="-2"/>
                <w:sz w:val="24"/>
              </w:rPr>
              <w:t>issued.</w:t>
            </w:r>
          </w:p>
        </w:tc>
      </w:tr>
      <w:tr>
        <w:trPr>
          <w:trHeight w:val="599" w:hRule="atLeast"/>
        </w:trPr>
        <w:tc>
          <w:tcPr>
            <w:tcW w:w="2691" w:type="dxa"/>
          </w:tcPr>
          <w:p>
            <w:pPr>
              <w:pStyle w:val="TableParagraph"/>
              <w:ind w:left="674"/>
              <w:rPr>
                <w:sz w:val="24"/>
              </w:rPr>
            </w:pPr>
            <w:r>
              <w:rPr>
                <w:sz w:val="24"/>
              </w:rPr>
              <w:t>From</w:t>
            </w:r>
            <w:r>
              <w:rPr>
                <w:spacing w:val="-1"/>
                <w:sz w:val="24"/>
              </w:rPr>
              <w:t> </w:t>
            </w:r>
            <w:r>
              <w:rPr>
                <w:sz w:val="24"/>
              </w:rPr>
              <w:t>2015</w:t>
            </w:r>
            <w:r>
              <w:rPr>
                <w:spacing w:val="-1"/>
                <w:sz w:val="24"/>
              </w:rPr>
              <w:t> </w:t>
            </w:r>
            <w:r>
              <w:rPr>
                <w:sz w:val="24"/>
              </w:rPr>
              <w:t>to </w:t>
            </w:r>
            <w:r>
              <w:rPr>
                <w:spacing w:val="-4"/>
                <w:sz w:val="24"/>
              </w:rPr>
              <w:t>2017</w:t>
            </w:r>
          </w:p>
        </w:tc>
        <w:tc>
          <w:tcPr>
            <w:tcW w:w="6625" w:type="dxa"/>
          </w:tcPr>
          <w:p>
            <w:pPr>
              <w:pStyle w:val="TableParagraph"/>
              <w:spacing w:line="240" w:lineRule="auto"/>
              <w:rPr>
                <w:sz w:val="24"/>
              </w:rPr>
            </w:pPr>
            <w:r>
              <w:rPr>
                <w:sz w:val="24"/>
              </w:rPr>
              <w:t>The</w:t>
            </w:r>
            <w:r>
              <w:rPr>
                <w:spacing w:val="40"/>
                <w:sz w:val="24"/>
              </w:rPr>
              <w:t> </w:t>
            </w:r>
            <w:r>
              <w:rPr>
                <w:sz w:val="24"/>
              </w:rPr>
              <w:t>market</w:t>
            </w:r>
            <w:r>
              <w:rPr>
                <w:spacing w:val="40"/>
                <w:sz w:val="24"/>
              </w:rPr>
              <w:t> </w:t>
            </w:r>
            <w:r>
              <w:rPr>
                <w:sz w:val="24"/>
              </w:rPr>
              <w:t>doubled</w:t>
            </w:r>
            <w:r>
              <w:rPr>
                <w:spacing w:val="40"/>
                <w:sz w:val="24"/>
              </w:rPr>
              <w:t> </w:t>
            </w:r>
            <w:r>
              <w:rPr>
                <w:sz w:val="24"/>
              </w:rPr>
              <w:t>annually</w:t>
            </w:r>
            <w:r>
              <w:rPr>
                <w:spacing w:val="40"/>
                <w:sz w:val="24"/>
              </w:rPr>
              <w:t> </w:t>
            </w:r>
            <w:r>
              <w:rPr>
                <w:sz w:val="24"/>
              </w:rPr>
              <w:t>due</w:t>
            </w:r>
            <w:r>
              <w:rPr>
                <w:spacing w:val="40"/>
                <w:sz w:val="24"/>
              </w:rPr>
              <w:t> </w:t>
            </w:r>
            <w:r>
              <w:rPr>
                <w:sz w:val="24"/>
              </w:rPr>
              <w:t>to</w:t>
            </w:r>
            <w:r>
              <w:rPr>
                <w:spacing w:val="40"/>
                <w:sz w:val="24"/>
              </w:rPr>
              <w:t> </w:t>
            </w:r>
            <w:r>
              <w:rPr>
                <w:sz w:val="24"/>
              </w:rPr>
              <w:t>the</w:t>
            </w:r>
            <w:r>
              <w:rPr>
                <w:spacing w:val="40"/>
                <w:sz w:val="24"/>
              </w:rPr>
              <w:t> </w:t>
            </w:r>
            <w:r>
              <w:rPr>
                <w:sz w:val="24"/>
              </w:rPr>
              <w:t>signing</w:t>
            </w:r>
            <w:r>
              <w:rPr>
                <w:spacing w:val="40"/>
                <w:sz w:val="24"/>
              </w:rPr>
              <w:t> </w:t>
            </w:r>
            <w:r>
              <w:rPr>
                <w:sz w:val="24"/>
              </w:rPr>
              <w:t>of</w:t>
            </w:r>
            <w:r>
              <w:rPr>
                <w:spacing w:val="40"/>
                <w:sz w:val="24"/>
              </w:rPr>
              <w:t> </w:t>
            </w:r>
            <w:r>
              <w:rPr>
                <w:sz w:val="24"/>
              </w:rPr>
              <w:t>the</w:t>
            </w:r>
            <w:r>
              <w:rPr>
                <w:spacing w:val="40"/>
                <w:sz w:val="24"/>
              </w:rPr>
              <w:t> </w:t>
            </w:r>
            <w:r>
              <w:rPr>
                <w:sz w:val="24"/>
              </w:rPr>
              <w:t>Paris</w:t>
            </w:r>
            <w:r>
              <w:rPr>
                <w:spacing w:val="40"/>
                <w:sz w:val="24"/>
              </w:rPr>
              <w:t> </w:t>
            </w:r>
            <w:r>
              <w:rPr>
                <w:spacing w:val="-2"/>
                <w:sz w:val="24"/>
              </w:rPr>
              <w:t>Agreement.</w:t>
            </w:r>
          </w:p>
        </w:tc>
      </w:tr>
      <w:tr>
        <w:trPr>
          <w:trHeight w:val="577" w:hRule="atLeast"/>
        </w:trPr>
        <w:tc>
          <w:tcPr>
            <w:tcW w:w="2691" w:type="dxa"/>
          </w:tcPr>
          <w:p>
            <w:pPr>
              <w:pStyle w:val="TableParagraph"/>
              <w:ind w:left="674"/>
              <w:rPr>
                <w:sz w:val="24"/>
              </w:rPr>
            </w:pPr>
            <w:r>
              <w:rPr>
                <w:sz w:val="24"/>
              </w:rPr>
              <w:t>In</w:t>
            </w:r>
            <w:r>
              <w:rPr>
                <w:spacing w:val="-4"/>
                <w:sz w:val="24"/>
              </w:rPr>
              <w:t> 2018</w:t>
            </w:r>
          </w:p>
        </w:tc>
        <w:tc>
          <w:tcPr>
            <w:tcW w:w="6625" w:type="dxa"/>
          </w:tcPr>
          <w:p>
            <w:pPr>
              <w:pStyle w:val="TableParagraph"/>
              <w:spacing w:line="240" w:lineRule="auto"/>
              <w:rPr>
                <w:sz w:val="24"/>
              </w:rPr>
            </w:pPr>
            <w:r>
              <w:rPr>
                <w:sz w:val="24"/>
              </w:rPr>
              <w:t>The</w:t>
            </w:r>
            <w:r>
              <w:rPr>
                <w:spacing w:val="37"/>
                <w:sz w:val="24"/>
              </w:rPr>
              <w:t> </w:t>
            </w:r>
            <w:r>
              <w:rPr>
                <w:sz w:val="24"/>
              </w:rPr>
              <w:t>issue</w:t>
            </w:r>
            <w:r>
              <w:rPr>
                <w:spacing w:val="38"/>
                <w:sz w:val="24"/>
              </w:rPr>
              <w:t> </w:t>
            </w:r>
            <w:r>
              <w:rPr>
                <w:sz w:val="24"/>
              </w:rPr>
              <w:t>of</w:t>
            </w:r>
            <w:r>
              <w:rPr>
                <w:spacing w:val="40"/>
                <w:sz w:val="24"/>
              </w:rPr>
              <w:t> </w:t>
            </w:r>
            <w:r>
              <w:rPr>
                <w:sz w:val="24"/>
              </w:rPr>
              <w:t>"green"</w:t>
            </w:r>
            <w:r>
              <w:rPr>
                <w:spacing w:val="39"/>
                <w:sz w:val="24"/>
              </w:rPr>
              <w:t> </w:t>
            </w:r>
            <w:r>
              <w:rPr>
                <w:sz w:val="24"/>
              </w:rPr>
              <w:t>bonds</w:t>
            </w:r>
            <w:r>
              <w:rPr>
                <w:spacing w:val="39"/>
                <w:sz w:val="24"/>
              </w:rPr>
              <w:t> </w:t>
            </w:r>
            <w:r>
              <w:rPr>
                <w:sz w:val="24"/>
              </w:rPr>
              <w:t>amounted</w:t>
            </w:r>
            <w:r>
              <w:rPr>
                <w:spacing w:val="38"/>
                <w:sz w:val="24"/>
              </w:rPr>
              <w:t> </w:t>
            </w:r>
            <w:r>
              <w:rPr>
                <w:sz w:val="24"/>
              </w:rPr>
              <w:t>to</w:t>
            </w:r>
            <w:r>
              <w:rPr>
                <w:spacing w:val="39"/>
                <w:sz w:val="24"/>
              </w:rPr>
              <w:t> </w:t>
            </w:r>
            <w:r>
              <w:rPr>
                <w:sz w:val="24"/>
              </w:rPr>
              <w:t>$167.3</w:t>
            </w:r>
            <w:r>
              <w:rPr>
                <w:spacing w:val="40"/>
                <w:sz w:val="24"/>
              </w:rPr>
              <w:t> </w:t>
            </w:r>
            <w:r>
              <w:rPr>
                <w:sz w:val="24"/>
              </w:rPr>
              <w:t>billion,</w:t>
            </w:r>
            <w:r>
              <w:rPr>
                <w:spacing w:val="38"/>
                <w:sz w:val="24"/>
              </w:rPr>
              <w:t> </w:t>
            </w:r>
            <w:r>
              <w:rPr>
                <w:sz w:val="24"/>
              </w:rPr>
              <w:t>setting another record.</w:t>
            </w:r>
          </w:p>
        </w:tc>
      </w:tr>
      <w:tr>
        <w:trPr>
          <w:trHeight w:val="585" w:hRule="atLeast"/>
        </w:trPr>
        <w:tc>
          <w:tcPr>
            <w:tcW w:w="2691" w:type="dxa"/>
          </w:tcPr>
          <w:p>
            <w:pPr>
              <w:pStyle w:val="TableParagraph"/>
              <w:spacing w:line="271" w:lineRule="exact"/>
              <w:ind w:left="674"/>
              <w:rPr>
                <w:sz w:val="24"/>
              </w:rPr>
            </w:pPr>
            <w:r>
              <w:rPr>
                <w:sz w:val="24"/>
              </w:rPr>
              <w:t>In</w:t>
            </w:r>
            <w:r>
              <w:rPr>
                <w:spacing w:val="-4"/>
                <w:sz w:val="24"/>
              </w:rPr>
              <w:t> 2019</w:t>
            </w:r>
          </w:p>
        </w:tc>
        <w:tc>
          <w:tcPr>
            <w:tcW w:w="6625" w:type="dxa"/>
          </w:tcPr>
          <w:p>
            <w:pPr>
              <w:pStyle w:val="TableParagraph"/>
              <w:spacing w:line="271" w:lineRule="exact"/>
              <w:rPr>
                <w:sz w:val="24"/>
              </w:rPr>
            </w:pPr>
            <w:r>
              <w:rPr>
                <w:sz w:val="24"/>
              </w:rPr>
              <w:t>The</w:t>
            </w:r>
            <w:r>
              <w:rPr>
                <w:spacing w:val="-4"/>
                <w:sz w:val="24"/>
              </w:rPr>
              <w:t> </w:t>
            </w:r>
            <w:r>
              <w:rPr>
                <w:sz w:val="24"/>
              </w:rPr>
              <w:t>market</w:t>
            </w:r>
            <w:r>
              <w:rPr>
                <w:spacing w:val="-1"/>
                <w:sz w:val="24"/>
              </w:rPr>
              <w:t> </w:t>
            </w:r>
            <w:r>
              <w:rPr>
                <w:sz w:val="24"/>
              </w:rPr>
              <w:t>beat</w:t>
            </w:r>
            <w:r>
              <w:rPr>
                <w:spacing w:val="-2"/>
                <w:sz w:val="24"/>
              </w:rPr>
              <w:t> </w:t>
            </w:r>
            <w:r>
              <w:rPr>
                <w:sz w:val="24"/>
              </w:rPr>
              <w:t>all</w:t>
            </w:r>
            <w:r>
              <w:rPr>
                <w:spacing w:val="-1"/>
                <w:sz w:val="24"/>
              </w:rPr>
              <w:t> </w:t>
            </w:r>
            <w:r>
              <w:rPr>
                <w:sz w:val="24"/>
              </w:rPr>
              <w:t>experts'</w:t>
            </w:r>
            <w:r>
              <w:rPr>
                <w:spacing w:val="-3"/>
                <w:sz w:val="24"/>
              </w:rPr>
              <w:t> </w:t>
            </w:r>
            <w:r>
              <w:rPr>
                <w:sz w:val="24"/>
              </w:rPr>
              <w:t>expectations,</w:t>
            </w:r>
            <w:r>
              <w:rPr>
                <w:spacing w:val="-2"/>
                <w:sz w:val="24"/>
              </w:rPr>
              <w:t> </w:t>
            </w:r>
            <w:r>
              <w:rPr>
                <w:sz w:val="24"/>
              </w:rPr>
              <w:t>reaching</w:t>
            </w:r>
            <w:r>
              <w:rPr>
                <w:spacing w:val="-1"/>
                <w:sz w:val="24"/>
              </w:rPr>
              <w:t> </w:t>
            </w:r>
            <w:r>
              <w:rPr>
                <w:sz w:val="24"/>
              </w:rPr>
              <w:t>$255</w:t>
            </w:r>
            <w:r>
              <w:rPr>
                <w:spacing w:val="-1"/>
                <w:sz w:val="24"/>
              </w:rPr>
              <w:t> </w:t>
            </w:r>
            <w:r>
              <w:rPr>
                <w:spacing w:val="-2"/>
                <w:sz w:val="24"/>
              </w:rPr>
              <w:t>billion.</w:t>
            </w:r>
          </w:p>
        </w:tc>
      </w:tr>
      <w:tr>
        <w:trPr>
          <w:trHeight w:val="585" w:hRule="atLeast"/>
        </w:trPr>
        <w:tc>
          <w:tcPr>
            <w:tcW w:w="2691" w:type="dxa"/>
          </w:tcPr>
          <w:p>
            <w:pPr>
              <w:pStyle w:val="TableParagraph"/>
              <w:ind w:left="674"/>
              <w:rPr>
                <w:sz w:val="24"/>
              </w:rPr>
            </w:pPr>
            <w:r>
              <w:rPr>
                <w:sz w:val="24"/>
              </w:rPr>
              <w:t>In</w:t>
            </w:r>
            <w:r>
              <w:rPr>
                <w:spacing w:val="-4"/>
                <w:sz w:val="24"/>
              </w:rPr>
              <w:t> 2020</w:t>
            </w:r>
          </w:p>
        </w:tc>
        <w:tc>
          <w:tcPr>
            <w:tcW w:w="6625" w:type="dxa"/>
          </w:tcPr>
          <w:p>
            <w:pPr>
              <w:pStyle w:val="TableParagraph"/>
              <w:spacing w:line="240" w:lineRule="auto"/>
              <w:rPr>
                <w:sz w:val="24"/>
              </w:rPr>
            </w:pPr>
            <w:r>
              <w:rPr>
                <w:sz w:val="24"/>
              </w:rPr>
              <w:t>It is</w:t>
            </w:r>
            <w:r>
              <w:rPr>
                <w:spacing w:val="26"/>
                <w:sz w:val="24"/>
              </w:rPr>
              <w:t> </w:t>
            </w:r>
            <w:r>
              <w:rPr>
                <w:sz w:val="24"/>
              </w:rPr>
              <w:t>expected that by the end of 2020, the cumulative market of</w:t>
            </w:r>
            <w:r>
              <w:rPr>
                <w:spacing w:val="80"/>
                <w:sz w:val="24"/>
              </w:rPr>
              <w:t> </w:t>
            </w:r>
            <w:r>
              <w:rPr>
                <w:sz w:val="24"/>
              </w:rPr>
              <w:t>"green" bonds will amount to $ 1 trillion.</w:t>
            </w:r>
          </w:p>
        </w:tc>
      </w:tr>
    </w:tbl>
    <w:p>
      <w:pPr>
        <w:pStyle w:val="BodyText"/>
        <w:spacing w:before="56"/>
      </w:pPr>
    </w:p>
    <w:p>
      <w:pPr>
        <w:pStyle w:val="BodyText"/>
        <w:spacing w:line="271" w:lineRule="auto" w:before="1"/>
        <w:ind w:left="427" w:right="141" w:firstLine="566"/>
        <w:jc w:val="both"/>
      </w:pPr>
      <w:r>
        <w:rPr/>
        <w:t>In November 2017, the</w:t>
      </w:r>
      <w:r>
        <w:rPr>
          <w:spacing w:val="-2"/>
        </w:rPr>
        <w:t> </w:t>
      </w:r>
      <w:r>
        <w:rPr/>
        <w:t>AIFC embraced the</w:t>
      </w:r>
      <w:r>
        <w:rPr>
          <w:spacing w:val="-2"/>
        </w:rPr>
        <w:t> </w:t>
      </w:r>
      <w:r>
        <w:rPr/>
        <w:t>AIFC Regional Leadership Strategy aimed at positioning itself as a center for green finance within the region. Since then, the AIFC has embarked</w:t>
      </w:r>
      <w:r>
        <w:rPr>
          <w:spacing w:val="-11"/>
        </w:rPr>
        <w:t> </w:t>
      </w:r>
      <w:r>
        <w:rPr/>
        <w:t>on</w:t>
      </w:r>
      <w:r>
        <w:rPr>
          <w:spacing w:val="-13"/>
        </w:rPr>
        <w:t> </w:t>
      </w:r>
      <w:r>
        <w:rPr/>
        <w:t>several</w:t>
      </w:r>
      <w:r>
        <w:rPr>
          <w:spacing w:val="-13"/>
        </w:rPr>
        <w:t> </w:t>
      </w:r>
      <w:r>
        <w:rPr/>
        <w:t>initiatives</w:t>
      </w:r>
      <w:r>
        <w:rPr>
          <w:spacing w:val="-13"/>
        </w:rPr>
        <w:t> </w:t>
      </w:r>
      <w:r>
        <w:rPr/>
        <w:t>to</w:t>
      </w:r>
      <w:r>
        <w:rPr>
          <w:spacing w:val="-13"/>
        </w:rPr>
        <w:t> </w:t>
      </w:r>
      <w:r>
        <w:rPr/>
        <w:t>establish</w:t>
      </w:r>
      <w:r>
        <w:rPr>
          <w:spacing w:val="-11"/>
        </w:rPr>
        <w:t> </w:t>
      </w:r>
      <w:r>
        <w:rPr/>
        <w:t>a</w:t>
      </w:r>
      <w:r>
        <w:rPr>
          <w:spacing w:val="-14"/>
        </w:rPr>
        <w:t> </w:t>
      </w:r>
      <w:r>
        <w:rPr/>
        <w:t>functional</w:t>
      </w:r>
      <w:r>
        <w:rPr>
          <w:spacing w:val="-13"/>
        </w:rPr>
        <w:t> </w:t>
      </w:r>
      <w:r>
        <w:rPr/>
        <w:t>regulatory</w:t>
      </w:r>
      <w:r>
        <w:rPr>
          <w:spacing w:val="-12"/>
        </w:rPr>
        <w:t> </w:t>
      </w:r>
      <w:r>
        <w:rPr/>
        <w:t>framework</w:t>
      </w:r>
      <w:r>
        <w:rPr>
          <w:spacing w:val="-14"/>
        </w:rPr>
        <w:t> </w:t>
      </w:r>
      <w:r>
        <w:rPr/>
        <w:t>for</w:t>
      </w:r>
      <w:r>
        <w:rPr>
          <w:spacing w:val="-10"/>
        </w:rPr>
        <w:t> </w:t>
      </w:r>
      <w:r>
        <w:rPr/>
        <w:t>green</w:t>
      </w:r>
      <w:r>
        <w:rPr>
          <w:spacing w:val="-11"/>
        </w:rPr>
        <w:t> </w:t>
      </w:r>
      <w:r>
        <w:rPr/>
        <w:t>financing. This includes the formulation of protocols and guidelines for issuing green bonds adhering to international</w:t>
      </w:r>
      <w:r>
        <w:rPr>
          <w:spacing w:val="-15"/>
        </w:rPr>
        <w:t> </w:t>
      </w:r>
      <w:r>
        <w:rPr/>
        <w:t>standards.</w:t>
      </w:r>
      <w:r>
        <w:rPr>
          <w:spacing w:val="-15"/>
        </w:rPr>
        <w:t> </w:t>
      </w:r>
      <w:r>
        <w:rPr/>
        <w:t>Additionally,</w:t>
      </w:r>
      <w:r>
        <w:rPr>
          <w:spacing w:val="-9"/>
        </w:rPr>
        <w:t> </w:t>
      </w:r>
      <w:r>
        <w:rPr/>
        <w:t>the</w:t>
      </w:r>
      <w:r>
        <w:rPr>
          <w:spacing w:val="-15"/>
        </w:rPr>
        <w:t> </w:t>
      </w:r>
      <w:r>
        <w:rPr/>
        <w:t>AIFC</w:t>
      </w:r>
      <w:r>
        <w:rPr>
          <w:spacing w:val="-7"/>
        </w:rPr>
        <w:t> </w:t>
      </w:r>
      <w:r>
        <w:rPr/>
        <w:t>has</w:t>
      </w:r>
      <w:r>
        <w:rPr>
          <w:spacing w:val="-6"/>
        </w:rPr>
        <w:t> </w:t>
      </w:r>
      <w:r>
        <w:rPr/>
        <w:t>devised</w:t>
      </w:r>
      <w:r>
        <w:rPr>
          <w:spacing w:val="-8"/>
        </w:rPr>
        <w:t> </w:t>
      </w:r>
      <w:r>
        <w:rPr/>
        <w:t>incentives</w:t>
      </w:r>
      <w:r>
        <w:rPr>
          <w:spacing w:val="-6"/>
        </w:rPr>
        <w:t> </w:t>
      </w:r>
      <w:r>
        <w:rPr/>
        <w:t>and</w:t>
      </w:r>
      <w:r>
        <w:rPr>
          <w:spacing w:val="-5"/>
        </w:rPr>
        <w:t> </w:t>
      </w:r>
      <w:r>
        <w:rPr/>
        <w:t>mechanisms</w:t>
      </w:r>
      <w:r>
        <w:rPr>
          <w:spacing w:val="-8"/>
        </w:rPr>
        <w:t> </w:t>
      </w:r>
      <w:r>
        <w:rPr/>
        <w:t>to</w:t>
      </w:r>
      <w:r>
        <w:rPr>
          <w:spacing w:val="-7"/>
        </w:rPr>
        <w:t> </w:t>
      </w:r>
      <w:r>
        <w:rPr/>
        <w:t>support green bonds issuance and has drafted a working taxonomy outlining green projects, tailored to reflect the specificities of the country. [12]</w:t>
      </w:r>
    </w:p>
    <w:p>
      <w:pPr>
        <w:pStyle w:val="BodyText"/>
        <w:spacing w:before="1"/>
        <w:ind w:left="993"/>
        <w:jc w:val="both"/>
      </w:pPr>
      <w:r>
        <w:rPr/>
        <w:t>Table</w:t>
      </w:r>
      <w:r>
        <w:rPr>
          <w:spacing w:val="-7"/>
        </w:rPr>
        <w:t> </w:t>
      </w:r>
      <w:r>
        <w:rPr/>
        <w:t>2.</w:t>
      </w:r>
      <w:r>
        <w:rPr>
          <w:spacing w:val="-7"/>
        </w:rPr>
        <w:t> </w:t>
      </w:r>
      <w:r>
        <w:rPr/>
        <w:t>GREEN</w:t>
      </w:r>
      <w:r>
        <w:rPr>
          <w:spacing w:val="-6"/>
        </w:rPr>
        <w:t> </w:t>
      </w:r>
      <w:r>
        <w:rPr>
          <w:spacing w:val="-4"/>
        </w:rPr>
        <w:t>BONDS</w:t>
      </w:r>
    </w:p>
    <w:p>
      <w:pPr>
        <w:pStyle w:val="BodyText"/>
        <w:spacing w:after="0"/>
        <w:jc w:val="both"/>
        <w:sectPr>
          <w:pgSz w:w="11910" w:h="16840"/>
          <w:pgMar w:header="0" w:footer="1262" w:top="1060" w:bottom="1460" w:left="1275" w:right="708"/>
        </w:sectPr>
      </w:pPr>
    </w:p>
    <w:p>
      <w:pPr>
        <w:pStyle w:val="BodyText"/>
        <w:ind w:left="426"/>
        <w:rPr>
          <w:sz w:val="20"/>
        </w:rPr>
      </w:pPr>
      <w:r>
        <w:rPr>
          <w:sz w:val="20"/>
        </w:rPr>
        <w:drawing>
          <wp:inline distT="0" distB="0" distL="0" distR="0">
            <wp:extent cx="5912998" cy="4145661"/>
            <wp:effectExtent l="0" t="0" r="0" b="0"/>
            <wp:docPr id="9" name="Image 9"/>
            <wp:cNvGraphicFramePr>
              <a:graphicFrameLocks/>
            </wp:cNvGraphicFramePr>
            <a:graphic>
              <a:graphicData uri="http://schemas.openxmlformats.org/drawingml/2006/picture">
                <pic:pic>
                  <pic:nvPicPr>
                    <pic:cNvPr id="9" name="Image 9"/>
                    <pic:cNvPicPr/>
                  </pic:nvPicPr>
                  <pic:blipFill>
                    <a:blip r:embed="rId16" cstate="print"/>
                    <a:stretch>
                      <a:fillRect/>
                    </a:stretch>
                  </pic:blipFill>
                  <pic:spPr>
                    <a:xfrm>
                      <a:off x="0" y="0"/>
                      <a:ext cx="5912998" cy="4145661"/>
                    </a:xfrm>
                    <a:prstGeom prst="rect">
                      <a:avLst/>
                    </a:prstGeom>
                  </pic:spPr>
                </pic:pic>
              </a:graphicData>
            </a:graphic>
          </wp:inline>
        </w:drawing>
      </w:r>
      <w:r>
        <w:rPr>
          <w:sz w:val="20"/>
        </w:rPr>
      </w:r>
    </w:p>
    <w:p>
      <w:pPr>
        <w:pStyle w:val="BodyText"/>
        <w:spacing w:line="271" w:lineRule="auto" w:before="168"/>
        <w:ind w:left="427" w:right="142" w:firstLine="566"/>
        <w:jc w:val="both"/>
      </w:pPr>
      <w:r>
        <w:rPr/>
        <w:t>Sustainable</w:t>
      </w:r>
      <w:r>
        <w:rPr>
          <w:spacing w:val="-6"/>
        </w:rPr>
        <w:t> </w:t>
      </w:r>
      <w:r>
        <w:rPr/>
        <w:t>Development</w:t>
      </w:r>
      <w:r>
        <w:rPr>
          <w:spacing w:val="-5"/>
        </w:rPr>
        <w:t> </w:t>
      </w:r>
      <w:r>
        <w:rPr/>
        <w:t>Bonds</w:t>
      </w:r>
      <w:r>
        <w:rPr>
          <w:spacing w:val="-6"/>
        </w:rPr>
        <w:t> </w:t>
      </w:r>
      <w:r>
        <w:rPr/>
        <w:t>(ESG</w:t>
      </w:r>
      <w:r>
        <w:rPr>
          <w:spacing w:val="-6"/>
        </w:rPr>
        <w:t> </w:t>
      </w:r>
      <w:r>
        <w:rPr/>
        <w:t>bonds)</w:t>
      </w:r>
      <w:r>
        <w:rPr>
          <w:spacing w:val="-6"/>
        </w:rPr>
        <w:t> </w:t>
      </w:r>
      <w:r>
        <w:rPr/>
        <w:t>are</w:t>
      </w:r>
      <w:r>
        <w:rPr>
          <w:spacing w:val="-5"/>
        </w:rPr>
        <w:t> </w:t>
      </w:r>
      <w:r>
        <w:rPr/>
        <w:t>aimed</w:t>
      </w:r>
      <w:r>
        <w:rPr>
          <w:spacing w:val="-6"/>
        </w:rPr>
        <w:t> </w:t>
      </w:r>
      <w:r>
        <w:rPr/>
        <w:t>at</w:t>
      </w:r>
      <w:r>
        <w:rPr>
          <w:spacing w:val="-5"/>
        </w:rPr>
        <w:t> </w:t>
      </w:r>
      <w:r>
        <w:rPr/>
        <w:t>financing</w:t>
      </w:r>
      <w:r>
        <w:rPr>
          <w:spacing w:val="-8"/>
        </w:rPr>
        <w:t> </w:t>
      </w:r>
      <w:r>
        <w:rPr/>
        <w:t>projects</w:t>
      </w:r>
      <w:r>
        <w:rPr>
          <w:spacing w:val="-5"/>
        </w:rPr>
        <w:t> </w:t>
      </w:r>
      <w:r>
        <w:rPr/>
        <w:t>in</w:t>
      </w:r>
      <w:r>
        <w:rPr>
          <w:spacing w:val="-5"/>
        </w:rPr>
        <w:t> </w:t>
      </w:r>
      <w:r>
        <w:rPr/>
        <w:t>the</w:t>
      </w:r>
      <w:r>
        <w:rPr>
          <w:spacing w:val="-6"/>
        </w:rPr>
        <w:t> </w:t>
      </w:r>
      <w:r>
        <w:rPr/>
        <w:t>field</w:t>
      </w:r>
      <w:r>
        <w:rPr>
          <w:spacing w:val="-5"/>
        </w:rPr>
        <w:t> </w:t>
      </w:r>
      <w:r>
        <w:rPr/>
        <w:t>of ecology, environmental protection and social field. They are represented by green bonds, social bonds and other bonds issued specifically to finance sustainable development projects.</w:t>
      </w:r>
    </w:p>
    <w:p>
      <w:pPr>
        <w:pStyle w:val="BodyText"/>
        <w:spacing w:line="271" w:lineRule="auto" w:before="1"/>
        <w:ind w:left="427" w:right="142" w:firstLine="566"/>
        <w:jc w:val="both"/>
      </w:pPr>
      <w:r>
        <w:rPr/>
        <w:t>In</w:t>
      </w:r>
      <w:r>
        <w:rPr>
          <w:spacing w:val="-15"/>
        </w:rPr>
        <w:t> </w:t>
      </w:r>
      <w:r>
        <w:rPr/>
        <w:t>April</w:t>
      </w:r>
      <w:r>
        <w:rPr>
          <w:spacing w:val="-15"/>
        </w:rPr>
        <w:t> </w:t>
      </w:r>
      <w:r>
        <w:rPr/>
        <w:t>2019,</w:t>
      </w:r>
      <w:r>
        <w:rPr>
          <w:spacing w:val="-14"/>
        </w:rPr>
        <w:t> </w:t>
      </w:r>
      <w:r>
        <w:rPr/>
        <w:t>the</w:t>
      </w:r>
      <w:r>
        <w:rPr>
          <w:spacing w:val="-15"/>
        </w:rPr>
        <w:t> </w:t>
      </w:r>
      <w:r>
        <w:rPr/>
        <w:t>AIFC</w:t>
      </w:r>
      <w:r>
        <w:rPr>
          <w:spacing w:val="-5"/>
        </w:rPr>
        <w:t> </w:t>
      </w:r>
      <w:r>
        <w:rPr/>
        <w:t>Exchange</w:t>
      </w:r>
      <w:r>
        <w:rPr>
          <w:spacing w:val="-9"/>
        </w:rPr>
        <w:t> </w:t>
      </w:r>
      <w:r>
        <w:rPr/>
        <w:t>became</w:t>
      </w:r>
      <w:r>
        <w:rPr>
          <w:spacing w:val="-9"/>
        </w:rPr>
        <w:t> </w:t>
      </w:r>
      <w:r>
        <w:rPr/>
        <w:t>a</w:t>
      </w:r>
      <w:r>
        <w:rPr>
          <w:spacing w:val="-12"/>
        </w:rPr>
        <w:t> </w:t>
      </w:r>
      <w:r>
        <w:rPr/>
        <w:t>signatory</w:t>
      </w:r>
      <w:r>
        <w:rPr>
          <w:spacing w:val="-15"/>
        </w:rPr>
        <w:t> </w:t>
      </w:r>
      <w:r>
        <w:rPr/>
        <w:t>to</w:t>
      </w:r>
      <w:r>
        <w:rPr>
          <w:spacing w:val="-8"/>
        </w:rPr>
        <w:t> </w:t>
      </w:r>
      <w:r>
        <w:rPr/>
        <w:t>the</w:t>
      </w:r>
      <w:r>
        <w:rPr>
          <w:spacing w:val="-11"/>
        </w:rPr>
        <w:t> </w:t>
      </w:r>
      <w:r>
        <w:rPr/>
        <w:t>Principles</w:t>
      </w:r>
      <w:r>
        <w:rPr>
          <w:spacing w:val="-8"/>
        </w:rPr>
        <w:t> </w:t>
      </w:r>
      <w:r>
        <w:rPr/>
        <w:t>of</w:t>
      </w:r>
      <w:r>
        <w:rPr>
          <w:spacing w:val="-9"/>
        </w:rPr>
        <w:t> </w:t>
      </w:r>
      <w:r>
        <w:rPr/>
        <w:t>Green</w:t>
      </w:r>
      <w:r>
        <w:rPr>
          <w:spacing w:val="-6"/>
        </w:rPr>
        <w:t> </w:t>
      </w:r>
      <w:r>
        <w:rPr/>
        <w:t>Investment under</w:t>
      </w:r>
      <w:r>
        <w:rPr>
          <w:spacing w:val="-8"/>
        </w:rPr>
        <w:t> </w:t>
      </w:r>
      <w:r>
        <w:rPr/>
        <w:t>the</w:t>
      </w:r>
      <w:r>
        <w:rPr>
          <w:spacing w:val="-8"/>
        </w:rPr>
        <w:t> </w:t>
      </w:r>
      <w:r>
        <w:rPr/>
        <w:t>Belt</w:t>
      </w:r>
      <w:r>
        <w:rPr>
          <w:spacing w:val="-7"/>
        </w:rPr>
        <w:t> </w:t>
      </w:r>
      <w:r>
        <w:rPr/>
        <w:t>and</w:t>
      </w:r>
      <w:r>
        <w:rPr>
          <w:spacing w:val="-8"/>
        </w:rPr>
        <w:t> </w:t>
      </w:r>
      <w:r>
        <w:rPr/>
        <w:t>Road</w:t>
      </w:r>
      <w:r>
        <w:rPr>
          <w:spacing w:val="-8"/>
        </w:rPr>
        <w:t> </w:t>
      </w:r>
      <w:r>
        <w:rPr/>
        <w:t>program,</w:t>
      </w:r>
      <w:r>
        <w:rPr>
          <w:spacing w:val="-7"/>
        </w:rPr>
        <w:t> </w:t>
      </w:r>
      <w:r>
        <w:rPr/>
        <w:t>underscoring</w:t>
      </w:r>
      <w:r>
        <w:rPr>
          <w:spacing w:val="-9"/>
        </w:rPr>
        <w:t> </w:t>
      </w:r>
      <w:r>
        <w:rPr/>
        <w:t>its</w:t>
      </w:r>
      <w:r>
        <w:rPr>
          <w:spacing w:val="-8"/>
        </w:rPr>
        <w:t> </w:t>
      </w:r>
      <w:r>
        <w:rPr/>
        <w:t>commitment</w:t>
      </w:r>
      <w:r>
        <w:rPr>
          <w:spacing w:val="-9"/>
        </w:rPr>
        <w:t> </w:t>
      </w:r>
      <w:r>
        <w:rPr/>
        <w:t>to</w:t>
      </w:r>
      <w:r>
        <w:rPr>
          <w:spacing w:val="-7"/>
        </w:rPr>
        <w:t> </w:t>
      </w:r>
      <w:r>
        <w:rPr/>
        <w:t>sustainable</w:t>
      </w:r>
      <w:r>
        <w:rPr>
          <w:spacing w:val="-8"/>
        </w:rPr>
        <w:t> </w:t>
      </w:r>
      <w:r>
        <w:rPr/>
        <w:t>finance.</w:t>
      </w:r>
      <w:r>
        <w:rPr>
          <w:spacing w:val="-8"/>
        </w:rPr>
        <w:t> </w:t>
      </w:r>
      <w:r>
        <w:rPr/>
        <w:t>Moreover, to</w:t>
      </w:r>
      <w:r>
        <w:rPr>
          <w:spacing w:val="-15"/>
        </w:rPr>
        <w:t> </w:t>
      </w:r>
      <w:r>
        <w:rPr/>
        <w:t>foster</w:t>
      </w:r>
      <w:r>
        <w:rPr>
          <w:spacing w:val="-11"/>
        </w:rPr>
        <w:t> </w:t>
      </w:r>
      <w:r>
        <w:rPr/>
        <w:t>the</w:t>
      </w:r>
      <w:r>
        <w:rPr>
          <w:spacing w:val="-11"/>
        </w:rPr>
        <w:t> </w:t>
      </w:r>
      <w:r>
        <w:rPr/>
        <w:t>growth</w:t>
      </w:r>
      <w:r>
        <w:rPr>
          <w:spacing w:val="-10"/>
        </w:rPr>
        <w:t> </w:t>
      </w:r>
      <w:r>
        <w:rPr/>
        <w:t>and</w:t>
      </w:r>
      <w:r>
        <w:rPr>
          <w:spacing w:val="-11"/>
        </w:rPr>
        <w:t> </w:t>
      </w:r>
      <w:r>
        <w:rPr/>
        <w:t>dissemination</w:t>
      </w:r>
      <w:r>
        <w:rPr>
          <w:spacing w:val="-11"/>
        </w:rPr>
        <w:t> </w:t>
      </w:r>
      <w:r>
        <w:rPr/>
        <w:t>of</w:t>
      </w:r>
      <w:r>
        <w:rPr>
          <w:spacing w:val="-11"/>
        </w:rPr>
        <w:t> </w:t>
      </w:r>
      <w:r>
        <w:rPr/>
        <w:t>green</w:t>
      </w:r>
      <w:r>
        <w:rPr>
          <w:spacing w:val="-11"/>
        </w:rPr>
        <w:t> </w:t>
      </w:r>
      <w:r>
        <w:rPr/>
        <w:t>finance</w:t>
      </w:r>
      <w:r>
        <w:rPr>
          <w:spacing w:val="-12"/>
        </w:rPr>
        <w:t> </w:t>
      </w:r>
      <w:r>
        <w:rPr/>
        <w:t>in</w:t>
      </w:r>
      <w:r>
        <w:rPr>
          <w:spacing w:val="-10"/>
        </w:rPr>
        <w:t> </w:t>
      </w:r>
      <w:r>
        <w:rPr/>
        <w:t>Kazakhstan</w:t>
      </w:r>
      <w:r>
        <w:rPr>
          <w:spacing w:val="-11"/>
        </w:rPr>
        <w:t> </w:t>
      </w:r>
      <w:r>
        <w:rPr/>
        <w:t>and</w:t>
      </w:r>
      <w:r>
        <w:rPr>
          <w:spacing w:val="-11"/>
        </w:rPr>
        <w:t> </w:t>
      </w:r>
      <w:r>
        <w:rPr/>
        <w:t>the</w:t>
      </w:r>
      <w:r>
        <w:rPr>
          <w:spacing w:val="-11"/>
        </w:rPr>
        <w:t> </w:t>
      </w:r>
      <w:r>
        <w:rPr/>
        <w:t>wider</w:t>
      </w:r>
      <w:r>
        <w:rPr>
          <w:spacing w:val="-11"/>
        </w:rPr>
        <w:t> </w:t>
      </w:r>
      <w:r>
        <w:rPr/>
        <w:t>Central</w:t>
      </w:r>
      <w:r>
        <w:rPr>
          <w:spacing w:val="-15"/>
        </w:rPr>
        <w:t> </w:t>
      </w:r>
      <w:r>
        <w:rPr/>
        <w:t>Asian region, the</w:t>
      </w:r>
      <w:r>
        <w:rPr>
          <w:spacing w:val="-7"/>
        </w:rPr>
        <w:t> </w:t>
      </w:r>
      <w:r>
        <w:rPr/>
        <w:t>AIFC has established the Green Center for Green Finance [12].</w:t>
      </w:r>
    </w:p>
    <w:p>
      <w:pPr>
        <w:pStyle w:val="Heading3"/>
      </w:pPr>
      <w:r>
        <w:rPr>
          <w:spacing w:val="-2"/>
        </w:rPr>
        <w:t>Conclusion</w:t>
      </w:r>
    </w:p>
    <w:p>
      <w:pPr>
        <w:pStyle w:val="BodyText"/>
        <w:spacing w:line="271" w:lineRule="auto" w:before="232"/>
        <w:ind w:left="427" w:right="140" w:firstLine="566"/>
        <w:jc w:val="both"/>
      </w:pPr>
      <w:r>
        <w:rPr/>
        <w:t>In</w:t>
      </w:r>
      <w:r>
        <w:rPr>
          <w:spacing w:val="-6"/>
        </w:rPr>
        <w:t> </w:t>
      </w:r>
      <w:r>
        <w:rPr/>
        <w:t>conclusion,</w:t>
      </w:r>
      <w:r>
        <w:rPr>
          <w:spacing w:val="-8"/>
        </w:rPr>
        <w:t> </w:t>
      </w:r>
      <w:r>
        <w:rPr/>
        <w:t>in</w:t>
      </w:r>
      <w:r>
        <w:rPr>
          <w:spacing w:val="-8"/>
        </w:rPr>
        <w:t> </w:t>
      </w:r>
      <w:r>
        <w:rPr/>
        <w:t>this</w:t>
      </w:r>
      <w:r>
        <w:rPr>
          <w:spacing w:val="-8"/>
        </w:rPr>
        <w:t> </w:t>
      </w:r>
      <w:r>
        <w:rPr/>
        <w:t>article,</w:t>
      </w:r>
      <w:r>
        <w:rPr>
          <w:spacing w:val="-6"/>
        </w:rPr>
        <w:t> </w:t>
      </w:r>
      <w:r>
        <w:rPr/>
        <w:t>I</w:t>
      </w:r>
      <w:r>
        <w:rPr>
          <w:spacing w:val="-11"/>
        </w:rPr>
        <w:t> </w:t>
      </w:r>
      <w:r>
        <w:rPr/>
        <w:t>explained</w:t>
      </w:r>
      <w:r>
        <w:rPr>
          <w:spacing w:val="-8"/>
        </w:rPr>
        <w:t> </w:t>
      </w:r>
      <w:r>
        <w:rPr/>
        <w:t>about</w:t>
      </w:r>
      <w:r>
        <w:rPr>
          <w:spacing w:val="-8"/>
        </w:rPr>
        <w:t> </w:t>
      </w:r>
      <w:r>
        <w:rPr/>
        <w:t>green</w:t>
      </w:r>
      <w:r>
        <w:rPr>
          <w:spacing w:val="-8"/>
        </w:rPr>
        <w:t> </w:t>
      </w:r>
      <w:r>
        <w:rPr/>
        <w:t>banks,</w:t>
      </w:r>
      <w:r>
        <w:rPr>
          <w:spacing w:val="-8"/>
        </w:rPr>
        <w:t> </w:t>
      </w:r>
      <w:r>
        <w:rPr/>
        <w:t>its</w:t>
      </w:r>
      <w:r>
        <w:rPr>
          <w:spacing w:val="-8"/>
        </w:rPr>
        <w:t> </w:t>
      </w:r>
      <w:r>
        <w:rPr/>
        <w:t>full</w:t>
      </w:r>
      <w:r>
        <w:rPr>
          <w:spacing w:val="-8"/>
        </w:rPr>
        <w:t> </w:t>
      </w:r>
      <w:r>
        <w:rPr/>
        <w:t>meaning</w:t>
      </w:r>
      <w:r>
        <w:rPr>
          <w:spacing w:val="-8"/>
        </w:rPr>
        <w:t> </w:t>
      </w:r>
      <w:r>
        <w:rPr/>
        <w:t>and</w:t>
      </w:r>
      <w:r>
        <w:rPr>
          <w:spacing w:val="-8"/>
        </w:rPr>
        <w:t> </w:t>
      </w:r>
      <w:r>
        <w:rPr/>
        <w:t>reported</w:t>
      </w:r>
      <w:r>
        <w:rPr>
          <w:spacing w:val="-8"/>
        </w:rPr>
        <w:t> </w:t>
      </w:r>
      <w:r>
        <w:rPr/>
        <w:t>on green finance in the Republic of Kazakhstan. Currently, "green banking" is a topic under discussion</w:t>
      </w:r>
      <w:r>
        <w:rPr>
          <w:spacing w:val="-12"/>
        </w:rPr>
        <w:t> </w:t>
      </w:r>
      <w:r>
        <w:rPr/>
        <w:t>within</w:t>
      </w:r>
      <w:r>
        <w:rPr>
          <w:spacing w:val="-14"/>
        </w:rPr>
        <w:t> </w:t>
      </w:r>
      <w:r>
        <w:rPr/>
        <w:t>the</w:t>
      </w:r>
      <w:r>
        <w:rPr>
          <w:spacing w:val="-12"/>
        </w:rPr>
        <w:t> </w:t>
      </w:r>
      <w:r>
        <w:rPr/>
        <w:t>bustling</w:t>
      </w:r>
      <w:r>
        <w:rPr>
          <w:spacing w:val="-14"/>
        </w:rPr>
        <w:t> </w:t>
      </w:r>
      <w:r>
        <w:rPr/>
        <w:t>banking</w:t>
      </w:r>
      <w:r>
        <w:rPr>
          <w:spacing w:val="-14"/>
        </w:rPr>
        <w:t> </w:t>
      </w:r>
      <w:r>
        <w:rPr/>
        <w:t>sector,</w:t>
      </w:r>
      <w:r>
        <w:rPr>
          <w:spacing w:val="-12"/>
        </w:rPr>
        <w:t> </w:t>
      </w:r>
      <w:r>
        <w:rPr/>
        <w:t>considering</w:t>
      </w:r>
      <w:r>
        <w:rPr>
          <w:spacing w:val="-14"/>
        </w:rPr>
        <w:t> </w:t>
      </w:r>
      <w:r>
        <w:rPr/>
        <w:t>various</w:t>
      </w:r>
      <w:r>
        <w:rPr>
          <w:spacing w:val="-12"/>
        </w:rPr>
        <w:t> </w:t>
      </w:r>
      <w:r>
        <w:rPr/>
        <w:t>aspects</w:t>
      </w:r>
      <w:r>
        <w:rPr>
          <w:spacing w:val="-11"/>
        </w:rPr>
        <w:t> </w:t>
      </w:r>
      <w:r>
        <w:rPr/>
        <w:t>of</w:t>
      </w:r>
      <w:r>
        <w:rPr>
          <w:spacing w:val="-10"/>
        </w:rPr>
        <w:t> </w:t>
      </w:r>
      <w:r>
        <w:rPr/>
        <w:t>green</w:t>
      </w:r>
      <w:r>
        <w:rPr>
          <w:spacing w:val="-12"/>
        </w:rPr>
        <w:t> </w:t>
      </w:r>
      <w:r>
        <w:rPr/>
        <w:t>banking.</w:t>
      </w:r>
      <w:r>
        <w:rPr>
          <w:spacing w:val="-15"/>
        </w:rPr>
        <w:t> </w:t>
      </w:r>
      <w:r>
        <w:rPr/>
        <w:t>These aspects encompass "green marketing," "green financing," "green operations," and so forth.</w:t>
      </w:r>
    </w:p>
    <w:p>
      <w:pPr>
        <w:pStyle w:val="BodyText"/>
        <w:spacing w:before="38"/>
      </w:pPr>
    </w:p>
    <w:p>
      <w:pPr>
        <w:pStyle w:val="BodyText"/>
        <w:ind w:left="993"/>
      </w:pPr>
      <w:r>
        <w:rPr>
          <w:spacing w:val="-2"/>
        </w:rPr>
        <w:t>References</w:t>
      </w:r>
    </w:p>
    <w:p>
      <w:pPr>
        <w:pStyle w:val="ListParagraph"/>
        <w:numPr>
          <w:ilvl w:val="0"/>
          <w:numId w:val="2"/>
        </w:numPr>
        <w:tabs>
          <w:tab w:pos="1134" w:val="left" w:leader="none"/>
        </w:tabs>
        <w:spacing w:line="271" w:lineRule="auto" w:before="36" w:after="0"/>
        <w:ind w:left="427" w:right="139" w:firstLine="0"/>
        <w:jc w:val="left"/>
        <w:rPr>
          <w:sz w:val="24"/>
        </w:rPr>
      </w:pPr>
      <w:bookmarkStart w:name="1. Curious About Green Banking? By Nikky" w:id="1"/>
      <w:bookmarkEnd w:id="1"/>
      <w:r>
        <w:rPr/>
      </w:r>
      <w:r>
        <w:rPr>
          <w:sz w:val="24"/>
        </w:rPr>
        <w:t>Curious</w:t>
      </w:r>
      <w:r>
        <w:rPr>
          <w:spacing w:val="40"/>
          <w:sz w:val="24"/>
        </w:rPr>
        <w:t> </w:t>
      </w:r>
      <w:r>
        <w:rPr>
          <w:sz w:val="24"/>
        </w:rPr>
        <w:t>About</w:t>
      </w:r>
      <w:r>
        <w:rPr>
          <w:spacing w:val="40"/>
          <w:sz w:val="24"/>
        </w:rPr>
        <w:t> </w:t>
      </w:r>
      <w:r>
        <w:rPr>
          <w:sz w:val="24"/>
        </w:rPr>
        <w:t>Green</w:t>
      </w:r>
      <w:r>
        <w:rPr>
          <w:spacing w:val="40"/>
          <w:sz w:val="24"/>
        </w:rPr>
        <w:t> </w:t>
      </w:r>
      <w:r>
        <w:rPr>
          <w:sz w:val="24"/>
        </w:rPr>
        <w:t>Banking?</w:t>
      </w:r>
      <w:r>
        <w:rPr>
          <w:spacing w:val="40"/>
          <w:sz w:val="24"/>
        </w:rPr>
        <w:t> </w:t>
      </w:r>
      <w:r>
        <w:rPr>
          <w:sz w:val="24"/>
        </w:rPr>
        <w:t>By</w:t>
      </w:r>
      <w:r>
        <w:rPr>
          <w:spacing w:val="-7"/>
          <w:sz w:val="24"/>
        </w:rPr>
        <w:t> </w:t>
      </w:r>
      <w:r>
        <w:rPr>
          <w:sz w:val="24"/>
        </w:rPr>
        <w:t>Nikky</w:t>
      </w:r>
      <w:r>
        <w:rPr>
          <w:spacing w:val="40"/>
          <w:sz w:val="24"/>
        </w:rPr>
        <w:t> </w:t>
      </w:r>
      <w:r>
        <w:rPr>
          <w:sz w:val="24"/>
        </w:rPr>
        <w:t>Engelen</w:t>
      </w:r>
      <w:r>
        <w:rPr>
          <w:spacing w:val="40"/>
          <w:sz w:val="24"/>
        </w:rPr>
        <w:t> </w:t>
      </w:r>
      <w:r>
        <w:rPr>
          <w:sz w:val="24"/>
        </w:rPr>
        <w:t>makechange.aspiration.com/green- </w:t>
      </w:r>
      <w:r>
        <w:rPr>
          <w:spacing w:val="-2"/>
          <w:sz w:val="24"/>
        </w:rPr>
        <w:t>banking/</w:t>
      </w:r>
    </w:p>
    <w:p>
      <w:pPr>
        <w:pStyle w:val="ListParagraph"/>
        <w:numPr>
          <w:ilvl w:val="0"/>
          <w:numId w:val="2"/>
        </w:numPr>
        <w:tabs>
          <w:tab w:pos="1134" w:val="left" w:leader="none"/>
        </w:tabs>
        <w:spacing w:line="271" w:lineRule="auto" w:before="0" w:after="0"/>
        <w:ind w:left="427" w:right="140" w:firstLine="0"/>
        <w:jc w:val="left"/>
        <w:rPr>
          <w:sz w:val="24"/>
        </w:rPr>
      </w:pPr>
      <w:bookmarkStart w:name="2. Green light for green credit? Evidenc" w:id="2"/>
      <w:bookmarkEnd w:id="2"/>
      <w:r>
        <w:rPr/>
      </w:r>
      <w:r>
        <w:rPr>
          <w:sz w:val="24"/>
        </w:rPr>
        <w:t>Green light</w:t>
      </w:r>
      <w:r>
        <w:rPr>
          <w:spacing w:val="21"/>
          <w:sz w:val="24"/>
        </w:rPr>
        <w:t> </w:t>
      </w:r>
      <w:r>
        <w:rPr>
          <w:sz w:val="24"/>
        </w:rPr>
        <w:t>for</w:t>
      </w:r>
      <w:r>
        <w:rPr>
          <w:spacing w:val="22"/>
          <w:sz w:val="24"/>
        </w:rPr>
        <w:t> </w:t>
      </w:r>
      <w:r>
        <w:rPr>
          <w:sz w:val="24"/>
        </w:rPr>
        <w:t>green</w:t>
      </w:r>
      <w:r>
        <w:rPr>
          <w:spacing w:val="23"/>
          <w:sz w:val="24"/>
        </w:rPr>
        <w:t> </w:t>
      </w:r>
      <w:r>
        <w:rPr>
          <w:sz w:val="24"/>
        </w:rPr>
        <w:t>credit?</w:t>
      </w:r>
      <w:r>
        <w:rPr>
          <w:spacing w:val="24"/>
          <w:sz w:val="24"/>
        </w:rPr>
        <w:t> </w:t>
      </w:r>
      <w:r>
        <w:rPr>
          <w:sz w:val="24"/>
        </w:rPr>
        <w:t>Evidence from</w:t>
      </w:r>
      <w:r>
        <w:rPr>
          <w:spacing w:val="21"/>
          <w:sz w:val="24"/>
        </w:rPr>
        <w:t> </w:t>
      </w:r>
      <w:r>
        <w:rPr>
          <w:sz w:val="24"/>
        </w:rPr>
        <w:t>its</w:t>
      </w:r>
      <w:r>
        <w:rPr>
          <w:spacing w:val="23"/>
          <w:sz w:val="24"/>
        </w:rPr>
        <w:t> </w:t>
      </w:r>
      <w:r>
        <w:rPr>
          <w:sz w:val="24"/>
        </w:rPr>
        <w:t>impact</w:t>
      </w:r>
      <w:r>
        <w:rPr>
          <w:spacing w:val="21"/>
          <w:sz w:val="24"/>
        </w:rPr>
        <w:t> </w:t>
      </w:r>
      <w:r>
        <w:rPr>
          <w:sz w:val="24"/>
        </w:rPr>
        <w:t>on bank</w:t>
      </w:r>
      <w:r>
        <w:rPr>
          <w:spacing w:val="23"/>
          <w:sz w:val="24"/>
        </w:rPr>
        <w:t> </w:t>
      </w:r>
      <w:r>
        <w:rPr>
          <w:sz w:val="24"/>
        </w:rPr>
        <w:t>efficiency.</w:t>
      </w:r>
      <w:r>
        <w:rPr>
          <w:spacing w:val="25"/>
          <w:sz w:val="24"/>
        </w:rPr>
        <w:t> </w:t>
      </w:r>
      <w:r>
        <w:rPr>
          <w:sz w:val="24"/>
        </w:rPr>
        <w:t>By</w:t>
      </w:r>
      <w:r>
        <w:rPr>
          <w:spacing w:val="24"/>
          <w:sz w:val="24"/>
        </w:rPr>
        <w:t> </w:t>
      </w:r>
      <w:r>
        <w:rPr>
          <w:sz w:val="24"/>
        </w:rPr>
        <w:t>Jorge E. Galan Yong Ta</w:t>
      </w:r>
    </w:p>
    <w:p>
      <w:pPr>
        <w:pStyle w:val="ListParagraph"/>
        <w:numPr>
          <w:ilvl w:val="0"/>
          <w:numId w:val="2"/>
        </w:numPr>
        <w:tabs>
          <w:tab w:pos="1134" w:val="left" w:leader="none"/>
        </w:tabs>
        <w:spacing w:line="271" w:lineRule="auto" w:before="0" w:after="0"/>
        <w:ind w:left="427" w:right="150" w:firstLine="0"/>
        <w:jc w:val="left"/>
        <w:rPr>
          <w:sz w:val="24"/>
        </w:rPr>
      </w:pPr>
      <w:bookmarkStart w:name="3. Impact of Green Banking Practices on " w:id="3"/>
      <w:bookmarkEnd w:id="3"/>
      <w:r>
        <w:rPr/>
      </w:r>
      <w:r>
        <w:rPr>
          <w:sz w:val="24"/>
        </w:rPr>
        <w:t>Impact</w:t>
      </w:r>
      <w:r>
        <w:rPr>
          <w:spacing w:val="40"/>
          <w:sz w:val="24"/>
        </w:rPr>
        <w:t> </w:t>
      </w:r>
      <w:r>
        <w:rPr>
          <w:sz w:val="24"/>
        </w:rPr>
        <w:t>of</w:t>
      </w:r>
      <w:r>
        <w:rPr>
          <w:spacing w:val="40"/>
          <w:sz w:val="24"/>
        </w:rPr>
        <w:t> </w:t>
      </w:r>
      <w:r>
        <w:rPr>
          <w:sz w:val="24"/>
        </w:rPr>
        <w:t>Green</w:t>
      </w:r>
      <w:r>
        <w:rPr>
          <w:spacing w:val="40"/>
          <w:sz w:val="24"/>
        </w:rPr>
        <w:t> </w:t>
      </w:r>
      <w:r>
        <w:rPr>
          <w:sz w:val="24"/>
        </w:rPr>
        <w:t>Banking</w:t>
      </w:r>
      <w:r>
        <w:rPr>
          <w:spacing w:val="40"/>
          <w:sz w:val="24"/>
        </w:rPr>
        <w:t> </w:t>
      </w:r>
      <w:r>
        <w:rPr>
          <w:sz w:val="24"/>
        </w:rPr>
        <w:t>Practices</w:t>
      </w:r>
      <w:r>
        <w:rPr>
          <w:spacing w:val="40"/>
          <w:sz w:val="24"/>
        </w:rPr>
        <w:t> </w:t>
      </w:r>
      <w:r>
        <w:rPr>
          <w:sz w:val="24"/>
        </w:rPr>
        <w:t>on</w:t>
      </w:r>
      <w:r>
        <w:rPr>
          <w:spacing w:val="40"/>
          <w:sz w:val="24"/>
        </w:rPr>
        <w:t> </w:t>
      </w:r>
      <w:r>
        <w:rPr>
          <w:sz w:val="24"/>
        </w:rPr>
        <w:t>Sustainable</w:t>
      </w:r>
      <w:r>
        <w:rPr>
          <w:spacing w:val="40"/>
          <w:sz w:val="24"/>
        </w:rPr>
        <w:t> </w:t>
      </w:r>
      <w:r>
        <w:rPr>
          <w:sz w:val="24"/>
        </w:rPr>
        <w:t>Environmental</w:t>
      </w:r>
      <w:r>
        <w:rPr>
          <w:spacing w:val="40"/>
          <w:sz w:val="24"/>
        </w:rPr>
        <w:t> </w:t>
      </w:r>
      <w:r>
        <w:rPr>
          <w:sz w:val="24"/>
        </w:rPr>
        <w:t>Performance</w:t>
      </w:r>
      <w:r>
        <w:rPr>
          <w:spacing w:val="40"/>
          <w:sz w:val="24"/>
        </w:rPr>
        <w:t> </w:t>
      </w:r>
      <w:r>
        <w:rPr>
          <w:sz w:val="24"/>
        </w:rPr>
        <w:t>and</w:t>
      </w:r>
      <w:r>
        <w:rPr>
          <w:spacing w:val="40"/>
          <w:sz w:val="24"/>
        </w:rPr>
        <w:t> </w:t>
      </w:r>
      <w:r>
        <w:rPr>
          <w:sz w:val="24"/>
        </w:rPr>
        <w:t>Profitability of Private Sector Banks. By Bhuvanesh Kumar Sharma\</w:t>
      </w:r>
    </w:p>
    <w:p>
      <w:pPr>
        <w:pStyle w:val="ListParagraph"/>
        <w:numPr>
          <w:ilvl w:val="0"/>
          <w:numId w:val="2"/>
        </w:numPr>
        <w:tabs>
          <w:tab w:pos="1134" w:val="left" w:leader="none"/>
        </w:tabs>
        <w:spacing w:line="271" w:lineRule="auto" w:before="1" w:after="0"/>
        <w:ind w:left="427" w:right="149" w:firstLine="0"/>
        <w:jc w:val="left"/>
        <w:rPr>
          <w:sz w:val="24"/>
        </w:rPr>
      </w:pPr>
      <w:bookmarkStart w:name="4. Role of Green Finance in Supporting S" w:id="4"/>
      <w:bookmarkEnd w:id="4"/>
      <w:r>
        <w:rPr/>
      </w:r>
      <w:r>
        <w:rPr>
          <w:sz w:val="24"/>
        </w:rPr>
        <w:t>Role</w:t>
      </w:r>
      <w:r>
        <w:rPr>
          <w:spacing w:val="40"/>
          <w:sz w:val="24"/>
        </w:rPr>
        <w:t> </w:t>
      </w:r>
      <w:r>
        <w:rPr>
          <w:sz w:val="24"/>
        </w:rPr>
        <w:t>of</w:t>
      </w:r>
      <w:r>
        <w:rPr>
          <w:spacing w:val="40"/>
          <w:sz w:val="24"/>
        </w:rPr>
        <w:t> </w:t>
      </w:r>
      <w:r>
        <w:rPr>
          <w:sz w:val="24"/>
        </w:rPr>
        <w:t>Green</w:t>
      </w:r>
      <w:r>
        <w:rPr>
          <w:spacing w:val="40"/>
          <w:sz w:val="24"/>
        </w:rPr>
        <w:t> </w:t>
      </w:r>
      <w:r>
        <w:rPr>
          <w:sz w:val="24"/>
        </w:rPr>
        <w:t>Finance</w:t>
      </w:r>
      <w:r>
        <w:rPr>
          <w:spacing w:val="40"/>
          <w:sz w:val="24"/>
        </w:rPr>
        <w:t> </w:t>
      </w:r>
      <w:r>
        <w:rPr>
          <w:sz w:val="24"/>
        </w:rPr>
        <w:t>in</w:t>
      </w:r>
      <w:r>
        <w:rPr>
          <w:spacing w:val="40"/>
          <w:sz w:val="24"/>
        </w:rPr>
        <w:t> </w:t>
      </w:r>
      <w:r>
        <w:rPr>
          <w:sz w:val="24"/>
        </w:rPr>
        <w:t>Supporting</w:t>
      </w:r>
      <w:r>
        <w:rPr>
          <w:spacing w:val="40"/>
          <w:sz w:val="24"/>
        </w:rPr>
        <w:t> </w:t>
      </w:r>
      <w:r>
        <w:rPr>
          <w:sz w:val="24"/>
        </w:rPr>
        <w:t>Sustainable</w:t>
      </w:r>
      <w:r>
        <w:rPr>
          <w:spacing w:val="40"/>
          <w:sz w:val="24"/>
        </w:rPr>
        <w:t> </w:t>
      </w:r>
      <w:r>
        <w:rPr>
          <w:sz w:val="24"/>
        </w:rPr>
        <w:t>Energy</w:t>
      </w:r>
      <w:r>
        <w:rPr>
          <w:spacing w:val="40"/>
          <w:sz w:val="24"/>
        </w:rPr>
        <w:t> </w:t>
      </w:r>
      <w:r>
        <w:rPr>
          <w:sz w:val="24"/>
        </w:rPr>
        <w:t>Investments</w:t>
      </w:r>
      <w:r>
        <w:rPr>
          <w:spacing w:val="40"/>
          <w:sz w:val="24"/>
        </w:rPr>
        <w:t> </w:t>
      </w:r>
      <w:r>
        <w:rPr>
          <w:sz w:val="24"/>
        </w:rPr>
        <w:t>Perspective</w:t>
      </w:r>
      <w:r>
        <w:rPr>
          <w:spacing w:val="40"/>
          <w:sz w:val="24"/>
        </w:rPr>
        <w:t> </w:t>
      </w:r>
      <w:r>
        <w:rPr>
          <w:sz w:val="24"/>
        </w:rPr>
        <w:t>of Energy Sector in Jordan Talal ALQURRAN1* , Murad ALKASEASBEH</w:t>
      </w:r>
    </w:p>
    <w:p>
      <w:pPr>
        <w:pStyle w:val="ListParagraph"/>
        <w:spacing w:after="0" w:line="271" w:lineRule="auto"/>
        <w:jc w:val="left"/>
        <w:rPr>
          <w:sz w:val="24"/>
        </w:rPr>
        <w:sectPr>
          <w:pgSz w:w="11910" w:h="16840"/>
          <w:pgMar w:header="0" w:footer="1262" w:top="1300" w:bottom="1460" w:left="1275" w:right="708"/>
        </w:sectPr>
      </w:pPr>
    </w:p>
    <w:p>
      <w:pPr>
        <w:pStyle w:val="ListParagraph"/>
        <w:numPr>
          <w:ilvl w:val="0"/>
          <w:numId w:val="2"/>
        </w:numPr>
        <w:tabs>
          <w:tab w:pos="1134" w:val="left" w:leader="none"/>
        </w:tabs>
        <w:spacing w:line="271" w:lineRule="auto" w:before="72" w:after="0"/>
        <w:ind w:left="427" w:right="145" w:firstLine="0"/>
        <w:jc w:val="left"/>
        <w:rPr>
          <w:sz w:val="24"/>
        </w:rPr>
      </w:pPr>
      <w:bookmarkStart w:name="5. E. Ruhiyat and E. Murwaningsari, “Dev" w:id="5"/>
      <w:bookmarkEnd w:id="5"/>
      <w:r>
        <w:rPr/>
      </w:r>
      <w:r>
        <w:rPr>
          <w:sz w:val="24"/>
        </w:rPr>
        <w:t>E. Ruhiyat and E. Murwaningsari, “Development of sustainable banking in Indonesia,”</w:t>
      </w:r>
      <w:r>
        <w:rPr>
          <w:spacing w:val="40"/>
          <w:sz w:val="24"/>
        </w:rPr>
        <w:t> </w:t>
      </w:r>
      <w:r>
        <w:rPr>
          <w:sz w:val="24"/>
        </w:rPr>
        <w:t>International Journal of Business, Economics and Law, vol. 20, no. 5, pp. 177–185, 2019.</w:t>
      </w:r>
    </w:p>
    <w:p>
      <w:pPr>
        <w:pStyle w:val="ListParagraph"/>
        <w:numPr>
          <w:ilvl w:val="0"/>
          <w:numId w:val="2"/>
        </w:numPr>
        <w:tabs>
          <w:tab w:pos="1134" w:val="left" w:leader="none"/>
        </w:tabs>
        <w:spacing w:line="271" w:lineRule="auto" w:before="1" w:after="0"/>
        <w:ind w:left="427" w:right="145" w:firstLine="0"/>
        <w:jc w:val="left"/>
        <w:rPr>
          <w:sz w:val="24"/>
        </w:rPr>
      </w:pPr>
      <w:bookmarkStart w:name="6. Meena, Ravi. 2013. “Green Banking: As" w:id="6"/>
      <w:bookmarkEnd w:id="6"/>
      <w:r>
        <w:rPr/>
      </w:r>
      <w:r>
        <w:rPr>
          <w:sz w:val="24"/>
        </w:rPr>
        <w:t>Meena,</w:t>
      </w:r>
      <w:r>
        <w:rPr>
          <w:spacing w:val="-3"/>
          <w:sz w:val="24"/>
        </w:rPr>
        <w:t> </w:t>
      </w:r>
      <w:r>
        <w:rPr>
          <w:sz w:val="24"/>
        </w:rPr>
        <w:t>Ravi.</w:t>
      </w:r>
      <w:r>
        <w:rPr>
          <w:spacing w:val="-3"/>
          <w:sz w:val="24"/>
        </w:rPr>
        <w:t> </w:t>
      </w:r>
      <w:r>
        <w:rPr>
          <w:sz w:val="24"/>
        </w:rPr>
        <w:t>2013.</w:t>
      </w:r>
      <w:r>
        <w:rPr>
          <w:spacing w:val="-3"/>
          <w:sz w:val="24"/>
        </w:rPr>
        <w:t> </w:t>
      </w:r>
      <w:r>
        <w:rPr>
          <w:sz w:val="24"/>
        </w:rPr>
        <w:t>“Green</w:t>
      </w:r>
      <w:r>
        <w:rPr>
          <w:spacing w:val="-3"/>
          <w:sz w:val="24"/>
        </w:rPr>
        <w:t> </w:t>
      </w:r>
      <w:r>
        <w:rPr>
          <w:sz w:val="24"/>
        </w:rPr>
        <w:t>Banking:</w:t>
      </w:r>
      <w:r>
        <w:rPr>
          <w:spacing w:val="-3"/>
          <w:sz w:val="24"/>
        </w:rPr>
        <w:t> </w:t>
      </w:r>
      <w:r>
        <w:rPr>
          <w:sz w:val="24"/>
        </w:rPr>
        <w:t>As</w:t>
      </w:r>
      <w:r>
        <w:rPr>
          <w:spacing w:val="-1"/>
          <w:sz w:val="24"/>
        </w:rPr>
        <w:t> </w:t>
      </w:r>
      <w:r>
        <w:rPr>
          <w:sz w:val="24"/>
        </w:rPr>
        <w:t>Initiative</w:t>
      </w:r>
      <w:r>
        <w:rPr>
          <w:spacing w:val="-2"/>
          <w:sz w:val="24"/>
        </w:rPr>
        <w:t> </w:t>
      </w:r>
      <w:r>
        <w:rPr>
          <w:sz w:val="24"/>
        </w:rPr>
        <w:t>for</w:t>
      </w:r>
      <w:r>
        <w:rPr>
          <w:spacing w:val="-5"/>
          <w:sz w:val="24"/>
        </w:rPr>
        <w:t> </w:t>
      </w:r>
      <w:r>
        <w:rPr>
          <w:sz w:val="24"/>
        </w:rPr>
        <w:t>Sustainable</w:t>
      </w:r>
      <w:r>
        <w:rPr>
          <w:spacing w:val="-4"/>
          <w:sz w:val="24"/>
        </w:rPr>
        <w:t> </w:t>
      </w:r>
      <w:r>
        <w:rPr>
          <w:sz w:val="24"/>
        </w:rPr>
        <w:t>Development.”,</w:t>
      </w:r>
      <w:r>
        <w:rPr>
          <w:spacing w:val="-4"/>
          <w:sz w:val="24"/>
        </w:rPr>
        <w:t> </w:t>
      </w:r>
      <w:r>
        <w:rPr>
          <w:sz w:val="24"/>
        </w:rPr>
        <w:t>Global Journal of Management and Business Studies 3 (10): 1181–1186.</w:t>
      </w:r>
    </w:p>
    <w:p>
      <w:pPr>
        <w:pStyle w:val="ListParagraph"/>
        <w:numPr>
          <w:ilvl w:val="0"/>
          <w:numId w:val="2"/>
        </w:numPr>
        <w:tabs>
          <w:tab w:pos="1134" w:val="left" w:leader="none"/>
        </w:tabs>
        <w:spacing w:line="271" w:lineRule="auto" w:before="0" w:after="0"/>
        <w:ind w:left="427" w:right="1819" w:firstLine="0"/>
        <w:jc w:val="left"/>
        <w:rPr>
          <w:sz w:val="24"/>
        </w:rPr>
      </w:pPr>
      <w:hyperlink r:id="rId17">
        <w:bookmarkStart w:name="7. https://www.emerald.com/insight/conte" w:id="7"/>
        <w:bookmarkEnd w:id="7"/>
        <w:r>
          <w:rPr>
            <w:sz w:val="24"/>
          </w:rPr>
        </w:r>
        <w:r>
          <w:rPr>
            <w:spacing w:val="-2"/>
            <w:sz w:val="24"/>
            <w:u w:val="single"/>
          </w:rPr>
          <w:t>https://www.emerald.com/insight/content/doi/10.1108/AGJSR-04-2022-</w:t>
        </w:r>
      </w:hyperlink>
      <w:r>
        <w:rPr>
          <w:spacing w:val="-2"/>
          <w:sz w:val="24"/>
        </w:rPr>
        <w:t> </w:t>
      </w:r>
      <w:hyperlink r:id="rId17">
        <w:r>
          <w:rPr>
            <w:spacing w:val="-2"/>
            <w:sz w:val="24"/>
            <w:u w:val="single"/>
          </w:rPr>
          <w:t>0017/full/html#sec002</w:t>
        </w:r>
      </w:hyperlink>
    </w:p>
    <w:p>
      <w:pPr>
        <w:pStyle w:val="ListParagraph"/>
        <w:numPr>
          <w:ilvl w:val="0"/>
          <w:numId w:val="2"/>
        </w:numPr>
        <w:tabs>
          <w:tab w:pos="1134" w:val="left" w:leader="none"/>
        </w:tabs>
        <w:spacing w:line="271" w:lineRule="auto" w:before="1" w:after="0"/>
        <w:ind w:left="427" w:right="148" w:firstLine="0"/>
        <w:jc w:val="left"/>
        <w:rPr>
          <w:sz w:val="24"/>
        </w:rPr>
      </w:pPr>
      <w:bookmarkStart w:name="8. Innovation Green Banking in Banking S" w:id="8"/>
      <w:bookmarkEnd w:id="8"/>
      <w:r>
        <w:rPr/>
      </w:r>
      <w:r>
        <w:rPr>
          <w:sz w:val="24"/>
        </w:rPr>
        <w:t>Innovation Green Banking</w:t>
      </w:r>
      <w:r>
        <w:rPr>
          <w:spacing w:val="-2"/>
          <w:sz w:val="24"/>
        </w:rPr>
        <w:t> </w:t>
      </w:r>
      <w:r>
        <w:rPr>
          <w:sz w:val="24"/>
        </w:rPr>
        <w:t>in Banking</w:t>
      </w:r>
      <w:r>
        <w:rPr>
          <w:spacing w:val="-2"/>
          <w:sz w:val="24"/>
        </w:rPr>
        <w:t> </w:t>
      </w:r>
      <w:r>
        <w:rPr>
          <w:sz w:val="24"/>
        </w:rPr>
        <w:t>Service</w:t>
      </w:r>
      <w:r>
        <w:rPr>
          <w:spacing w:val="-1"/>
          <w:sz w:val="24"/>
        </w:rPr>
        <w:t> </w:t>
      </w:r>
      <w:r>
        <w:rPr>
          <w:sz w:val="24"/>
        </w:rPr>
        <w:t>(Electronic Banking)</w:t>
      </w:r>
      <w:r>
        <w:rPr>
          <w:spacing w:val="-1"/>
          <w:sz w:val="24"/>
        </w:rPr>
        <w:t> </w:t>
      </w:r>
      <w:r>
        <w:rPr>
          <w:sz w:val="24"/>
        </w:rPr>
        <w:t>Resi Juariah Susanto STIE EKUITAS, Jalan PHH Mustofa No. 31 Bandung, Indonesia</w:t>
      </w:r>
    </w:p>
    <w:p>
      <w:pPr>
        <w:pStyle w:val="ListParagraph"/>
        <w:numPr>
          <w:ilvl w:val="0"/>
          <w:numId w:val="2"/>
        </w:numPr>
        <w:tabs>
          <w:tab w:pos="1134" w:val="left" w:leader="none"/>
        </w:tabs>
        <w:spacing w:line="240" w:lineRule="auto" w:before="0" w:after="0"/>
        <w:ind w:left="1134" w:right="0" w:hanging="707"/>
        <w:jc w:val="left"/>
        <w:rPr>
          <w:sz w:val="24"/>
        </w:rPr>
      </w:pPr>
      <w:bookmarkStart w:name="9. PERCEPTION ON GREEN BANKING PRACTICES" w:id="9"/>
      <w:bookmarkEnd w:id="9"/>
      <w:r>
        <w:rPr/>
      </w:r>
      <w:r>
        <w:rPr>
          <w:sz w:val="24"/>
        </w:rPr>
        <w:t>PERCEPTION</w:t>
      </w:r>
      <w:r>
        <w:rPr>
          <w:spacing w:val="15"/>
          <w:sz w:val="24"/>
        </w:rPr>
        <w:t> </w:t>
      </w:r>
      <w:r>
        <w:rPr>
          <w:sz w:val="24"/>
        </w:rPr>
        <w:t>ON</w:t>
      </w:r>
      <w:r>
        <w:rPr>
          <w:spacing w:val="17"/>
          <w:sz w:val="24"/>
        </w:rPr>
        <w:t> </w:t>
      </w:r>
      <w:r>
        <w:rPr>
          <w:sz w:val="24"/>
        </w:rPr>
        <w:t>GREEN</w:t>
      </w:r>
      <w:r>
        <w:rPr>
          <w:spacing w:val="17"/>
          <w:sz w:val="24"/>
        </w:rPr>
        <w:t> </w:t>
      </w:r>
      <w:r>
        <w:rPr>
          <w:sz w:val="24"/>
        </w:rPr>
        <w:t>BANKING</w:t>
      </w:r>
      <w:r>
        <w:rPr>
          <w:spacing w:val="18"/>
          <w:sz w:val="24"/>
        </w:rPr>
        <w:t> </w:t>
      </w:r>
      <w:r>
        <w:rPr>
          <w:sz w:val="24"/>
        </w:rPr>
        <w:t>PRACTICES</w:t>
      </w:r>
      <w:r>
        <w:rPr>
          <w:spacing w:val="18"/>
          <w:sz w:val="24"/>
        </w:rPr>
        <w:t> </w:t>
      </w:r>
      <w:r>
        <w:rPr>
          <w:sz w:val="24"/>
        </w:rPr>
        <w:t>IN</w:t>
      </w:r>
      <w:r>
        <w:rPr>
          <w:spacing w:val="17"/>
          <w:sz w:val="24"/>
        </w:rPr>
        <w:t> </w:t>
      </w:r>
      <w:r>
        <w:rPr>
          <w:sz w:val="24"/>
        </w:rPr>
        <w:t>SELECTED</w:t>
      </w:r>
      <w:r>
        <w:rPr>
          <w:spacing w:val="18"/>
          <w:sz w:val="24"/>
        </w:rPr>
        <w:t> </w:t>
      </w:r>
      <w:r>
        <w:rPr>
          <w:spacing w:val="-2"/>
          <w:sz w:val="24"/>
        </w:rPr>
        <w:t>COMMERCIAL</w:t>
      </w:r>
    </w:p>
    <w:p>
      <w:pPr>
        <w:pStyle w:val="BodyText"/>
        <w:spacing w:before="36"/>
        <w:ind w:left="427"/>
      </w:pPr>
      <w:r>
        <w:rPr/>
        <w:t>BANKS</w:t>
      </w:r>
      <w:r>
        <w:rPr>
          <w:spacing w:val="-3"/>
        </w:rPr>
        <w:t> </w:t>
      </w:r>
      <w:r>
        <w:rPr/>
        <w:t>IN</w:t>
      </w:r>
      <w:r>
        <w:rPr>
          <w:spacing w:val="-1"/>
        </w:rPr>
        <w:t> </w:t>
      </w:r>
      <w:r>
        <w:rPr/>
        <w:t>KERALA</w:t>
      </w:r>
      <w:r>
        <w:rPr>
          <w:spacing w:val="-2"/>
        </w:rPr>
        <w:t> </w:t>
      </w:r>
      <w:r>
        <w:rPr/>
        <w:t>*Sarath</w:t>
      </w:r>
      <w:r>
        <w:rPr>
          <w:spacing w:val="-2"/>
        </w:rPr>
        <w:t> </w:t>
      </w:r>
      <w:r>
        <w:rPr/>
        <w:t>Chandran</w:t>
      </w:r>
      <w:r>
        <w:rPr>
          <w:spacing w:val="-1"/>
        </w:rPr>
        <w:t> </w:t>
      </w:r>
      <w:r>
        <w:rPr/>
        <w:t>M.C.</w:t>
      </w:r>
      <w:r>
        <w:rPr>
          <w:spacing w:val="-1"/>
        </w:rPr>
        <w:t> </w:t>
      </w:r>
      <w:r>
        <w:rPr/>
        <w:t>&amp;</w:t>
      </w:r>
      <w:r>
        <w:rPr>
          <w:spacing w:val="-2"/>
        </w:rPr>
        <w:t> </w:t>
      </w:r>
      <w:r>
        <w:rPr/>
        <w:t>**Dr.</w:t>
      </w:r>
      <w:r>
        <w:rPr>
          <w:spacing w:val="-2"/>
        </w:rPr>
        <w:t> </w:t>
      </w:r>
      <w:r>
        <w:rPr/>
        <w:t>B.</w:t>
      </w:r>
      <w:r>
        <w:rPr>
          <w:spacing w:val="-1"/>
        </w:rPr>
        <w:t> </w:t>
      </w:r>
      <w:r>
        <w:rPr>
          <w:spacing w:val="-2"/>
        </w:rPr>
        <w:t>Sathiyabama</w:t>
      </w:r>
    </w:p>
    <w:p>
      <w:pPr>
        <w:pStyle w:val="ListParagraph"/>
        <w:numPr>
          <w:ilvl w:val="0"/>
          <w:numId w:val="2"/>
        </w:numPr>
        <w:tabs>
          <w:tab w:pos="1134" w:val="left" w:leader="none"/>
        </w:tabs>
        <w:spacing w:line="271" w:lineRule="auto" w:before="36" w:after="0"/>
        <w:ind w:left="427" w:right="140" w:firstLine="0"/>
        <w:jc w:val="left"/>
        <w:rPr>
          <w:sz w:val="24"/>
        </w:rPr>
      </w:pPr>
      <w:bookmarkStart w:name="10. “GREEN BANKING - A STUDY ON ROLE OF " w:id="10"/>
      <w:bookmarkEnd w:id="10"/>
      <w:r>
        <w:rPr/>
      </w:r>
      <w:r>
        <w:rPr>
          <w:sz w:val="24"/>
        </w:rPr>
        <w:t>“GREEN BANKING - A STUDY ON ROLE OF TECHNOLOGY TOWARDS GREEN BANKING” MATEEN SHARIFF</w:t>
      </w:r>
    </w:p>
    <w:p>
      <w:pPr>
        <w:pStyle w:val="ListParagraph"/>
        <w:numPr>
          <w:ilvl w:val="0"/>
          <w:numId w:val="2"/>
        </w:numPr>
        <w:tabs>
          <w:tab w:pos="1134" w:val="left" w:leader="none"/>
        </w:tabs>
        <w:spacing w:line="240" w:lineRule="auto" w:before="0" w:after="0"/>
        <w:ind w:left="1134" w:right="0" w:hanging="707"/>
        <w:jc w:val="left"/>
        <w:rPr>
          <w:sz w:val="24"/>
        </w:rPr>
      </w:pPr>
      <w:bookmarkStart w:name="11. «Green Finance»  https://qazaqgreen." w:id="11"/>
      <w:bookmarkEnd w:id="11"/>
      <w:r>
        <w:rPr/>
      </w:r>
      <w:r>
        <w:rPr>
          <w:sz w:val="24"/>
        </w:rPr>
        <w:t>«Green</w:t>
      </w:r>
      <w:r>
        <w:rPr>
          <w:spacing w:val="-5"/>
          <w:sz w:val="24"/>
        </w:rPr>
        <w:t> </w:t>
      </w:r>
      <w:r>
        <w:rPr>
          <w:sz w:val="24"/>
        </w:rPr>
        <w:t>Finance»</w:t>
      </w:r>
      <w:r>
        <w:rPr>
          <w:spacing w:val="50"/>
          <w:sz w:val="24"/>
        </w:rPr>
        <w:t> </w:t>
      </w:r>
      <w:hyperlink r:id="rId18">
        <w:r>
          <w:rPr>
            <w:sz w:val="24"/>
            <w:u w:val="single"/>
          </w:rPr>
          <w:t>https://qazaqgreen.com/journal-qazaqgreen/green-</w:t>
        </w:r>
        <w:r>
          <w:rPr>
            <w:spacing w:val="-2"/>
            <w:sz w:val="24"/>
            <w:u w:val="single"/>
          </w:rPr>
          <w:t>finance/241/</w:t>
        </w:r>
      </w:hyperlink>
    </w:p>
    <w:p>
      <w:pPr>
        <w:pStyle w:val="ListParagraph"/>
        <w:numPr>
          <w:ilvl w:val="0"/>
          <w:numId w:val="2"/>
        </w:numPr>
        <w:tabs>
          <w:tab w:pos="1134" w:val="left" w:leader="none"/>
        </w:tabs>
        <w:spacing w:line="240" w:lineRule="auto" w:before="37" w:after="0"/>
        <w:ind w:left="1134" w:right="0" w:hanging="707"/>
        <w:jc w:val="left"/>
        <w:rPr>
          <w:sz w:val="24"/>
        </w:rPr>
      </w:pPr>
      <w:bookmarkStart w:name="12. https://kase.kz/en/esg/bonds/" w:id="12"/>
      <w:bookmarkEnd w:id="12"/>
      <w:r>
        <w:rPr/>
      </w:r>
      <w:hyperlink r:id="rId19">
        <w:r>
          <w:rPr>
            <w:spacing w:val="-2"/>
            <w:sz w:val="24"/>
            <w:u w:val="single"/>
          </w:rPr>
          <w:t>https://kase.kz/en/esg/bonds/</w:t>
        </w:r>
      </w:hyperlink>
    </w:p>
    <w:p>
      <w:pPr>
        <w:pStyle w:val="BodyText"/>
      </w:pPr>
    </w:p>
    <w:p>
      <w:pPr>
        <w:pStyle w:val="BodyText"/>
        <w:spacing w:before="113"/>
      </w:pPr>
    </w:p>
    <w:p>
      <w:pPr>
        <w:pStyle w:val="Heading2"/>
        <w:spacing w:line="271" w:lineRule="auto"/>
        <w:ind w:left="2039" w:hanging="1126"/>
        <w:jc w:val="left"/>
      </w:pPr>
      <w:r>
        <w:rPr>
          <w:spacing w:val="-2"/>
        </w:rPr>
        <w:t>«КӨМІРТЕГІ</w:t>
      </w:r>
      <w:r>
        <w:rPr>
          <w:spacing w:val="-8"/>
        </w:rPr>
        <w:t> </w:t>
      </w:r>
      <w:r>
        <w:rPr>
          <w:spacing w:val="-2"/>
        </w:rPr>
        <w:t>САЛЫҒЫ</w:t>
      </w:r>
      <w:r>
        <w:rPr>
          <w:spacing w:val="-6"/>
        </w:rPr>
        <w:t> </w:t>
      </w:r>
      <w:r>
        <w:rPr>
          <w:spacing w:val="-2"/>
        </w:rPr>
        <w:t>ТҰРАҚТЫ</w:t>
      </w:r>
      <w:r>
        <w:rPr>
          <w:spacing w:val="-7"/>
        </w:rPr>
        <w:t> </w:t>
      </w:r>
      <w:r>
        <w:rPr>
          <w:spacing w:val="-2"/>
        </w:rPr>
        <w:t>ДАМУ</w:t>
      </w:r>
      <w:r>
        <w:rPr>
          <w:spacing w:val="-6"/>
        </w:rPr>
        <w:t> </w:t>
      </w:r>
      <w:r>
        <w:rPr>
          <w:spacing w:val="-2"/>
        </w:rPr>
        <w:t>ҚҰРАЛЫ</w:t>
      </w:r>
      <w:r>
        <w:rPr>
          <w:spacing w:val="-6"/>
        </w:rPr>
        <w:t> </w:t>
      </w:r>
      <w:r>
        <w:rPr>
          <w:spacing w:val="-2"/>
        </w:rPr>
        <w:t>РЕТІНДЕ:</w:t>
      </w:r>
      <w:r>
        <w:rPr>
          <w:spacing w:val="-7"/>
        </w:rPr>
        <w:t> </w:t>
      </w:r>
      <w:r>
        <w:rPr>
          <w:spacing w:val="-2"/>
        </w:rPr>
        <w:t>ЕЛДЕРДІҢ </w:t>
      </w:r>
      <w:r>
        <w:rPr/>
        <w:t>ТӘЖІРИБЕСІ ЖӘНЕ ЕНГІЗУ ПЕРСПЕКТИВАЛАРЫ»</w:t>
      </w:r>
    </w:p>
    <w:p>
      <w:pPr>
        <w:pStyle w:val="BodyText"/>
        <w:spacing w:line="271" w:lineRule="auto"/>
        <w:ind w:left="5801" w:right="139" w:firstLine="2482"/>
      </w:pPr>
      <w:r>
        <w:rPr>
          <w:spacing w:val="-2"/>
        </w:rPr>
        <w:t>Қаржау</w:t>
      </w:r>
      <w:r>
        <w:rPr>
          <w:spacing w:val="-13"/>
        </w:rPr>
        <w:t> </w:t>
      </w:r>
      <w:r>
        <w:rPr>
          <w:spacing w:val="-2"/>
        </w:rPr>
        <w:t>Жанар Əл-Фараби атындағы</w:t>
      </w:r>
      <w:r>
        <w:rPr>
          <w:spacing w:val="-3"/>
        </w:rPr>
        <w:t> </w:t>
      </w:r>
      <w:r>
        <w:rPr>
          <w:spacing w:val="-2"/>
        </w:rPr>
        <w:t>ҚазҰУ, ЭжБЖМ,</w:t>
      </w:r>
    </w:p>
    <w:p>
      <w:pPr>
        <w:pStyle w:val="BodyText"/>
        <w:spacing w:line="271" w:lineRule="auto"/>
        <w:ind w:left="6017" w:right="141" w:firstLine="2290"/>
        <w:jc w:val="right"/>
      </w:pPr>
      <w:r>
        <w:rPr/>
        <w:t>Қаржы,</w:t>
      </w:r>
      <w:r>
        <w:rPr>
          <w:spacing w:val="-15"/>
        </w:rPr>
        <w:t> </w:t>
      </w:r>
      <w:r>
        <w:rPr/>
        <w:t>1</w:t>
      </w:r>
      <w:r>
        <w:rPr>
          <w:spacing w:val="-15"/>
        </w:rPr>
        <w:t> </w:t>
      </w:r>
      <w:r>
        <w:rPr/>
        <w:t>курс Ғылыми</w:t>
      </w:r>
      <w:r>
        <w:rPr>
          <w:spacing w:val="-5"/>
        </w:rPr>
        <w:t> </w:t>
      </w:r>
      <w:r>
        <w:rPr/>
        <w:t>жетекші:</w:t>
      </w:r>
      <w:r>
        <w:rPr>
          <w:spacing w:val="-5"/>
        </w:rPr>
        <w:t> </w:t>
      </w:r>
      <w:r>
        <w:rPr/>
        <w:t>Сырлыбаева</w:t>
      </w:r>
      <w:r>
        <w:rPr>
          <w:spacing w:val="-6"/>
        </w:rPr>
        <w:t> </w:t>
      </w:r>
      <w:r>
        <w:rPr>
          <w:spacing w:val="-4"/>
        </w:rPr>
        <w:t>Н.Ш.</w:t>
      </w:r>
    </w:p>
    <w:p>
      <w:pPr>
        <w:pStyle w:val="BodyText"/>
        <w:ind w:right="142"/>
        <w:jc w:val="right"/>
      </w:pPr>
      <w:r>
        <w:rPr/>
        <w:t>э.ғ.к., аға</w:t>
      </w:r>
      <w:r>
        <w:rPr>
          <w:spacing w:val="-1"/>
        </w:rPr>
        <w:t> </w:t>
      </w:r>
      <w:r>
        <w:rPr>
          <w:spacing w:val="-2"/>
        </w:rPr>
        <w:t>оқытушы</w:t>
      </w:r>
    </w:p>
    <w:p>
      <w:pPr>
        <w:pStyle w:val="BodyText"/>
        <w:spacing w:before="68"/>
      </w:pPr>
    </w:p>
    <w:p>
      <w:pPr>
        <w:pStyle w:val="BodyText"/>
        <w:spacing w:line="271" w:lineRule="auto"/>
        <w:ind w:left="427" w:right="137" w:firstLine="566"/>
        <w:jc w:val="both"/>
      </w:pPr>
      <w:r>
        <w:rPr/>
        <w:t>Жыл сайын шамамен 6,5-7 миллион адам ауаның ластануымен байланысты факторлардың</w:t>
      </w:r>
      <w:r>
        <w:rPr>
          <w:spacing w:val="-8"/>
        </w:rPr>
        <w:t> </w:t>
      </w:r>
      <w:r>
        <w:rPr/>
        <w:t>әсерінен</w:t>
      </w:r>
      <w:r>
        <w:rPr>
          <w:spacing w:val="-7"/>
        </w:rPr>
        <w:t> </w:t>
      </w:r>
      <w:r>
        <w:rPr/>
        <w:t>мерзімінен</w:t>
      </w:r>
      <w:r>
        <w:rPr>
          <w:spacing w:val="-7"/>
        </w:rPr>
        <w:t> </w:t>
      </w:r>
      <w:r>
        <w:rPr/>
        <w:t>бұрын</w:t>
      </w:r>
      <w:r>
        <w:rPr>
          <w:spacing w:val="-8"/>
        </w:rPr>
        <w:t> </w:t>
      </w:r>
      <w:r>
        <w:rPr/>
        <w:t>қайтыс</w:t>
      </w:r>
      <w:r>
        <w:rPr>
          <w:spacing w:val="-9"/>
        </w:rPr>
        <w:t> </w:t>
      </w:r>
      <w:r>
        <w:rPr/>
        <w:t>болады,</w:t>
      </w:r>
      <w:r>
        <w:rPr>
          <w:spacing w:val="-6"/>
        </w:rPr>
        <w:t> </w:t>
      </w:r>
      <w:r>
        <w:rPr/>
        <w:t>оның</w:t>
      </w:r>
      <w:r>
        <w:rPr>
          <w:spacing w:val="-8"/>
        </w:rPr>
        <w:t> </w:t>
      </w:r>
      <w:r>
        <w:rPr/>
        <w:t>ішінде</w:t>
      </w:r>
      <w:r>
        <w:rPr>
          <w:spacing w:val="-9"/>
        </w:rPr>
        <w:t> </w:t>
      </w:r>
      <w:r>
        <w:rPr/>
        <w:t>500</w:t>
      </w:r>
      <w:r>
        <w:rPr>
          <w:spacing w:val="-6"/>
        </w:rPr>
        <w:t> </w:t>
      </w:r>
      <w:r>
        <w:rPr/>
        <w:t>мыңнан</w:t>
      </w:r>
      <w:r>
        <w:rPr>
          <w:spacing w:val="-7"/>
        </w:rPr>
        <w:t> </w:t>
      </w:r>
      <w:r>
        <w:rPr/>
        <w:t>астам</w:t>
      </w:r>
      <w:r>
        <w:rPr>
          <w:spacing w:val="-7"/>
        </w:rPr>
        <w:t> </w:t>
      </w:r>
      <w:r>
        <w:rPr/>
        <w:t>5 жасқа</w:t>
      </w:r>
      <w:r>
        <w:rPr>
          <w:spacing w:val="-7"/>
        </w:rPr>
        <w:t> </w:t>
      </w:r>
      <w:r>
        <w:rPr/>
        <w:t>дейінгі</w:t>
      </w:r>
      <w:r>
        <w:rPr>
          <w:spacing w:val="-6"/>
        </w:rPr>
        <w:t> </w:t>
      </w:r>
      <w:r>
        <w:rPr/>
        <w:t>балалар.</w:t>
      </w:r>
      <w:r>
        <w:rPr>
          <w:spacing w:val="-7"/>
        </w:rPr>
        <w:t> </w:t>
      </w:r>
      <w:r>
        <w:rPr/>
        <w:t>Біріккен</w:t>
      </w:r>
      <w:r>
        <w:rPr>
          <w:spacing w:val="-6"/>
        </w:rPr>
        <w:t> </w:t>
      </w:r>
      <w:r>
        <w:rPr/>
        <w:t>Ұлттар</w:t>
      </w:r>
      <w:r>
        <w:rPr>
          <w:spacing w:val="-7"/>
        </w:rPr>
        <w:t> </w:t>
      </w:r>
      <w:r>
        <w:rPr/>
        <w:t>Ұйымының</w:t>
      </w:r>
      <w:r>
        <w:rPr>
          <w:spacing w:val="-6"/>
        </w:rPr>
        <w:t> </w:t>
      </w:r>
      <w:r>
        <w:rPr/>
        <w:t>Қоршаған</w:t>
      </w:r>
      <w:r>
        <w:rPr>
          <w:spacing w:val="-6"/>
        </w:rPr>
        <w:t> </w:t>
      </w:r>
      <w:r>
        <w:rPr/>
        <w:t>ортаны</w:t>
      </w:r>
      <w:r>
        <w:rPr>
          <w:spacing w:val="-7"/>
        </w:rPr>
        <w:t> </w:t>
      </w:r>
      <w:r>
        <w:rPr/>
        <w:t>қорғау</w:t>
      </w:r>
      <w:r>
        <w:rPr>
          <w:spacing w:val="-11"/>
        </w:rPr>
        <w:t> </w:t>
      </w:r>
      <w:r>
        <w:rPr/>
        <w:t>бағдарламасы бұл</w:t>
      </w:r>
      <w:r>
        <w:rPr>
          <w:spacing w:val="-9"/>
        </w:rPr>
        <w:t> </w:t>
      </w:r>
      <w:r>
        <w:rPr/>
        <w:t>ластану</w:t>
      </w:r>
      <w:r>
        <w:rPr>
          <w:spacing w:val="-14"/>
        </w:rPr>
        <w:t> </w:t>
      </w:r>
      <w:r>
        <w:rPr/>
        <w:t>адам</w:t>
      </w:r>
      <w:r>
        <w:rPr>
          <w:spacing w:val="-10"/>
        </w:rPr>
        <w:t> </w:t>
      </w:r>
      <w:r>
        <w:rPr/>
        <w:t>денсаулығына</w:t>
      </w:r>
      <w:r>
        <w:rPr>
          <w:spacing w:val="-10"/>
        </w:rPr>
        <w:t> </w:t>
      </w:r>
      <w:r>
        <w:rPr/>
        <w:t>ең</w:t>
      </w:r>
      <w:r>
        <w:rPr>
          <w:spacing w:val="-8"/>
        </w:rPr>
        <w:t> </w:t>
      </w:r>
      <w:r>
        <w:rPr/>
        <w:t>үлкен</w:t>
      </w:r>
      <w:r>
        <w:rPr>
          <w:spacing w:val="-8"/>
        </w:rPr>
        <w:t> </w:t>
      </w:r>
      <w:r>
        <w:rPr/>
        <w:t>әсер</w:t>
      </w:r>
      <w:r>
        <w:rPr>
          <w:spacing w:val="-9"/>
        </w:rPr>
        <w:t> </w:t>
      </w:r>
      <w:r>
        <w:rPr/>
        <w:t>етеді</w:t>
      </w:r>
      <w:r>
        <w:rPr>
          <w:spacing w:val="-9"/>
        </w:rPr>
        <w:t> </w:t>
      </w:r>
      <w:r>
        <w:rPr/>
        <w:t>деп</w:t>
      </w:r>
      <w:r>
        <w:rPr>
          <w:spacing w:val="-8"/>
        </w:rPr>
        <w:t> </w:t>
      </w:r>
      <w:r>
        <w:rPr/>
        <w:t>есептейді.</w:t>
      </w:r>
      <w:r>
        <w:rPr>
          <w:spacing w:val="-9"/>
        </w:rPr>
        <w:t> </w:t>
      </w:r>
      <w:r>
        <w:rPr/>
        <w:t>Дүниежүзілік</w:t>
      </w:r>
      <w:r>
        <w:rPr>
          <w:spacing w:val="-9"/>
        </w:rPr>
        <w:t> </w:t>
      </w:r>
      <w:r>
        <w:rPr/>
        <w:t>денсаулық сақтау ұйымы ауадағы ұсақ бөлшектердің (PM2.5) мөлшерін жылына 5 мкг/м3 дейін қалыпты деп санауды ұсынады. Ауаның ластануы бойынша ең проблемалы аймақтар Африка мен Азияда. Мысалы, Египетте ауаның ластану деңгейі 68 мкг/м3, ал Непалда 83 мкг/м3. Ресейдегі орташа көрсеткіш 12 мкг/м3 құрайды. Ауаның ластануы мен парниктік эффект</w:t>
      </w:r>
      <w:r>
        <w:rPr>
          <w:spacing w:val="-4"/>
        </w:rPr>
        <w:t> </w:t>
      </w:r>
      <w:r>
        <w:rPr/>
        <w:t>арасында</w:t>
      </w:r>
      <w:r>
        <w:rPr>
          <w:spacing w:val="-5"/>
        </w:rPr>
        <w:t> </w:t>
      </w:r>
      <w:r>
        <w:rPr/>
        <w:t>тікелей</w:t>
      </w:r>
      <w:r>
        <w:rPr>
          <w:spacing w:val="-4"/>
        </w:rPr>
        <w:t> </w:t>
      </w:r>
      <w:r>
        <w:rPr/>
        <w:t>байланыс</w:t>
      </w:r>
      <w:r>
        <w:rPr>
          <w:spacing w:val="-6"/>
        </w:rPr>
        <w:t> </w:t>
      </w:r>
      <w:r>
        <w:rPr/>
        <w:t>бар.</w:t>
      </w:r>
      <w:r>
        <w:rPr>
          <w:spacing w:val="-4"/>
        </w:rPr>
        <w:t> </w:t>
      </w:r>
      <w:r>
        <w:rPr/>
        <w:t>Біріншіден,</w:t>
      </w:r>
      <w:r>
        <w:rPr>
          <w:spacing w:val="-4"/>
        </w:rPr>
        <w:t> </w:t>
      </w:r>
      <w:r>
        <w:rPr/>
        <w:t>ауаны</w:t>
      </w:r>
      <w:r>
        <w:rPr>
          <w:spacing w:val="-4"/>
        </w:rPr>
        <w:t> </w:t>
      </w:r>
      <w:r>
        <w:rPr/>
        <w:t>ластайтын</w:t>
      </w:r>
      <w:r>
        <w:rPr>
          <w:spacing w:val="-3"/>
        </w:rPr>
        <w:t> </w:t>
      </w:r>
      <w:r>
        <w:rPr/>
        <w:t>барлық</w:t>
      </w:r>
      <w:r>
        <w:rPr>
          <w:spacing w:val="-4"/>
        </w:rPr>
        <w:t> </w:t>
      </w:r>
      <w:r>
        <w:rPr/>
        <w:t>негізгі</w:t>
      </w:r>
      <w:r>
        <w:rPr>
          <w:spacing w:val="-6"/>
        </w:rPr>
        <w:t> </w:t>
      </w:r>
      <w:r>
        <w:rPr/>
        <w:t>заттар озон қабатына әсер етіп, климаттық дағдарысты одан сайын нашарлатады. Екіншіден, парниктік газдар мен ауаны ластаушы заттардың көздері жиі сәйкес келеді.</w:t>
      </w:r>
    </w:p>
    <w:p>
      <w:pPr>
        <w:pStyle w:val="BodyText"/>
        <w:spacing w:line="271" w:lineRule="auto" w:before="2"/>
        <w:ind w:left="427" w:right="144" w:firstLine="566"/>
        <w:jc w:val="both"/>
      </w:pPr>
      <w:r>
        <w:rPr/>
        <w:t>Ресурстардың энергетикалық мәні көміртегі мен сутегі атомдарынан тұрады. Олардың тотығуы жылу энергиясын шығарады, сонымен бірге атмосферада қалып, жаһандық климаттың өзгеруіне ықпал ететін көмірқышқыл газын шығарады.</w:t>
      </w:r>
    </w:p>
    <w:p>
      <w:pPr>
        <w:pStyle w:val="BodyText"/>
        <w:tabs>
          <w:tab w:pos="1760" w:val="left" w:leader="none"/>
          <w:tab w:pos="2454" w:val="left" w:leader="none"/>
          <w:tab w:pos="2767" w:val="left" w:leader="none"/>
          <w:tab w:pos="3811" w:val="left" w:leader="none"/>
          <w:tab w:pos="4282" w:val="left" w:leader="none"/>
          <w:tab w:pos="5054" w:val="left" w:leader="none"/>
          <w:tab w:pos="5373" w:val="left" w:leader="none"/>
          <w:tab w:pos="6245" w:val="left" w:leader="none"/>
          <w:tab w:pos="6505" w:val="left" w:leader="none"/>
          <w:tab w:pos="7191" w:val="left" w:leader="none"/>
          <w:tab w:pos="7496" w:val="left" w:leader="none"/>
          <w:tab w:pos="8465" w:val="left" w:leader="none"/>
          <w:tab w:pos="8765" w:val="left" w:leader="none"/>
        </w:tabs>
        <w:spacing w:line="271" w:lineRule="auto" w:before="1"/>
        <w:ind w:left="427" w:right="140" w:firstLine="566"/>
        <w:jc w:val="right"/>
      </w:pPr>
      <w:r>
        <w:rPr/>
        <w:t>Көміртек</w:t>
      </w:r>
      <w:r>
        <w:rPr>
          <w:spacing w:val="40"/>
        </w:rPr>
        <w:t> </w:t>
      </w:r>
      <w:r>
        <w:rPr/>
        <w:t>салығы</w:t>
      </w:r>
      <w:r>
        <w:rPr>
          <w:spacing w:val="40"/>
        </w:rPr>
        <w:t> </w:t>
      </w:r>
      <w:r>
        <w:rPr/>
        <w:t>көптеген</w:t>
      </w:r>
      <w:r>
        <w:rPr>
          <w:spacing w:val="40"/>
        </w:rPr>
        <w:t> </w:t>
      </w:r>
      <w:r>
        <w:rPr/>
        <w:t>елдердің</w:t>
      </w:r>
      <w:r>
        <w:rPr>
          <w:spacing w:val="40"/>
        </w:rPr>
        <w:t> </w:t>
      </w:r>
      <w:r>
        <w:rPr/>
        <w:t>экологиялық</w:t>
      </w:r>
      <w:r>
        <w:rPr>
          <w:spacing w:val="40"/>
        </w:rPr>
        <w:t> </w:t>
      </w:r>
      <w:r>
        <w:rPr/>
        <w:t>емес</w:t>
      </w:r>
      <w:r>
        <w:rPr>
          <w:spacing w:val="40"/>
        </w:rPr>
        <w:t> </w:t>
      </w:r>
      <w:r>
        <w:rPr/>
        <w:t>ресурстарды</w:t>
      </w:r>
      <w:r>
        <w:rPr>
          <w:spacing w:val="40"/>
        </w:rPr>
        <w:t> </w:t>
      </w:r>
      <w:r>
        <w:rPr/>
        <w:t>пайдалануды азайтуға</w:t>
      </w:r>
      <w:r>
        <w:rPr>
          <w:spacing w:val="40"/>
        </w:rPr>
        <w:t> </w:t>
      </w:r>
      <w:r>
        <w:rPr/>
        <w:t>бағытталған</w:t>
      </w:r>
      <w:r>
        <w:rPr>
          <w:spacing w:val="40"/>
        </w:rPr>
        <w:t> </w:t>
      </w:r>
      <w:r>
        <w:rPr/>
        <w:t>саясатының</w:t>
      </w:r>
      <w:r>
        <w:rPr>
          <w:spacing w:val="40"/>
        </w:rPr>
        <w:t> </w:t>
      </w:r>
      <w:r>
        <w:rPr/>
        <w:t>негізгі</w:t>
      </w:r>
      <w:r>
        <w:rPr>
          <w:spacing w:val="40"/>
        </w:rPr>
        <w:t> </w:t>
      </w:r>
      <w:r>
        <w:rPr/>
        <w:t>бөлігі</w:t>
      </w:r>
      <w:r>
        <w:rPr>
          <w:spacing w:val="40"/>
        </w:rPr>
        <w:t> </w:t>
      </w:r>
      <w:r>
        <w:rPr/>
        <w:t>болып</w:t>
      </w:r>
      <w:r>
        <w:rPr>
          <w:spacing w:val="40"/>
        </w:rPr>
        <w:t> </w:t>
      </w:r>
      <w:r>
        <w:rPr/>
        <w:t>табылады.</w:t>
      </w:r>
      <w:r>
        <w:rPr>
          <w:spacing w:val="40"/>
        </w:rPr>
        <w:t> </w:t>
      </w:r>
      <w:r>
        <w:rPr/>
        <w:t>Мұндай</w:t>
      </w:r>
      <w:r>
        <w:rPr>
          <w:spacing w:val="40"/>
        </w:rPr>
        <w:t> </w:t>
      </w:r>
      <w:r>
        <w:rPr/>
        <w:t>салықты</w:t>
      </w:r>
      <w:r>
        <w:rPr>
          <w:spacing w:val="40"/>
        </w:rPr>
        <w:t> </w:t>
      </w:r>
      <w:r>
        <w:rPr/>
        <w:t>алу жағымсыз</w:t>
      </w:r>
      <w:r>
        <w:rPr>
          <w:spacing w:val="-15"/>
        </w:rPr>
        <w:t> </w:t>
      </w:r>
      <w:r>
        <w:rPr/>
        <w:t>отынды</w:t>
      </w:r>
      <w:r>
        <w:rPr>
          <w:spacing w:val="-15"/>
        </w:rPr>
        <w:t> </w:t>
      </w:r>
      <w:r>
        <w:rPr/>
        <w:t>тұтынушылардың</w:t>
      </w:r>
      <w:r>
        <w:rPr>
          <w:spacing w:val="-15"/>
        </w:rPr>
        <w:t> </w:t>
      </w:r>
      <w:r>
        <w:rPr/>
        <w:t>қоршаған</w:t>
      </w:r>
      <w:r>
        <w:rPr>
          <w:spacing w:val="-15"/>
        </w:rPr>
        <w:t> </w:t>
      </w:r>
      <w:r>
        <w:rPr/>
        <w:t>ортаға</w:t>
      </w:r>
      <w:r>
        <w:rPr>
          <w:spacing w:val="-16"/>
        </w:rPr>
        <w:t> </w:t>
      </w:r>
      <w:r>
        <w:rPr/>
        <w:t>келтірген</w:t>
      </w:r>
      <w:r>
        <w:rPr>
          <w:spacing w:val="-15"/>
        </w:rPr>
        <w:t> </w:t>
      </w:r>
      <w:r>
        <w:rPr/>
        <w:t>зиянын</w:t>
      </w:r>
      <w:r>
        <w:rPr>
          <w:spacing w:val="-15"/>
        </w:rPr>
        <w:t> </w:t>
      </w:r>
      <w:r>
        <w:rPr/>
        <w:t>өтеуге</w:t>
      </w:r>
      <w:r>
        <w:rPr>
          <w:spacing w:val="-16"/>
        </w:rPr>
        <w:t> </w:t>
      </w:r>
      <w:r>
        <w:rPr/>
        <w:t>көмектеседі. </w:t>
      </w:r>
      <w:r>
        <w:rPr>
          <w:spacing w:val="-2"/>
        </w:rPr>
        <w:t>Салықтың</w:t>
      </w:r>
      <w:r>
        <w:rPr/>
        <w:tab/>
      </w:r>
      <w:r>
        <w:rPr>
          <w:spacing w:val="-2"/>
        </w:rPr>
        <w:t>идеясы</w:t>
      </w:r>
      <w:r>
        <w:rPr/>
        <w:tab/>
      </w:r>
      <w:r>
        <w:rPr>
          <w:spacing w:val="-2"/>
        </w:rPr>
        <w:t>жоғары</w:t>
      </w:r>
      <w:r>
        <w:rPr/>
        <w:tab/>
      </w:r>
      <w:r>
        <w:rPr>
          <w:spacing w:val="-2"/>
        </w:rPr>
        <w:t>мөлшерлеме</w:t>
      </w:r>
      <w:r>
        <w:rPr/>
        <w:tab/>
      </w:r>
      <w:r>
        <w:rPr>
          <w:spacing w:val="-2"/>
        </w:rPr>
        <w:t>бизнесті</w:t>
      </w:r>
      <w:r>
        <w:rPr/>
        <w:tab/>
        <w:tab/>
      </w:r>
      <w:r>
        <w:rPr>
          <w:spacing w:val="-4"/>
        </w:rPr>
        <w:t>таза</w:t>
      </w:r>
      <w:r>
        <w:rPr/>
        <w:tab/>
      </w:r>
      <w:r>
        <w:rPr>
          <w:spacing w:val="-2"/>
        </w:rPr>
        <w:t>энергияға</w:t>
      </w:r>
      <w:r>
        <w:rPr/>
        <w:tab/>
      </w:r>
      <w:r>
        <w:rPr>
          <w:spacing w:val="-2"/>
        </w:rPr>
        <w:t>көшуге ынталандырады.</w:t>
      </w:r>
      <w:r>
        <w:rPr/>
        <w:tab/>
      </w:r>
      <w:r>
        <w:rPr>
          <w:spacing w:val="-2"/>
        </w:rPr>
        <w:t>Шығарылатын</w:t>
      </w:r>
      <w:r>
        <w:rPr/>
        <w:tab/>
      </w:r>
      <w:r>
        <w:rPr>
          <w:spacing w:val="-4"/>
        </w:rPr>
        <w:t>СО2</w:t>
      </w:r>
      <w:r>
        <w:rPr/>
        <w:tab/>
      </w:r>
      <w:r>
        <w:rPr>
          <w:spacing w:val="-2"/>
        </w:rPr>
        <w:t>мөлшері</w:t>
      </w:r>
      <w:r>
        <w:rPr/>
        <w:tab/>
      </w:r>
      <w:r>
        <w:rPr>
          <w:spacing w:val="-2"/>
        </w:rPr>
        <w:t>отынның</w:t>
      </w:r>
      <w:r>
        <w:rPr/>
        <w:tab/>
        <w:tab/>
      </w:r>
      <w:r>
        <w:rPr>
          <w:spacing w:val="-2"/>
        </w:rPr>
        <w:t>көміртегі</w:t>
      </w:r>
      <w:r>
        <w:rPr/>
        <w:tab/>
        <w:tab/>
      </w:r>
      <w:r>
        <w:rPr>
          <w:spacing w:val="-2"/>
        </w:rPr>
        <w:t>құрамына </w:t>
      </w:r>
      <w:r>
        <w:rPr/>
        <w:t>пропорционалды,</w:t>
      </w:r>
      <w:r>
        <w:rPr>
          <w:spacing w:val="-17"/>
        </w:rPr>
        <w:t> </w:t>
      </w:r>
      <w:r>
        <w:rPr/>
        <w:t>бұл</w:t>
      </w:r>
      <w:r>
        <w:rPr>
          <w:spacing w:val="-15"/>
        </w:rPr>
        <w:t> </w:t>
      </w:r>
      <w:r>
        <w:rPr/>
        <w:t>өндіру</w:t>
      </w:r>
      <w:r>
        <w:rPr>
          <w:spacing w:val="-20"/>
        </w:rPr>
        <w:t> </w:t>
      </w:r>
      <w:r>
        <w:rPr/>
        <w:t>немесе</w:t>
      </w:r>
      <w:r>
        <w:rPr>
          <w:spacing w:val="-15"/>
        </w:rPr>
        <w:t> </w:t>
      </w:r>
      <w:r>
        <w:rPr/>
        <w:t>импорттау</w:t>
      </w:r>
      <w:r>
        <w:rPr>
          <w:spacing w:val="-15"/>
        </w:rPr>
        <w:t> </w:t>
      </w:r>
      <w:r>
        <w:rPr/>
        <w:t>сатысында</w:t>
      </w:r>
      <w:r>
        <w:rPr>
          <w:spacing w:val="-15"/>
        </w:rPr>
        <w:t> </w:t>
      </w:r>
      <w:r>
        <w:rPr/>
        <w:t>салықты</w:t>
      </w:r>
      <w:r>
        <w:rPr>
          <w:spacing w:val="-14"/>
        </w:rPr>
        <w:t> </w:t>
      </w:r>
      <w:r>
        <w:rPr/>
        <w:t>алуға</w:t>
      </w:r>
      <w:r>
        <w:rPr>
          <w:spacing w:val="-13"/>
        </w:rPr>
        <w:t> </w:t>
      </w:r>
      <w:r>
        <w:rPr/>
        <w:t>мүмкіндік</w:t>
      </w:r>
      <w:r>
        <w:rPr>
          <w:spacing w:val="-13"/>
        </w:rPr>
        <w:t> </w:t>
      </w:r>
      <w:r>
        <w:rPr>
          <w:spacing w:val="-2"/>
        </w:rPr>
        <w:t>береді,</w:t>
      </w:r>
    </w:p>
    <w:p>
      <w:pPr>
        <w:pStyle w:val="BodyText"/>
        <w:spacing w:before="1"/>
        <w:ind w:left="427"/>
      </w:pPr>
      <w:r>
        <w:rPr/>
        <w:t>реттеуді</w:t>
      </w:r>
      <w:r>
        <w:rPr>
          <w:spacing w:val="-4"/>
        </w:rPr>
        <w:t> </w:t>
      </w:r>
      <w:r>
        <w:rPr>
          <w:spacing w:val="-2"/>
        </w:rPr>
        <w:t>жеңілдетеді.</w:t>
      </w:r>
    </w:p>
    <w:sectPr>
      <w:pgSz w:w="11910" w:h="16840"/>
      <w:pgMar w:header="0" w:footer="1262" w:top="1060" w:bottom="1460" w:left="1275"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457280">
              <wp:simplePos x="0" y="0"/>
              <wp:positionH relativeFrom="page">
                <wp:posOffset>3936872</wp:posOffset>
              </wp:positionH>
              <wp:positionV relativeFrom="page">
                <wp:posOffset>9751262</wp:posOffset>
              </wp:positionV>
              <wp:extent cx="267335" cy="16002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67335" cy="160020"/>
                      </a:xfrm>
                      <a:prstGeom prst="rect">
                        <a:avLst/>
                      </a:prstGeom>
                    </wps:spPr>
                    <wps:txbx>
                      <w:txbxContent>
                        <w:p>
                          <w:pPr>
                            <w:spacing w:line="235" w:lineRule="exact" w:before="0"/>
                            <w:ind w:left="20" w:right="0" w:firstLine="0"/>
                            <w:jc w:val="left"/>
                            <w:rPr>
                              <w:rFonts w:ascii="Calibri"/>
                              <w:sz w:val="21"/>
                            </w:rPr>
                          </w:pPr>
                          <w:r>
                            <w:rPr>
                              <w:rFonts w:ascii="Calibri"/>
                              <w:spacing w:val="-5"/>
                              <w:sz w:val="21"/>
                            </w:rPr>
                            <w:t>1</w:t>
                          </w:r>
                          <w:r>
                            <w:rPr>
                              <w:rFonts w:ascii="Calibri"/>
                              <w:spacing w:val="-5"/>
                              <w:sz w:val="21"/>
                            </w:rPr>
                            <w:fldChar w:fldCharType="begin"/>
                          </w:r>
                          <w:r>
                            <w:rPr>
                              <w:rFonts w:ascii="Calibri"/>
                              <w:spacing w:val="-5"/>
                              <w:sz w:val="21"/>
                            </w:rPr>
                            <w:instrText> PAGE </w:instrText>
                          </w:r>
                          <w:r>
                            <w:rPr>
                              <w:rFonts w:ascii="Calibri"/>
                              <w:spacing w:val="-5"/>
                              <w:sz w:val="21"/>
                            </w:rPr>
                            <w:fldChar w:fldCharType="separate"/>
                          </w:r>
                          <w:r>
                            <w:rPr>
                              <w:rFonts w:ascii="Calibri"/>
                              <w:spacing w:val="-5"/>
                              <w:sz w:val="21"/>
                            </w:rPr>
                            <w:t>75</w:t>
                          </w:r>
                          <w:r>
                            <w:rPr>
                              <w:rFonts w:ascii="Calibri"/>
                              <w:spacing w:val="-5"/>
                              <w:sz w:val="21"/>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9.989990pt;margin-top:767.815979pt;width:21.05pt;height:12.6pt;mso-position-horizontal-relative:page;mso-position-vertical-relative:page;z-index:-15859200" type="#_x0000_t202" id="docshape8" filled="false" stroked="false">
              <v:textbox inset="0,0,0,0">
                <w:txbxContent>
                  <w:p>
                    <w:pPr>
                      <w:spacing w:line="235" w:lineRule="exact" w:before="0"/>
                      <w:ind w:left="20" w:right="0" w:firstLine="0"/>
                      <w:jc w:val="left"/>
                      <w:rPr>
                        <w:rFonts w:ascii="Calibri"/>
                        <w:sz w:val="21"/>
                      </w:rPr>
                    </w:pPr>
                    <w:r>
                      <w:rPr>
                        <w:rFonts w:ascii="Calibri"/>
                        <w:spacing w:val="-5"/>
                        <w:sz w:val="21"/>
                      </w:rPr>
                      <w:t>1</w:t>
                    </w:r>
                    <w:r>
                      <w:rPr>
                        <w:rFonts w:ascii="Calibri"/>
                        <w:spacing w:val="-5"/>
                        <w:sz w:val="21"/>
                      </w:rPr>
                      <w:fldChar w:fldCharType="begin"/>
                    </w:r>
                    <w:r>
                      <w:rPr>
                        <w:rFonts w:ascii="Calibri"/>
                        <w:spacing w:val="-5"/>
                        <w:sz w:val="21"/>
                      </w:rPr>
                      <w:instrText> PAGE </w:instrText>
                    </w:r>
                    <w:r>
                      <w:rPr>
                        <w:rFonts w:ascii="Calibri"/>
                        <w:spacing w:val="-5"/>
                        <w:sz w:val="21"/>
                      </w:rPr>
                      <w:fldChar w:fldCharType="separate"/>
                    </w:r>
                    <w:r>
                      <w:rPr>
                        <w:rFonts w:ascii="Calibri"/>
                        <w:spacing w:val="-5"/>
                        <w:sz w:val="21"/>
                      </w:rPr>
                      <w:t>75</w:t>
                    </w:r>
                    <w:r>
                      <w:rPr>
                        <w:rFonts w:ascii="Calibri"/>
                        <w:spacing w:val="-5"/>
                        <w:sz w:val="21"/>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427" w:hanging="708"/>
        <w:jc w:val="left"/>
      </w:pPr>
      <w:rPr>
        <w:rFonts w:hint="default" w:ascii="Times New Roman" w:hAnsi="Times New Roman" w:eastAsia="Times New Roman" w:cs="Times New Roman"/>
        <w:b w:val="0"/>
        <w:bCs w:val="0"/>
        <w:i w:val="0"/>
        <w:iCs w:val="0"/>
        <w:spacing w:val="0"/>
        <w:w w:val="100"/>
        <w:sz w:val="24"/>
        <w:szCs w:val="24"/>
        <w:lang w:val="kk-KZ" w:eastAsia="en-US" w:bidi="ar-SA"/>
      </w:rPr>
    </w:lvl>
    <w:lvl w:ilvl="1">
      <w:start w:val="0"/>
      <w:numFmt w:val="bullet"/>
      <w:lvlText w:val="•"/>
      <w:lvlJc w:val="left"/>
      <w:pPr>
        <w:ind w:left="1370" w:hanging="708"/>
      </w:pPr>
      <w:rPr>
        <w:rFonts w:hint="default"/>
        <w:lang w:val="kk-KZ" w:eastAsia="en-US" w:bidi="ar-SA"/>
      </w:rPr>
    </w:lvl>
    <w:lvl w:ilvl="2">
      <w:start w:val="0"/>
      <w:numFmt w:val="bullet"/>
      <w:lvlText w:val="•"/>
      <w:lvlJc w:val="left"/>
      <w:pPr>
        <w:ind w:left="2320" w:hanging="708"/>
      </w:pPr>
      <w:rPr>
        <w:rFonts w:hint="default"/>
        <w:lang w:val="kk-KZ" w:eastAsia="en-US" w:bidi="ar-SA"/>
      </w:rPr>
    </w:lvl>
    <w:lvl w:ilvl="3">
      <w:start w:val="0"/>
      <w:numFmt w:val="bullet"/>
      <w:lvlText w:val="•"/>
      <w:lvlJc w:val="left"/>
      <w:pPr>
        <w:ind w:left="3271" w:hanging="708"/>
      </w:pPr>
      <w:rPr>
        <w:rFonts w:hint="default"/>
        <w:lang w:val="kk-KZ" w:eastAsia="en-US" w:bidi="ar-SA"/>
      </w:rPr>
    </w:lvl>
    <w:lvl w:ilvl="4">
      <w:start w:val="0"/>
      <w:numFmt w:val="bullet"/>
      <w:lvlText w:val="•"/>
      <w:lvlJc w:val="left"/>
      <w:pPr>
        <w:ind w:left="4221" w:hanging="708"/>
      </w:pPr>
      <w:rPr>
        <w:rFonts w:hint="default"/>
        <w:lang w:val="kk-KZ" w:eastAsia="en-US" w:bidi="ar-SA"/>
      </w:rPr>
    </w:lvl>
    <w:lvl w:ilvl="5">
      <w:start w:val="0"/>
      <w:numFmt w:val="bullet"/>
      <w:lvlText w:val="•"/>
      <w:lvlJc w:val="left"/>
      <w:pPr>
        <w:ind w:left="5171" w:hanging="708"/>
      </w:pPr>
      <w:rPr>
        <w:rFonts w:hint="default"/>
        <w:lang w:val="kk-KZ" w:eastAsia="en-US" w:bidi="ar-SA"/>
      </w:rPr>
    </w:lvl>
    <w:lvl w:ilvl="6">
      <w:start w:val="0"/>
      <w:numFmt w:val="bullet"/>
      <w:lvlText w:val="•"/>
      <w:lvlJc w:val="left"/>
      <w:pPr>
        <w:ind w:left="6122" w:hanging="708"/>
      </w:pPr>
      <w:rPr>
        <w:rFonts w:hint="default"/>
        <w:lang w:val="kk-KZ" w:eastAsia="en-US" w:bidi="ar-SA"/>
      </w:rPr>
    </w:lvl>
    <w:lvl w:ilvl="7">
      <w:start w:val="0"/>
      <w:numFmt w:val="bullet"/>
      <w:lvlText w:val="•"/>
      <w:lvlJc w:val="left"/>
      <w:pPr>
        <w:ind w:left="7072" w:hanging="708"/>
      </w:pPr>
      <w:rPr>
        <w:rFonts w:hint="default"/>
        <w:lang w:val="kk-KZ" w:eastAsia="en-US" w:bidi="ar-SA"/>
      </w:rPr>
    </w:lvl>
    <w:lvl w:ilvl="8">
      <w:start w:val="0"/>
      <w:numFmt w:val="bullet"/>
      <w:lvlText w:val="•"/>
      <w:lvlJc w:val="left"/>
      <w:pPr>
        <w:ind w:left="8022" w:hanging="708"/>
      </w:pPr>
      <w:rPr>
        <w:rFonts w:hint="default"/>
        <w:lang w:val="kk-KZ" w:eastAsia="en-US" w:bidi="ar-SA"/>
      </w:rPr>
    </w:lvl>
  </w:abstractNum>
  <w:abstractNum w:abstractNumId="0">
    <w:multiLevelType w:val="hybridMultilevel"/>
    <w:lvl w:ilvl="0">
      <w:start w:val="1"/>
      <w:numFmt w:val="decimal"/>
      <w:lvlText w:val="%1."/>
      <w:lvlJc w:val="left"/>
      <w:pPr>
        <w:ind w:left="1233" w:hanging="240"/>
        <w:jc w:val="left"/>
      </w:pPr>
      <w:rPr>
        <w:rFonts w:hint="default" w:ascii="Times New Roman" w:hAnsi="Times New Roman" w:eastAsia="Times New Roman" w:cs="Times New Roman"/>
        <w:b w:val="0"/>
        <w:bCs w:val="0"/>
        <w:i w:val="0"/>
        <w:iCs w:val="0"/>
        <w:spacing w:val="0"/>
        <w:w w:val="88"/>
        <w:sz w:val="24"/>
        <w:szCs w:val="24"/>
        <w:lang w:val="kk-KZ" w:eastAsia="en-US" w:bidi="ar-SA"/>
      </w:rPr>
    </w:lvl>
    <w:lvl w:ilvl="1">
      <w:start w:val="0"/>
      <w:numFmt w:val="bullet"/>
      <w:lvlText w:val="•"/>
      <w:lvlJc w:val="left"/>
      <w:pPr>
        <w:ind w:left="2108" w:hanging="240"/>
      </w:pPr>
      <w:rPr>
        <w:rFonts w:hint="default"/>
        <w:lang w:val="kk-KZ" w:eastAsia="en-US" w:bidi="ar-SA"/>
      </w:rPr>
    </w:lvl>
    <w:lvl w:ilvl="2">
      <w:start w:val="0"/>
      <w:numFmt w:val="bullet"/>
      <w:lvlText w:val="•"/>
      <w:lvlJc w:val="left"/>
      <w:pPr>
        <w:ind w:left="2976" w:hanging="240"/>
      </w:pPr>
      <w:rPr>
        <w:rFonts w:hint="default"/>
        <w:lang w:val="kk-KZ" w:eastAsia="en-US" w:bidi="ar-SA"/>
      </w:rPr>
    </w:lvl>
    <w:lvl w:ilvl="3">
      <w:start w:val="0"/>
      <w:numFmt w:val="bullet"/>
      <w:lvlText w:val="•"/>
      <w:lvlJc w:val="left"/>
      <w:pPr>
        <w:ind w:left="3845" w:hanging="240"/>
      </w:pPr>
      <w:rPr>
        <w:rFonts w:hint="default"/>
        <w:lang w:val="kk-KZ" w:eastAsia="en-US" w:bidi="ar-SA"/>
      </w:rPr>
    </w:lvl>
    <w:lvl w:ilvl="4">
      <w:start w:val="0"/>
      <w:numFmt w:val="bullet"/>
      <w:lvlText w:val="•"/>
      <w:lvlJc w:val="left"/>
      <w:pPr>
        <w:ind w:left="4713" w:hanging="240"/>
      </w:pPr>
      <w:rPr>
        <w:rFonts w:hint="default"/>
        <w:lang w:val="kk-KZ" w:eastAsia="en-US" w:bidi="ar-SA"/>
      </w:rPr>
    </w:lvl>
    <w:lvl w:ilvl="5">
      <w:start w:val="0"/>
      <w:numFmt w:val="bullet"/>
      <w:lvlText w:val="•"/>
      <w:lvlJc w:val="left"/>
      <w:pPr>
        <w:ind w:left="5581" w:hanging="240"/>
      </w:pPr>
      <w:rPr>
        <w:rFonts w:hint="default"/>
        <w:lang w:val="kk-KZ" w:eastAsia="en-US" w:bidi="ar-SA"/>
      </w:rPr>
    </w:lvl>
    <w:lvl w:ilvl="6">
      <w:start w:val="0"/>
      <w:numFmt w:val="bullet"/>
      <w:lvlText w:val="•"/>
      <w:lvlJc w:val="left"/>
      <w:pPr>
        <w:ind w:left="6450" w:hanging="240"/>
      </w:pPr>
      <w:rPr>
        <w:rFonts w:hint="default"/>
        <w:lang w:val="kk-KZ" w:eastAsia="en-US" w:bidi="ar-SA"/>
      </w:rPr>
    </w:lvl>
    <w:lvl w:ilvl="7">
      <w:start w:val="0"/>
      <w:numFmt w:val="bullet"/>
      <w:lvlText w:val="•"/>
      <w:lvlJc w:val="left"/>
      <w:pPr>
        <w:ind w:left="7318" w:hanging="240"/>
      </w:pPr>
      <w:rPr>
        <w:rFonts w:hint="default"/>
        <w:lang w:val="kk-KZ" w:eastAsia="en-US" w:bidi="ar-SA"/>
      </w:rPr>
    </w:lvl>
    <w:lvl w:ilvl="8">
      <w:start w:val="0"/>
      <w:numFmt w:val="bullet"/>
      <w:lvlText w:val="•"/>
      <w:lvlJc w:val="left"/>
      <w:pPr>
        <w:ind w:left="8186" w:hanging="240"/>
      </w:pPr>
      <w:rPr>
        <w:rFonts w:hint="default"/>
        <w:lang w:val="kk-KZ"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kk-KZ"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kk-KZ" w:eastAsia="en-US" w:bidi="ar-SA"/>
    </w:rPr>
  </w:style>
  <w:style w:styleId="Heading1" w:type="paragraph">
    <w:name w:val="Heading 1"/>
    <w:basedOn w:val="Normal"/>
    <w:uiPriority w:val="1"/>
    <w:qFormat/>
    <w:pPr>
      <w:spacing w:line="536" w:lineRule="exact"/>
      <w:ind w:left="270" w:right="730"/>
      <w:jc w:val="center"/>
      <w:outlineLvl w:val="1"/>
    </w:pPr>
    <w:rPr>
      <w:rFonts w:ascii="Times New Roman" w:hAnsi="Times New Roman" w:eastAsia="Times New Roman" w:cs="Times New Roman"/>
      <w:b/>
      <w:bCs/>
      <w:sz w:val="47"/>
      <w:szCs w:val="47"/>
      <w:lang w:val="kk-KZ" w:eastAsia="en-US" w:bidi="ar-SA"/>
    </w:rPr>
  </w:style>
  <w:style w:styleId="Heading2" w:type="paragraph">
    <w:name w:val="Heading 2"/>
    <w:basedOn w:val="Normal"/>
    <w:uiPriority w:val="1"/>
    <w:qFormat/>
    <w:pPr>
      <w:ind w:left="280"/>
      <w:jc w:val="center"/>
      <w:outlineLvl w:val="2"/>
    </w:pPr>
    <w:rPr>
      <w:rFonts w:ascii="Times New Roman" w:hAnsi="Times New Roman" w:eastAsia="Times New Roman" w:cs="Times New Roman"/>
      <w:b/>
      <w:bCs/>
      <w:sz w:val="24"/>
      <w:szCs w:val="24"/>
      <w:lang w:val="kk-KZ" w:eastAsia="en-US" w:bidi="ar-SA"/>
    </w:rPr>
  </w:style>
  <w:style w:styleId="Heading3" w:type="paragraph">
    <w:name w:val="Heading 3"/>
    <w:basedOn w:val="Normal"/>
    <w:uiPriority w:val="1"/>
    <w:qFormat/>
    <w:pPr>
      <w:spacing w:before="6"/>
      <w:ind w:left="993"/>
      <w:outlineLvl w:val="3"/>
    </w:pPr>
    <w:rPr>
      <w:rFonts w:ascii="Times New Roman" w:hAnsi="Times New Roman" w:eastAsia="Times New Roman" w:cs="Times New Roman"/>
      <w:b/>
      <w:bCs/>
      <w:sz w:val="24"/>
      <w:szCs w:val="24"/>
      <w:lang w:val="kk-KZ" w:eastAsia="en-US" w:bidi="ar-SA"/>
    </w:rPr>
  </w:style>
  <w:style w:styleId="ListParagraph" w:type="paragraph">
    <w:name w:val="List Paragraph"/>
    <w:basedOn w:val="Normal"/>
    <w:uiPriority w:val="1"/>
    <w:qFormat/>
    <w:pPr>
      <w:ind w:left="427"/>
    </w:pPr>
    <w:rPr>
      <w:rFonts w:ascii="Times New Roman" w:hAnsi="Times New Roman" w:eastAsia="Times New Roman" w:cs="Times New Roman"/>
      <w:lang w:val="kk-KZ" w:eastAsia="en-US" w:bidi="ar-SA"/>
    </w:rPr>
  </w:style>
  <w:style w:styleId="TableParagraph" w:type="paragraph">
    <w:name w:val="Table Paragraph"/>
    <w:basedOn w:val="Normal"/>
    <w:uiPriority w:val="1"/>
    <w:qFormat/>
    <w:pPr>
      <w:spacing w:line="270" w:lineRule="exact"/>
      <w:ind w:left="105"/>
    </w:pPr>
    <w:rPr>
      <w:rFonts w:ascii="Times New Roman" w:hAnsi="Times New Roman" w:eastAsia="Times New Roman" w:cs="Times New Roman"/>
      <w:lang w:val="kk-KZ"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oter" Target="footer1.xml"/><Relationship Id="rId11" Type="http://schemas.openxmlformats.org/officeDocument/2006/relationships/hyperlink" Target="https://stat.uz/img/press-relizlar/01_-vvp_press-reliz-2023-g__rus.pdf" TargetMode="External"/><Relationship Id="rId12" Type="http://schemas.openxmlformats.org/officeDocument/2006/relationships/hyperlink" Target="http://www.aa.com.tr/ru/&#1084;&#1080;&#1088;/&#1095;&#1080;&#1089;&#1083;&#1077;&#1085;&#1085;&#1086;&#1089;&#1090;&#1100;-&#1085;&#1072;&#1089;&#1077;&#1083;&#1077;&#1085;&#1080;&#1103;-&#1091;&#1079;&#1073;&#1077;&#1082;&#1080;&#1089;&#1090;&#1072;&#1085;&#1072;-&#1087;&#1088;&#1077;&#1074;&#1099;&#1089;&#1080;&#1083;&#1072;-36-" TargetMode="External"/><Relationship Id="rId13" Type="http://schemas.openxmlformats.org/officeDocument/2006/relationships/hyperlink" Target="https://stat.gov.kz/ru/industries/economy/national-accounts/publications/117664/" TargetMode="External"/><Relationship Id="rId14" Type="http://schemas.openxmlformats.org/officeDocument/2006/relationships/hyperlink" Target="https://data.worldbank.org/indicator/NY.GDP.MKTP.CD?locations=KZ" TargetMode="External"/><Relationship Id="rId15" Type="http://schemas.openxmlformats.org/officeDocument/2006/relationships/hyperlink" Target="https://data.worldbank.org/indicator/NY.GDP.MKTP.CD?locations=UZ&amp;name_desc=false" TargetMode="External"/><Relationship Id="rId16" Type="http://schemas.openxmlformats.org/officeDocument/2006/relationships/image" Target="media/image6.jpeg"/><Relationship Id="rId17" Type="http://schemas.openxmlformats.org/officeDocument/2006/relationships/hyperlink" Target="https://www.emerald.com/insight/content/doi/10.1108/AGJSR-04-2022-0017/full/html#sec002" TargetMode="External"/><Relationship Id="rId18" Type="http://schemas.openxmlformats.org/officeDocument/2006/relationships/hyperlink" Target="https://qazaqgreen.com/journal-qazaqgreen/green-finance/241/" TargetMode="External"/><Relationship Id="rId19" Type="http://schemas.openxmlformats.org/officeDocument/2006/relationships/hyperlink" Target="https://kase.kz/en/esg/bonds/" TargetMode="External"/><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2024-12-16T09:46:10Z</dcterms:created>
  <dcterms:modified xsi:type="dcterms:W3CDTF">2024-12-16T09:46:10Z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2024-12-16T00:00:00Z</vt:filetime>
  </property>
  <property fmtid="{D5CDD505-2E9C-101B-9397-08002B2CF9AE}" pid="3" name="LastSaved">
    <vt:filetime>2024-12-16T00:00:00Z</vt:filetime>
  </property>
  <property fmtid="{D5CDD505-2E9C-101B-9397-08002B2CF9AE}" pid="4" name="Producer">
    <vt:lpwstr>iLovePDF</vt:lpwstr>
  </property>
</Properties>
</file>