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114C" w14:textId="21ACFE29" w:rsidR="004E4F68" w:rsidRPr="004E4F68" w:rsidRDefault="004E4F68" w:rsidP="004E4F68">
      <w:pPr>
        <w:rPr>
          <w:rFonts w:ascii="Times" w:eastAsia="Times New Roman" w:hAnsi="Times" w:cs="Times New Roman"/>
          <w:sz w:val="20"/>
          <w:szCs w:val="20"/>
        </w:rPr>
      </w:pPr>
      <w:r w:rsidRPr="004E4F68">
        <w:rPr>
          <w:rFonts w:ascii="Arial" w:eastAsia="Times New Roman" w:hAnsi="Arial" w:cs="Arial"/>
          <w:color w:val="222222"/>
          <w:sz w:val="20"/>
          <w:szCs w:val="20"/>
          <w:shd w:val="clear" w:color="auto" w:fill="FFFFFF"/>
        </w:rPr>
        <w:t>«Digital Transformation: Trends, Challenges and Strategies»</w:t>
      </w:r>
      <w:r>
        <w:rPr>
          <w:rFonts w:ascii="Arial" w:eastAsia="Times New Roman" w:hAnsi="Arial" w:cs="Arial"/>
          <w:color w:val="222222"/>
          <w:sz w:val="20"/>
          <w:szCs w:val="20"/>
          <w:shd w:val="clear" w:color="auto" w:fill="FFFFFF"/>
        </w:rPr>
        <w:t xml:space="preserve">  conference</w:t>
      </w:r>
      <w:bookmarkStart w:id="0" w:name="_GoBack"/>
      <w:bookmarkEnd w:id="0"/>
    </w:p>
    <w:p w14:paraId="65EF71B7" w14:textId="77777777" w:rsidR="004E4F68" w:rsidRDefault="004E4F68" w:rsidP="005C1051">
      <w:pPr>
        <w:rPr>
          <w:rFonts w:ascii="Times" w:eastAsia="Times New Roman" w:hAnsi="Times" w:cs="Times New Roman"/>
          <w:sz w:val="20"/>
          <w:szCs w:val="20"/>
        </w:rPr>
      </w:pPr>
    </w:p>
    <w:p w14:paraId="2DEA62E8" w14:textId="77777777" w:rsidR="004E4F68" w:rsidRDefault="004E4F68" w:rsidP="005C1051">
      <w:pPr>
        <w:rPr>
          <w:rFonts w:ascii="Times" w:eastAsia="Times New Roman" w:hAnsi="Times" w:cs="Times New Roman"/>
          <w:sz w:val="20"/>
          <w:szCs w:val="20"/>
        </w:rPr>
      </w:pPr>
    </w:p>
    <w:p w14:paraId="26FBAEEC" w14:textId="77777777" w:rsidR="005C1051" w:rsidRPr="005C1051" w:rsidRDefault="005C1051" w:rsidP="005C1051">
      <w:pPr>
        <w:rPr>
          <w:rFonts w:ascii="Times" w:eastAsia="Times New Roman" w:hAnsi="Times" w:cs="Times New Roman"/>
          <w:sz w:val="20"/>
          <w:szCs w:val="20"/>
        </w:rPr>
      </w:pPr>
      <w:hyperlink r:id="rId6" w:history="1">
        <w:r w:rsidRPr="005C1051">
          <w:rPr>
            <w:rFonts w:ascii="Arial" w:eastAsia="Times New Roman" w:hAnsi="Arial" w:cs="Arial"/>
            <w:b/>
            <w:bCs/>
            <w:color w:val="0000FF"/>
            <w:bdr w:val="none" w:sz="0" w:space="0" w:color="auto" w:frame="1"/>
            <w:shd w:val="clear" w:color="auto" w:fill="FFFFFF"/>
          </w:rPr>
          <w:t>The Analysis of the Meaning of the Person's Internal World as a Basis of Self-Efficacy in the Educational System</w:t>
        </w:r>
      </w:hyperlink>
    </w:p>
    <w:p w14:paraId="20724C88" w14:textId="77777777" w:rsidR="005C1051" w:rsidRPr="005C1051" w:rsidRDefault="005C1051" w:rsidP="005C1051">
      <w:pPr>
        <w:rPr>
          <w:rFonts w:ascii="Times" w:eastAsia="Times New Roman" w:hAnsi="Times" w:cs="Times New Roman"/>
          <w:sz w:val="20"/>
          <w:szCs w:val="20"/>
        </w:rPr>
      </w:pPr>
      <w:hyperlink r:id="rId7" w:history="1">
        <w:r w:rsidRPr="005C1051">
          <w:rPr>
            <w:rFonts w:ascii="Arial" w:eastAsia="Times New Roman" w:hAnsi="Arial" w:cs="Arial"/>
            <w:b/>
            <w:bCs/>
            <w:color w:val="0000FF"/>
            <w:bdr w:val="none" w:sz="0" w:space="0" w:color="auto" w:frame="1"/>
            <w:shd w:val="clear" w:color="auto" w:fill="FFFFFF"/>
          </w:rPr>
          <w:t>The Analysis of the Meaning of the Person's Internal World as a Basis of Self-Efficacy in the Educational System</w:t>
        </w:r>
      </w:hyperlink>
    </w:p>
    <w:p w14:paraId="5BEECB1B" w14:textId="77777777" w:rsidR="005C1051" w:rsidRPr="005C1051" w:rsidRDefault="005C1051" w:rsidP="005C1051">
      <w:pPr>
        <w:numPr>
          <w:ilvl w:val="0"/>
          <w:numId w:val="1"/>
        </w:numPr>
        <w:shd w:val="clear" w:color="auto" w:fill="FFFFFF"/>
        <w:spacing w:beforeAutospacing="1"/>
        <w:ind w:left="0"/>
        <w:rPr>
          <w:rFonts w:ascii="Arial" w:eastAsia="Times New Roman" w:hAnsi="Arial" w:cs="Arial"/>
          <w:color w:val="111111"/>
          <w:sz w:val="20"/>
          <w:szCs w:val="20"/>
        </w:rPr>
      </w:pPr>
      <w:hyperlink r:id="rId8" w:history="1">
        <w:r w:rsidRPr="005C1051">
          <w:rPr>
            <w:rFonts w:ascii="inherit" w:eastAsia="Times New Roman" w:hAnsi="inherit" w:cs="Arial"/>
            <w:color w:val="0000FF"/>
            <w:sz w:val="20"/>
            <w:szCs w:val="20"/>
            <w:bdr w:val="none" w:sz="0" w:space="0" w:color="auto" w:frame="1"/>
          </w:rPr>
          <w:t>Fatima Tashimova</w:t>
        </w:r>
      </w:hyperlink>
    </w:p>
    <w:p w14:paraId="72F2B282" w14:textId="77777777" w:rsidR="005C1051" w:rsidRPr="005C1051" w:rsidRDefault="005C1051" w:rsidP="005C1051">
      <w:pPr>
        <w:numPr>
          <w:ilvl w:val="0"/>
          <w:numId w:val="1"/>
        </w:numPr>
        <w:shd w:val="clear" w:color="auto" w:fill="FFFFFF"/>
        <w:spacing w:beforeAutospacing="1"/>
        <w:ind w:left="0"/>
        <w:rPr>
          <w:rFonts w:ascii="Arial" w:eastAsia="Times New Roman" w:hAnsi="Arial" w:cs="Arial"/>
          <w:color w:val="111111"/>
          <w:sz w:val="20"/>
          <w:szCs w:val="20"/>
        </w:rPr>
      </w:pPr>
      <w:hyperlink r:id="rId9" w:history="1">
        <w:r>
          <w:rPr>
            <w:rFonts w:ascii="inherit" w:eastAsia="Times New Roman" w:hAnsi="inherit" w:cs="Arial"/>
            <w:noProof/>
            <w:color w:val="0000FF"/>
            <w:sz w:val="20"/>
            <w:szCs w:val="20"/>
            <w:lang w:val="en-US"/>
          </w:rPr>
          <mc:AlternateContent>
            <mc:Choice Requires="wps">
              <w:drawing>
                <wp:inline distT="0" distB="0" distL="0" distR="0" wp14:anchorId="30B62043" wp14:editId="560084C7">
                  <wp:extent cx="304800" cy="304800"/>
                  <wp:effectExtent l="0" t="0" r="0" b="0"/>
                  <wp:docPr id="3" name="AutoShape 1" descr="idana Rizull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idana Rizulla" href="https://www.researchgate.net/profile/Aidana-Rizulla?_sg%5B0%5D=dgQ3yiLgDL9q4UMd5RipqPamu2P2cAmWb3xxGa72DH5BKz3BdN7tyuKfhvomGrsfwnZKeJg.IJzE7c3_Ns2SvmgBiOyaW4tLjyVxCupZ5VanCleAbdTz1OrqXZgRSVDf5k3rzmP9JLUwfD_vymgAUDrANpghbg&amp;_sg%5B1%5D=86V2BD93veuasnL5_D2GwCOSuJJpXEX-ceok345V5GfeoArEqKQoB15yhyyG0Z1CmdEcGLE.FqDyjlPMMzOsqEe9xE1gSyZvSDzuiwrqZpMyxZedZYNdFjNEB9ZKN-JlkMaj5fg8Iw7TaNiBx55_DMGLkaRkZ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" o:button="t" filled="f" stroked="f">
                  <v:fill o:detectmouseclick="t"/>
                  <o:lock v:ext="edit" aspectratio="t"/>
                  <w10:anchorlock/>
                </v:rect>
              </w:pict>
            </mc:Fallback>
          </mc:AlternateContent>
        </w:r>
        <w:r w:rsidRPr="005C1051">
          <w:rPr>
            <w:rFonts w:ascii="inherit" w:eastAsia="Times New Roman" w:hAnsi="inherit" w:cs="Arial"/>
            <w:color w:val="0000FF"/>
            <w:sz w:val="20"/>
            <w:szCs w:val="20"/>
            <w:bdr w:val="none" w:sz="0" w:space="0" w:color="auto" w:frame="1"/>
          </w:rPr>
          <w:t>Aidana Rizulla</w:t>
        </w:r>
      </w:hyperlink>
    </w:p>
    <w:p w14:paraId="63B70E0D" w14:textId="77777777" w:rsidR="005C1051" w:rsidRPr="005C1051" w:rsidRDefault="005C1051" w:rsidP="005C1051">
      <w:pPr>
        <w:numPr>
          <w:ilvl w:val="0"/>
          <w:numId w:val="1"/>
        </w:numPr>
        <w:shd w:val="clear" w:color="auto" w:fill="FFFFFF"/>
        <w:spacing w:beforeAutospacing="1"/>
        <w:ind w:left="0"/>
        <w:rPr>
          <w:rFonts w:ascii="Arial" w:eastAsia="Times New Roman" w:hAnsi="Arial" w:cs="Arial"/>
          <w:color w:val="111111"/>
          <w:sz w:val="20"/>
          <w:szCs w:val="20"/>
        </w:rPr>
      </w:pPr>
      <w:hyperlink r:id="rId10" w:history="1">
        <w:r>
          <w:rPr>
            <w:rFonts w:ascii="inherit" w:eastAsia="Times New Roman" w:hAnsi="inherit" w:cs="Arial"/>
            <w:noProof/>
            <w:color w:val="0000FF"/>
            <w:sz w:val="20"/>
            <w:szCs w:val="20"/>
            <w:lang w:val="en-US"/>
          </w:rPr>
          <mc:AlternateContent>
            <mc:Choice Requires="wps">
              <w:drawing>
                <wp:inline distT="0" distB="0" distL="0" distR="0" wp14:anchorId="6CF2A959" wp14:editId="34579A1E">
                  <wp:extent cx="304800" cy="304800"/>
                  <wp:effectExtent l="0" t="0" r="0" b="0"/>
                  <wp:docPr id="2" name="AutoShape 2" descr="aliya Ibrayev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aliya Ibrayeva" href="https://www.researchgate.net/profile/Galiya-Ibrayeva-2?_sg%5B0%5D=dgQ3yiLgDL9q4UMd5RipqPamu2P2cAmWb3xxGa72DH5BKz3BdN7tyuKfhvomGrsfwnZKeJg.IJzE7c3_Ns2SvmgBiOyaW4tLjyVxCupZ5VanCleAbdTz1OrqXZgRSVDf5k3rzmP9JLUwfD_vymgAUDrANpghbg&amp;_sg%5B1%5D=86V2BD93veuasnL5_D2GwCOSuJJpXEX-ceok345V5GfeoArEqKQoB15yhyyG0Z1CmdEcGLE.FqDyjlPMMzOsqEe9xE1gSyZvSDzuiwrqZpMyxZedZYNdFjNEB9ZKN-JlkMaj5fg8Iw7TaNiBx55_DMGLkaRkZ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" o:button="t" filled="f" stroked="f">
                  <v:fill o:detectmouseclick="t"/>
                  <o:lock v:ext="edit" aspectratio="t"/>
                  <w10:anchorlock/>
                </v:rect>
              </w:pict>
            </mc:Fallback>
          </mc:AlternateContent>
        </w:r>
        <w:r w:rsidRPr="005C1051">
          <w:rPr>
            <w:rFonts w:ascii="inherit" w:eastAsia="Times New Roman" w:hAnsi="inherit" w:cs="Arial"/>
            <w:color w:val="0000FF"/>
            <w:sz w:val="20"/>
            <w:szCs w:val="20"/>
            <w:bdr w:val="none" w:sz="0" w:space="0" w:color="auto" w:frame="1"/>
          </w:rPr>
          <w:t>Galiya Ibrayeva</w:t>
        </w:r>
      </w:hyperlink>
    </w:p>
    <w:p w14:paraId="00A2E710" w14:textId="77777777" w:rsidR="005C1051" w:rsidRPr="005C1051" w:rsidRDefault="005C1051" w:rsidP="005C1051">
      <w:pPr>
        <w:numPr>
          <w:ilvl w:val="0"/>
          <w:numId w:val="1"/>
        </w:numPr>
        <w:shd w:val="clear" w:color="auto" w:fill="FFFFFF"/>
        <w:spacing w:before="100" w:beforeAutospacing="1" w:after="120"/>
        <w:ind w:left="0"/>
        <w:rPr>
          <w:rFonts w:ascii="Arial" w:eastAsia="Times New Roman" w:hAnsi="Arial" w:cs="Arial"/>
          <w:color w:val="111111"/>
          <w:sz w:val="20"/>
          <w:szCs w:val="20"/>
        </w:rPr>
      </w:pPr>
      <w:r w:rsidRPr="005C1051">
        <w:rPr>
          <w:rFonts w:ascii="Arial" w:eastAsia="Times New Roman" w:hAnsi="Arial" w:cs="Arial"/>
          <w:color w:val="111111"/>
          <w:sz w:val="20"/>
          <w:szCs w:val="20"/>
        </w:rPr>
        <w:t>Show all 5 authors</w:t>
      </w:r>
    </w:p>
    <w:p w14:paraId="0486F83B" w14:textId="77777777" w:rsidR="005C1051" w:rsidRPr="005C1051" w:rsidRDefault="005C1051" w:rsidP="005C1051">
      <w:pPr>
        <w:numPr>
          <w:ilvl w:val="0"/>
          <w:numId w:val="1"/>
        </w:numPr>
        <w:shd w:val="clear" w:color="auto" w:fill="FFFFFF"/>
        <w:spacing w:beforeAutospacing="1" w:afterAutospacing="1"/>
        <w:ind w:left="0"/>
        <w:rPr>
          <w:rFonts w:ascii="Arial" w:eastAsia="Times New Roman" w:hAnsi="Arial" w:cs="Arial"/>
          <w:color w:val="111111"/>
          <w:sz w:val="20"/>
          <w:szCs w:val="20"/>
        </w:rPr>
      </w:pPr>
      <w:hyperlink r:id="rId11" w:history="1">
        <w:r>
          <w:rPr>
            <w:rFonts w:ascii="inherit" w:eastAsia="Times New Roman" w:hAnsi="inherit" w:cs="Arial"/>
            <w:noProof/>
            <w:color w:val="0000FF"/>
            <w:sz w:val="20"/>
            <w:szCs w:val="20"/>
            <w:lang w:val="en-US"/>
          </w:rPr>
          <mc:AlternateContent>
            <mc:Choice Requires="wps">
              <w:drawing>
                <wp:inline distT="0" distB="0" distL="0" distR="0" wp14:anchorId="1FC04233" wp14:editId="2DB85514">
                  <wp:extent cx="304800" cy="304800"/>
                  <wp:effectExtent l="0" t="0" r="0" b="0"/>
                  <wp:docPr id="1" name="AutoShape 3" descr="akhtiyar Nurumov">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akhtiyar Nurumov" href="https://www.researchgate.net/profile/Bakhtiyar-Nurumov?_sg%5B0%5D=dgQ3yiLgDL9q4UMd5RipqPamu2P2cAmWb3xxGa72DH5BKz3BdN7tyuKfhvomGrsfwnZKeJg.IJzE7c3_Ns2SvmgBiOyaW4tLjyVxCupZ5VanCleAbdTz1OrqXZgRSVDf5k3rzmP9JLUwfD_vymgAUDrANpghbg&amp;_sg%5B1%5D=86V2BD93veuasnL5_D2GwCOSuJJpXEX-ceok345V5GfeoArEqKQoB15yhyyG0Z1CmdEcGLE.FqDyjlPMMzOsqEe9xE1gSyZvSDzuiwrqZpMyxZedZYNdFjNEB9ZKN-JlkMaj5fg8Iw7TaNiBx55_DMGLkaRkZ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" o:button="t" filled="f" stroked="f">
                  <v:fill o:detectmouseclick="t"/>
                  <o:lock v:ext="edit" aspectratio="t"/>
                  <w10:anchorlock/>
                </v:rect>
              </w:pict>
            </mc:Fallback>
          </mc:AlternateContent>
        </w:r>
        <w:r w:rsidRPr="005C1051">
          <w:rPr>
            <w:rFonts w:ascii="inherit" w:eastAsia="Times New Roman" w:hAnsi="inherit" w:cs="Arial"/>
            <w:color w:val="0000FF"/>
            <w:sz w:val="20"/>
            <w:szCs w:val="20"/>
            <w:bdr w:val="none" w:sz="0" w:space="0" w:color="auto" w:frame="1"/>
          </w:rPr>
          <w:t>Bakhtiyar Nurumov</w:t>
        </w:r>
      </w:hyperlink>
    </w:p>
    <w:p w14:paraId="48ED9161" w14:textId="77777777" w:rsidR="00E22C1F" w:rsidRPr="00E22C1F" w:rsidRDefault="00E22C1F" w:rsidP="00E22C1F">
      <w:pPr>
        <w:pStyle w:val="a4"/>
        <w:numPr>
          <w:ilvl w:val="0"/>
          <w:numId w:val="1"/>
        </w:numPr>
        <w:rPr>
          <w:rFonts w:ascii="Arial" w:eastAsia="Times New Roman" w:hAnsi="Arial" w:cs="Arial"/>
          <w:color w:val="111111"/>
          <w:sz w:val="18"/>
          <w:szCs w:val="18"/>
        </w:rPr>
      </w:pPr>
      <w:r w:rsidRPr="00E22C1F">
        <w:rPr>
          <w:rFonts w:ascii="Arial" w:eastAsia="Times New Roman" w:hAnsi="Arial" w:cs="Arial"/>
          <w:color w:val="111111"/>
          <w:sz w:val="18"/>
          <w:szCs w:val="18"/>
        </w:rPr>
        <w:t>Abstract</w:t>
      </w:r>
    </w:p>
    <w:p w14:paraId="5CEF0013" w14:textId="77777777" w:rsidR="00E22C1F" w:rsidRPr="00E22C1F" w:rsidRDefault="00E22C1F" w:rsidP="00E22C1F">
      <w:pPr>
        <w:pStyle w:val="a4"/>
        <w:numPr>
          <w:ilvl w:val="0"/>
          <w:numId w:val="1"/>
        </w:numPr>
        <w:rPr>
          <w:rFonts w:ascii="Arial" w:eastAsia="Times New Roman" w:hAnsi="Arial" w:cs="Arial"/>
          <w:color w:val="111111"/>
          <w:sz w:val="18"/>
          <w:szCs w:val="18"/>
        </w:rPr>
      </w:pPr>
      <w:r w:rsidRPr="00E22C1F">
        <w:rPr>
          <w:rFonts w:ascii="Arial" w:eastAsia="Times New Roman" w:hAnsi="Arial" w:cs="Arial"/>
          <w:color w:val="111111"/>
          <w:sz w:val="18"/>
          <w:szCs w:val="18"/>
        </w:rPr>
        <w:t>The formation of the subject of the education system is inextricably linkedwith factors of self-knowledge and self-awareness that includes the knowledge of one's own inner world. The inner world was associated with mental processes, conscious and unconscious factors, feelings and emotions, semantic reality. In recent years, in connection with the understanding of a person as a collective phenomenon, the inner world begins to be perceived as a representation of significant others. In particular, in psychoanalysis it is the representation of parents, in individual psychology it is siblings, in analytical psychology it is a multitude of personalities, up to the first man, that determine the formation of subjectivity. Based on this, we define the inner world not just as a semantic reality, but a reality for the production of meanings, provided by the cooperation of all the intimate personalities represented in one person, with whom she/he interacts directly and indirectly.Based on this, we propose a semantic analysis of the inner world, which involves the identification of a system of significant personalities, the subjective reflection of their values and actions, the study and rethinking of positive and negative influences that ensure the formation of new meanings.</w:t>
      </w:r>
    </w:p>
    <w:p w14:paraId="57E2BE94" w14:textId="77777777" w:rsidR="00CB113F" w:rsidRDefault="00CB113F"/>
    <w:p w14:paraId="51460144" w14:textId="77777777" w:rsidR="009348CE" w:rsidRDefault="009348CE"/>
    <w:p w14:paraId="05AB6E24" w14:textId="77777777" w:rsidR="009348CE" w:rsidRDefault="009348CE"/>
    <w:p w14:paraId="460888A4" w14:textId="77777777" w:rsidR="009348CE" w:rsidRPr="009348CE" w:rsidRDefault="009348CE" w:rsidP="009348CE">
      <w:pPr>
        <w:rPr>
          <w:rFonts w:ascii="Times" w:eastAsia="Times New Roman" w:hAnsi="Times" w:cs="Times New Roman"/>
          <w:sz w:val="20"/>
          <w:szCs w:val="20"/>
        </w:rPr>
      </w:pPr>
      <w:r w:rsidRPr="009348CE">
        <w:rPr>
          <w:rFonts w:ascii="Helvetica" w:eastAsia="Times New Roman" w:hAnsi="Helvetica" w:cs="Times New Roman"/>
          <w:sz w:val="40"/>
          <w:szCs w:val="40"/>
        </w:rPr>
        <w:t xml:space="preserve">АНАЛИЗ ЗНАЧЕНИЯ ЛИЧНОСТИ ВНУТРЕННИЙ МИР КАК ОСНОВА САМОЭФФЕКТИВНОСТИ В ОБРАЗОВАТЕЛЬНАЯ СИСТЕМА </w:t>
      </w:r>
      <w:r w:rsidRPr="009348CE">
        <w:rPr>
          <w:rFonts w:ascii="Times" w:eastAsia="Times New Roman" w:hAnsi="Times" w:cs="Times New Roman"/>
          <w:sz w:val="29"/>
          <w:szCs w:val="29"/>
        </w:rPr>
        <w:t xml:space="preserve">  </w:t>
      </w:r>
      <w:r w:rsidRPr="009348CE">
        <w:rPr>
          <w:rFonts w:ascii="Times New Roman" w:eastAsia="Times New Roman" w:hAnsi="Times New Roman" w:cs="Times New Roman"/>
          <w:sz w:val="29"/>
          <w:szCs w:val="29"/>
        </w:rPr>
        <w:t xml:space="preserve">Фатима </w:t>
      </w:r>
      <w:r w:rsidRPr="009348CE">
        <w:rPr>
          <w:rFonts w:ascii="Times" w:eastAsia="Times New Roman" w:hAnsi="Times" w:cs="Times New Roman"/>
          <w:sz w:val="29"/>
          <w:szCs w:val="29"/>
        </w:rPr>
        <w:t>Ташимова</w:t>
      </w:r>
      <w:r w:rsidRPr="009348CE">
        <w:rPr>
          <w:rFonts w:ascii="Helvetica" w:eastAsia="Times New Roman" w:hAnsi="Helvetica" w:cs="Times New Roman"/>
          <w:sz w:val="19"/>
          <w:szCs w:val="19"/>
        </w:rPr>
        <w:t>1</w:t>
      </w:r>
      <w:r w:rsidRPr="009348CE">
        <w:rPr>
          <w:rFonts w:ascii="Times" w:eastAsia="Times New Roman" w:hAnsi="Times" w:cs="Times New Roman"/>
          <w:sz w:val="29"/>
          <w:szCs w:val="29"/>
        </w:rPr>
        <w:t xml:space="preserve">*, </w:t>
      </w:r>
      <w:r w:rsidRPr="009348CE">
        <w:rPr>
          <w:rFonts w:ascii="Times New Roman" w:eastAsia="Times New Roman" w:hAnsi="Times New Roman" w:cs="Times New Roman"/>
          <w:sz w:val="29"/>
          <w:szCs w:val="29"/>
        </w:rPr>
        <w:t>Айдана</w:t>
      </w:r>
      <w:r w:rsidRPr="009348CE">
        <w:rPr>
          <w:rFonts w:ascii="Times" w:eastAsia="Times New Roman" w:hAnsi="Times" w:cs="Times New Roman"/>
          <w:sz w:val="29"/>
          <w:szCs w:val="29"/>
        </w:rPr>
        <w:t xml:space="preserve"> Ризулла</w:t>
      </w:r>
      <w:r w:rsidRPr="009348CE">
        <w:rPr>
          <w:rFonts w:ascii="Times New Roman" w:eastAsia="Times New Roman" w:hAnsi="Times New Roman" w:cs="Times New Roman"/>
          <w:sz w:val="19"/>
          <w:szCs w:val="19"/>
        </w:rPr>
        <w:t>1</w:t>
      </w:r>
      <w:r w:rsidRPr="009348CE">
        <w:rPr>
          <w:rFonts w:ascii="Times" w:eastAsia="Times New Roman" w:hAnsi="Times" w:cs="Times New Roman"/>
          <w:sz w:val="29"/>
          <w:szCs w:val="29"/>
        </w:rPr>
        <w:t xml:space="preserve">, </w:t>
      </w:r>
      <w:r w:rsidRPr="009348CE">
        <w:rPr>
          <w:rFonts w:ascii="Times New Roman" w:eastAsia="Times New Roman" w:hAnsi="Times New Roman" w:cs="Times New Roman"/>
          <w:sz w:val="29"/>
          <w:szCs w:val="29"/>
        </w:rPr>
        <w:t>Галия</w:t>
      </w:r>
      <w:r w:rsidRPr="009348CE">
        <w:rPr>
          <w:rFonts w:ascii="Times" w:eastAsia="Times New Roman" w:hAnsi="Times" w:cs="Times New Roman"/>
          <w:sz w:val="29"/>
          <w:szCs w:val="29"/>
        </w:rPr>
        <w:t xml:space="preserve"> Ибраева</w:t>
      </w:r>
      <w:r w:rsidRPr="009348CE">
        <w:rPr>
          <w:rFonts w:ascii="Times New Roman" w:eastAsia="Times New Roman" w:hAnsi="Times New Roman" w:cs="Times New Roman"/>
          <w:sz w:val="19"/>
          <w:szCs w:val="19"/>
        </w:rPr>
        <w:t>1</w:t>
      </w:r>
      <w:r w:rsidRPr="009348CE">
        <w:rPr>
          <w:rFonts w:ascii="Times" w:eastAsia="Times New Roman" w:hAnsi="Times" w:cs="Times New Roman"/>
          <w:sz w:val="29"/>
          <w:szCs w:val="29"/>
        </w:rPr>
        <w:t xml:space="preserve">,   </w:t>
      </w:r>
      <w:r w:rsidRPr="009348CE">
        <w:rPr>
          <w:rFonts w:ascii="Times New Roman" w:eastAsia="Times New Roman" w:hAnsi="Times New Roman" w:cs="Times New Roman"/>
          <w:sz w:val="29"/>
          <w:szCs w:val="29"/>
        </w:rPr>
        <w:t>Гульнар</w:t>
      </w:r>
      <w:r w:rsidRPr="009348CE">
        <w:rPr>
          <w:rFonts w:ascii="Times" w:eastAsia="Times New Roman" w:hAnsi="Times" w:cs="Times New Roman"/>
          <w:sz w:val="29"/>
          <w:szCs w:val="29"/>
        </w:rPr>
        <w:t xml:space="preserve"> Абдуллина</w:t>
      </w:r>
      <w:r w:rsidRPr="009348CE">
        <w:rPr>
          <w:rFonts w:ascii="Times" w:eastAsia="Times New Roman" w:hAnsi="Times" w:cs="Times New Roman"/>
          <w:sz w:val="19"/>
          <w:szCs w:val="19"/>
        </w:rPr>
        <w:t>2</w:t>
      </w:r>
      <w:r w:rsidRPr="009348CE">
        <w:rPr>
          <w:rFonts w:ascii="Times New Roman" w:eastAsia="Times New Roman" w:hAnsi="Times New Roman" w:cs="Times New Roman"/>
          <w:sz w:val="29"/>
          <w:szCs w:val="29"/>
        </w:rPr>
        <w:t xml:space="preserve">, </w:t>
      </w:r>
      <w:r w:rsidRPr="009348CE">
        <w:rPr>
          <w:rFonts w:ascii="Times" w:eastAsia="Times New Roman" w:hAnsi="Times" w:cs="Times New Roman"/>
          <w:sz w:val="29"/>
          <w:szCs w:val="29"/>
        </w:rPr>
        <w:t xml:space="preserve"> </w:t>
      </w:r>
      <w:r w:rsidRPr="009348CE">
        <w:rPr>
          <w:rFonts w:ascii="Times New Roman" w:eastAsia="Times New Roman" w:hAnsi="Times New Roman" w:cs="Times New Roman"/>
          <w:sz w:val="29"/>
          <w:szCs w:val="29"/>
        </w:rPr>
        <w:t>Бахтияр</w:t>
      </w:r>
      <w:r w:rsidRPr="009348CE">
        <w:rPr>
          <w:rFonts w:ascii="Times" w:eastAsia="Times New Roman" w:hAnsi="Times" w:cs="Times New Roman"/>
          <w:sz w:val="29"/>
          <w:szCs w:val="29"/>
        </w:rPr>
        <w:t xml:space="preserve"> Нурумов</w:t>
      </w:r>
      <w:r w:rsidRPr="009348CE">
        <w:rPr>
          <w:rFonts w:ascii="Times" w:eastAsia="Times New Roman" w:hAnsi="Times" w:cs="Times New Roman"/>
          <w:sz w:val="19"/>
          <w:szCs w:val="19"/>
        </w:rPr>
        <w:t xml:space="preserve">3 </w:t>
      </w:r>
      <w:r w:rsidRPr="009348CE">
        <w:rPr>
          <w:rFonts w:ascii="Times" w:eastAsia="Times New Roman" w:hAnsi="Times" w:cs="Times New Roman"/>
          <w:sz w:val="17"/>
          <w:szCs w:val="17"/>
        </w:rPr>
        <w:t xml:space="preserve"> 1</w:t>
      </w:r>
      <w:r w:rsidRPr="009348CE">
        <w:rPr>
          <w:rFonts w:ascii="Times" w:eastAsia="Times New Roman" w:hAnsi="Times" w:cs="Times New Roman"/>
          <w:sz w:val="26"/>
          <w:szCs w:val="26"/>
        </w:rPr>
        <w:t xml:space="preserve"> КазНУ им. Аль-Фараби, пр. альФараби, 71, 050040 Алматы, Республика Казахстан </w:t>
      </w:r>
      <w:r w:rsidRPr="009348CE">
        <w:rPr>
          <w:rFonts w:ascii="Times" w:eastAsia="Times New Roman" w:hAnsi="Times" w:cs="Times New Roman"/>
          <w:sz w:val="17"/>
          <w:szCs w:val="17"/>
        </w:rPr>
        <w:t>2</w:t>
      </w:r>
      <w:r w:rsidRPr="009348CE">
        <w:rPr>
          <w:rFonts w:ascii="Times" w:eastAsia="Times New Roman" w:hAnsi="Times" w:cs="Times New Roman"/>
          <w:sz w:val="26"/>
          <w:szCs w:val="26"/>
        </w:rPr>
        <w:t xml:space="preserve">Казахский гуманитарно-правовой инновационный университет, ул. Мангилик ел, 11, 071400, г. Семей,Казахстан </w:t>
      </w:r>
      <w:r w:rsidRPr="009348CE">
        <w:rPr>
          <w:rFonts w:ascii="Times" w:eastAsia="Times New Roman" w:hAnsi="Times" w:cs="Times New Roman"/>
          <w:sz w:val="17"/>
          <w:szCs w:val="17"/>
        </w:rPr>
        <w:t>3</w:t>
      </w:r>
      <w:r w:rsidRPr="009348CE">
        <w:rPr>
          <w:rFonts w:ascii="Times" w:eastAsia="Times New Roman" w:hAnsi="Times" w:cs="Times New Roman"/>
          <w:sz w:val="26"/>
          <w:szCs w:val="26"/>
        </w:rPr>
        <w:t xml:space="preserve"> Университет Сулеймана-Демиреля, Ул. Аблайхана, 1/1, 040900, Каскелен, Алматы, Казахстан </w:t>
      </w:r>
      <w:r w:rsidRPr="009348CE">
        <w:rPr>
          <w:rFonts w:ascii="Times New Roman" w:eastAsia="Times New Roman" w:hAnsi="Times New Roman" w:cs="Times New Roman"/>
          <w:sz w:val="26"/>
          <w:szCs w:val="26"/>
        </w:rPr>
        <w:t xml:space="preserve"> </w:t>
      </w:r>
      <w:r w:rsidRPr="009348CE">
        <w:rPr>
          <w:rFonts w:ascii="Times New Roman" w:eastAsia="Times New Roman" w:hAnsi="Times New Roman" w:cs="Times New Roman"/>
          <w:sz w:val="29"/>
          <w:szCs w:val="29"/>
        </w:rPr>
        <w:t xml:space="preserve"> </w:t>
      </w:r>
      <w:r w:rsidRPr="009348CE">
        <w:rPr>
          <w:rFonts w:ascii="Helvetica" w:eastAsia="Times New Roman" w:hAnsi="Helvetica" w:cs="Times New Roman"/>
          <w:sz w:val="26"/>
          <w:szCs w:val="26"/>
        </w:rPr>
        <w:t>Абстрактный.</w:t>
      </w:r>
      <w:r w:rsidRPr="009348CE">
        <w:rPr>
          <w:rFonts w:ascii="Times" w:eastAsia="Times New Roman" w:hAnsi="Times" w:cs="Times New Roman"/>
          <w:sz w:val="26"/>
          <w:szCs w:val="26"/>
        </w:rPr>
        <w:t xml:space="preserve">  Формирование предмета системы образования - это неразрывно связаны с факторами самопознания и самосознания, которые включает в себя знание собственного внутреннего мира. Внутренний мир былсвязанные с психическими процессами, сознательными и бессознательными факторами, чувства и эмоции, смысловая реальность. В последние годы в связи сс пониманием человека как коллективного явления внутреннее мир начинает восприниматься как представление значимых других. Вв частности, в психоанализе это представление родителей, в индивидуальная психология - это братья и сестры, в аналитической психологии - это множество личностей, вплоть до первого человека, которые определяют формирование субъективности. Исходя из этого, мы </w:t>
      </w:r>
      <w:r w:rsidRPr="009348CE">
        <w:rPr>
          <w:rFonts w:ascii="Times" w:eastAsia="Times New Roman" w:hAnsi="Times" w:cs="Times New Roman"/>
          <w:sz w:val="26"/>
          <w:szCs w:val="26"/>
        </w:rPr>
        <w:lastRenderedPageBreak/>
        <w:t xml:space="preserve">определяем внутренний мир не простокак семантическая реальность, но реальность для производства значений, обеспечивается сотрудничеством всех интимных личностей, представленных в один человек, с которым он / она взаимодействует прямо или косвенно. для этого мы предлагаем семантический анализ внутреннего мира, который предполагает выявление системы значимых личностей, субъективных отражение своих ценностей и действий, изучение и переосмысление положительного и негативные воздействия, обеспечивающие формирование новых смыслов. </w:t>
      </w:r>
      <w:r w:rsidRPr="009348CE">
        <w:rPr>
          <w:rFonts w:ascii="Times" w:eastAsia="Times New Roman" w:hAnsi="Times" w:cs="Times New Roman"/>
          <w:sz w:val="29"/>
          <w:szCs w:val="29"/>
        </w:rPr>
        <w:t xml:space="preserve">     </w:t>
      </w:r>
      <w:r w:rsidRPr="009348CE">
        <w:rPr>
          <w:rFonts w:ascii="Helvetica" w:eastAsia="Times New Roman" w:hAnsi="Helvetica" w:cs="Times New Roman"/>
          <w:sz w:val="34"/>
          <w:szCs w:val="34"/>
        </w:rPr>
        <w:t xml:space="preserve">Вступление </w:t>
      </w:r>
      <w:r w:rsidRPr="009348CE">
        <w:rPr>
          <w:rFonts w:ascii="Times" w:eastAsia="Times New Roman" w:hAnsi="Times" w:cs="Times New Roman"/>
          <w:sz w:val="29"/>
          <w:szCs w:val="29"/>
        </w:rPr>
        <w:t xml:space="preserve"> Одним из важных факторов, определяющих самоэффективность человека в системе образования, является: семантический анализ внутреннего мира личности. Понимание внутреннего мира - этонеразрывно связаны с определением человека как целостного и системного явления, как многокомпонентный мир. К сожалению, сегодня у психологов нет единого мнения по поводупонимание человека как коллективного явления. Проблема человека какКоллективное явление получило развитие в работах С.Л. Рубинштейна [1]. Однако к этомуСегодня его идеи недостаточно раскрыты в том ключе, который изложен в его произведениях. Некоторымстепень, субъект понимается как группа [2-3], однако не раскрывается, какие группы </w:t>
      </w:r>
      <w:r w:rsidRPr="009348CE">
        <w:rPr>
          <w:rFonts w:ascii="Helvetica" w:eastAsia="Times New Roman" w:hAnsi="Helvetica" w:cs="Times New Roman"/>
          <w:sz w:val="32"/>
          <w:szCs w:val="32"/>
        </w:rPr>
        <w:t xml:space="preserve">                                                           </w:t>
      </w:r>
      <w:r w:rsidRPr="009348CE">
        <w:rPr>
          <w:rFonts w:ascii="Times" w:eastAsia="Times New Roman" w:hAnsi="Times" w:cs="Times New Roman"/>
          <w:sz w:val="19"/>
          <w:szCs w:val="19"/>
        </w:rPr>
        <w:t>*</w:t>
      </w:r>
      <w:r w:rsidRPr="009348CE">
        <w:rPr>
          <w:rFonts w:ascii="Times" w:eastAsia="Times New Roman" w:hAnsi="Times" w:cs="Times New Roman"/>
          <w:sz w:val="29"/>
          <w:szCs w:val="29"/>
        </w:rPr>
        <w:t xml:space="preserve"> </w:t>
      </w:r>
      <w:r w:rsidRPr="009348CE">
        <w:rPr>
          <w:rFonts w:ascii="Times" w:eastAsia="Times New Roman" w:hAnsi="Times" w:cs="Times New Roman"/>
          <w:sz w:val="26"/>
          <w:szCs w:val="26"/>
        </w:rPr>
        <w:t>Автор, ответственный за переписку:</w:t>
      </w:r>
      <w:r w:rsidRPr="009348CE">
        <w:rPr>
          <w:rFonts w:ascii="Times New Roman" w:eastAsia="Times New Roman" w:hAnsi="Times New Roman" w:cs="Times New Roman"/>
          <w:sz w:val="29"/>
          <w:szCs w:val="29"/>
        </w:rPr>
        <w:t xml:space="preserve"> </w:t>
      </w:r>
      <w:r w:rsidRPr="009348CE">
        <w:rPr>
          <w:rFonts w:ascii="Times" w:eastAsia="Times New Roman" w:hAnsi="Times" w:cs="Times New Roman"/>
          <w:sz w:val="26"/>
          <w:szCs w:val="26"/>
        </w:rPr>
        <w:t xml:space="preserve">fatima_tashimova@mail.ru </w:t>
      </w:r>
      <w:r w:rsidRPr="009348CE">
        <w:rPr>
          <w:rFonts w:ascii="Times" w:eastAsia="Times New Roman" w:hAnsi="Times" w:cs="Times New Roman"/>
          <w:sz w:val="23"/>
          <w:szCs w:val="23"/>
        </w:rPr>
        <w:t>© Авторы, опубликовано EDP Sciences. Это статья в открытом доступе, распространяемая в соответствии с условиями Creative Commons.Лицензия на авторство 4.0 (http://creativecommons.org/licenses/by/4.0/).</w:t>
      </w:r>
      <w:r w:rsidRPr="009348CE">
        <w:rPr>
          <w:rFonts w:ascii="Times" w:eastAsia="Times New Roman" w:hAnsi="Times" w:cs="Times New Roman"/>
          <w:sz w:val="26"/>
          <w:szCs w:val="26"/>
        </w:rPr>
        <w:t xml:space="preserve">E3S Сеть конференций </w:t>
      </w:r>
      <w:r w:rsidRPr="009348CE">
        <w:rPr>
          <w:rFonts w:ascii="Courier" w:eastAsia="Times New Roman" w:hAnsi="Courier" w:cs="Times New Roman"/>
          <w:sz w:val="26"/>
          <w:szCs w:val="26"/>
        </w:rPr>
        <w:t>159</w:t>
      </w:r>
      <w:r w:rsidRPr="009348CE">
        <w:rPr>
          <w:rFonts w:ascii="Times" w:eastAsia="Times New Roman" w:hAnsi="Times" w:cs="Times New Roman"/>
          <w:sz w:val="26"/>
          <w:szCs w:val="26"/>
        </w:rPr>
        <w:t>, 09012 (2020) BTSES-2020https://doi.org/10.1051/e3sconf/202015909012</w:t>
      </w:r>
    </w:p>
    <w:p w14:paraId="506ECCBA"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0"/>
          <w:szCs w:val="20"/>
        </w:rPr>
        <w:t>Стр. 2</w:t>
      </w:r>
    </w:p>
    <w:p w14:paraId="45B0CA8B"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9"/>
          <w:szCs w:val="29"/>
        </w:rPr>
        <w:t>представлены в лицах [4-5]. В связи с этим существует большое разнообразие содержаниявнутренний мир человека как индивидуальный субъект, онтогенетический субъект и филогенетический предмет. И, к сожалению, все это на уровне высказываний и теоретизирования. В этомЧто касается определения внутреннего мира, то для него характерно довольно большое разнообразие и, соответственно, неопределенность, например, внутренний мир, определяемый родительскими интроектами, есть представлены в психоанализе [6-7] как результат взаимоотношений с братьями и сестрами в индивидуальном психология [8], как представление предков перед первым лицом в аналитических психология [9], как смысловая реальность [10]. Таким образом, понимание внутреннего мирахарактеризуются акцентом на определенные системы: интроекты родителей, симблинг, предков, при этом все эти системы представлены в человеке целостно. В связи с этим первые исследования этой проблемы мы можем найти в концепции ал-Фараби [11], который описал «человека как микрокосм, в котором весь макрокосм представлен », имея в виду эту идею, мы определяем человека как представителя многих личностей. который регулирует и интегрирует все структурные компоненты: содержательные и инструментальные. Исходя из этого, внутренний мир человека понимается как интимный, целостный, священный, структурированный по важности интимных личностей, представленных в нем, действуя как сообщники в процессе смыслообразования [12]. Что такое интимный человек? Интимный человек не имеет ничего общего с объектомсексуальное партнерство, тем более что секс в жизни людей неограничен. Впонятие «интимное» относится к сакральному и скрытому. Исходя из этого, интимный человек - этосубъективно отраженный, со всеми положительными и отрицательными сторонами, не презентабельный снаружи мир и не вербализованный вслух, образ значимого человека, переливающийся разные грани в разных ситуациях. Скрытность, святость, сокрытие от другогочеловека и слабое осознание представленных личностей обеспечивают близость внутреннего Мир. Интимен только внутренний мир человека, скрытый от окружающих.люди и доступ в этот мир разрешен только ему / ей. Во внутреннем мире этохарактеризуется как площадка для свободного размышления, где человек - единственный хозяин своего мысли, переживания, образы интимных личностей и существующие конструируются им / ею (субъективная картина мира). Люди, которые окружают человека, могутпознать его внутренний мир через анализ действий, поступков и проекций. Это интимные личности, которые побуждают нас к определенным делам «выходить за рамки самих себя »для преодоления, а также разумную защиту в виде« некоторой остановки во времени », связанной с углубление сущности вещей и явлений и обеспечение удаления всего ненужное, бесполезное, поверхностное и пустое в процессе смыслообразования. Как и тывидите, во внутреннем мире смерти нет. И выжившие люди, и люди, у которыхушедшие в другой мир продолжают незримо влиять на все выборы человека. Внутренниймир - это жизнь других людей в человеке и их сотворчество, связанное с производством смысла, стимулирующего преодоление жизненных трудностей. Интимные личности внутреннего мира принимают невидимое участие в процессе соотнесения, выбор акцента на той или иной мере проявления определенных ценностей и стимулировать процессы смыслообразования и осознания смысла. В связи с этим внутренний мир - это не просто смысловая реальность [10], это реальность производство смысла. Вопрос: «Кто имеет смысл?» Человек и многие близкиеличности, живущие в его внутреннем мире (как живые, так и «ушедшие»), а также любимые объекты материальной и окружающей природы, которые определяют производство смысла. В этомИтак, методология семантического анализа направлена ​​на выявление субъективных отражение различных интимных личностей, осмысление и понимание их действий и ценности, положительный и отрицательный вклад, осознание и развитие нового взгляда на сегодняшние реалии, развитие и прощение травмирующих ситуаций, а также благословение и признательность за положительный опыт. 2</w:t>
      </w:r>
      <w:r w:rsidRPr="009348CE">
        <w:rPr>
          <w:rFonts w:ascii="Times" w:eastAsia="Times New Roman" w:hAnsi="Times" w:cs="Times New Roman"/>
          <w:sz w:val="26"/>
          <w:szCs w:val="26"/>
        </w:rPr>
        <w:t xml:space="preserve">E3S Сеть конференций </w:t>
      </w:r>
      <w:r w:rsidRPr="009348CE">
        <w:rPr>
          <w:rFonts w:ascii="Courier" w:eastAsia="Times New Roman" w:hAnsi="Courier" w:cs="Times New Roman"/>
          <w:sz w:val="26"/>
          <w:szCs w:val="26"/>
        </w:rPr>
        <w:t>159</w:t>
      </w:r>
      <w:r w:rsidRPr="009348CE">
        <w:rPr>
          <w:rFonts w:ascii="Times" w:eastAsia="Times New Roman" w:hAnsi="Times" w:cs="Times New Roman"/>
          <w:sz w:val="26"/>
          <w:szCs w:val="26"/>
        </w:rPr>
        <w:t>, 09012 (2020) BTSES-2020https://doi.org/10.1051/e3sconf/202015909012</w:t>
      </w:r>
    </w:p>
    <w:p w14:paraId="2A572192"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0"/>
          <w:szCs w:val="20"/>
        </w:rPr>
        <w:t>Стр. 3</w:t>
      </w:r>
    </w:p>
    <w:p w14:paraId="6BAFA72B"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9"/>
          <w:szCs w:val="29"/>
        </w:rPr>
        <w:t xml:space="preserve">Мы исходим из того, что изучение неразрешенных конфликтов, переживаний внутреннего мира через семантический анализ позволит нам выработать новое отношение, а не только значимым людям, но и нам самим, нашим ресурсам, которые обеспечат успех самоактуализации и стимулирование разработки продуктивных стратегий выживания которые побуждают студентов лучше овладевать системой знаний и информации, обрабатывать их по мере необходимости и внедрять в практику. </w:t>
      </w:r>
      <w:r w:rsidRPr="009348CE">
        <w:rPr>
          <w:rFonts w:ascii="Times New Roman" w:eastAsia="Times New Roman" w:hAnsi="Times New Roman" w:cs="Times New Roman"/>
          <w:sz w:val="29"/>
          <w:szCs w:val="29"/>
        </w:rPr>
        <w:t xml:space="preserve"> </w:t>
      </w:r>
      <w:r w:rsidRPr="009348CE">
        <w:rPr>
          <w:rFonts w:ascii="Helvetica" w:eastAsia="Times New Roman" w:hAnsi="Helvetica" w:cs="Times New Roman"/>
          <w:sz w:val="34"/>
          <w:szCs w:val="34"/>
        </w:rPr>
        <w:t xml:space="preserve">Методы и порядок исследования </w:t>
      </w:r>
      <w:r w:rsidRPr="009348CE">
        <w:rPr>
          <w:rFonts w:ascii="Times New Roman" w:eastAsia="Times New Roman" w:hAnsi="Times New Roman" w:cs="Times New Roman"/>
          <w:sz w:val="29"/>
          <w:szCs w:val="29"/>
        </w:rPr>
        <w:t xml:space="preserve"> </w:t>
      </w:r>
      <w:r w:rsidRPr="009348CE">
        <w:rPr>
          <w:rFonts w:ascii="Times" w:eastAsia="Times New Roman" w:hAnsi="Times" w:cs="Times New Roman"/>
          <w:sz w:val="29"/>
          <w:szCs w:val="29"/>
        </w:rPr>
        <w:t xml:space="preserve">В исследовании приняли участие 254 студента из различных университетов Алматы. Studywereпроводился с 2010 по 2019 год. Рассмотрены структура и содержание внутреннего мира. с точки зрения представления следующих интимных личностей: мать, отец, братья и сестры, любимый человек, друзья, учителя, враги и субъекты виртуального мира.     Проведен содержательный анализ репрезентации интимных личностей.  с использованием технологии «Семантического анализа внутреннего мира испытуемого» [13]. ЭтотТехника выполняется в течение одного семестра на самостоятельных занятиях с преподавателем. ВТехнология работы включает в себя следующее: 1) Участники графически рисуют систему значимые для них личности, в том числе как положительно, так и отрицательно представленные. 2)Уточнение меры вклада каждого персонажа в его / ее жизнь, отражая коррелированная система ценностей, определяющая определенные смыслы, способствовавшие преодолению сложные ситуации. 4. Анализируйте восприятие травмирующих ситуаций, формируя новый взгляд.это дает понимание, прощение и покаяние. 5. Выводы для самостоятельногоулучшение. В систему значимых людей входят не только близкие, но и враги, анализ влияния которых существенен. В результате разные взгляды студентов на своиЯ-концепция, множественный мир интимных личностей и их ценностей, были получены и обнаруженный. Каждая из личностей внесла свою систему ценностей и отразилав различных цветах. До и после семантического анализа измерение зависимых переменных проводились с использованием следующих анкет: 1) Самоактуализация личности. (Н.Ф. Калин), адаптированная версия (А.В. Лазукина) [14]. 2) AdolescentCopingScale (ACS) предложено Э. Фрейденбергом и Р. Льюисом, адаптировано Т.Л. Крюковой [15]. Данные пошлипосредством факторного анализа методом «главных компонентов».  </w:t>
      </w:r>
      <w:r w:rsidRPr="009348CE">
        <w:rPr>
          <w:rFonts w:ascii="Helvetica" w:eastAsia="Times New Roman" w:hAnsi="Helvetica" w:cs="Times New Roman"/>
          <w:sz w:val="34"/>
          <w:szCs w:val="34"/>
        </w:rPr>
        <w:t xml:space="preserve">результаты и обсуждение </w:t>
      </w:r>
      <w:r w:rsidRPr="009348CE">
        <w:rPr>
          <w:rFonts w:ascii="Times New Roman" w:eastAsia="Times New Roman" w:hAnsi="Times New Roman" w:cs="Times New Roman"/>
          <w:sz w:val="29"/>
          <w:szCs w:val="29"/>
        </w:rPr>
        <w:t xml:space="preserve"> </w:t>
      </w:r>
      <w:r w:rsidRPr="009348CE">
        <w:rPr>
          <w:rFonts w:ascii="Times" w:eastAsia="Times New Roman" w:hAnsi="Times" w:cs="Times New Roman"/>
          <w:sz w:val="29"/>
          <w:szCs w:val="29"/>
        </w:rPr>
        <w:t>В ходе интроспекции студенты отметили очень сильное влияние защитных механизмов. Это совершенно нормальная ситуация, так как они работали с самым сокровенным миром на человек. В этом плане студентам было довольно сложно. Таким образом, защита стимулировалаотражение его значимых личностей чаще с положительной стороны. Родители быличаще размышляли положительно, с акцентом на их лучшую сторону. Но были такиекто не включил их в свою систему в связи с различными видами правонарушений против них. Мать и отец представлены святынями, несмотря на все их недостатки.(58%). Однако отец чаще попадал в категорию нейтральных (19%) ипредставлен отрицательно (среди 23% студентов его отразили как «предателя», как «покидающего дети на произвол судьбы », как« неспособные найти свой путь »и др.). Важность любимого человека идет после родителей. Для большинства студентов этопредставлен как стимулирующая способность любить, творить, совершенствоваться, доверять. У 25% студентов, которыеиспытала расстройство отношений, сублимация 15% (уход в творчество, учебу, работа), 10% избегание, боязнь любви, недоверие к миру стали ценностью. Друзьяпредставлен как ресурс понимания, стимулирующий самоактуализацию и здоровый 3</w:t>
      </w:r>
      <w:r w:rsidRPr="009348CE">
        <w:rPr>
          <w:rFonts w:ascii="Times" w:eastAsia="Times New Roman" w:hAnsi="Times" w:cs="Times New Roman"/>
          <w:sz w:val="26"/>
          <w:szCs w:val="26"/>
        </w:rPr>
        <w:t xml:space="preserve">E3S Сеть конференций </w:t>
      </w:r>
      <w:r w:rsidRPr="009348CE">
        <w:rPr>
          <w:rFonts w:ascii="Courier" w:eastAsia="Times New Roman" w:hAnsi="Courier" w:cs="Times New Roman"/>
          <w:sz w:val="26"/>
          <w:szCs w:val="26"/>
        </w:rPr>
        <w:t>159</w:t>
      </w:r>
      <w:r w:rsidRPr="009348CE">
        <w:rPr>
          <w:rFonts w:ascii="Times" w:eastAsia="Times New Roman" w:hAnsi="Times" w:cs="Times New Roman"/>
          <w:sz w:val="26"/>
          <w:szCs w:val="26"/>
        </w:rPr>
        <w:t>, 09012 (2020) BTSES-2020https://doi.org/10.1051/e3sconf/202015909012</w:t>
      </w:r>
    </w:p>
    <w:p w14:paraId="4CAD0140"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0"/>
          <w:szCs w:val="20"/>
        </w:rPr>
        <w:t>Стр. 4</w:t>
      </w:r>
    </w:p>
    <w:p w14:paraId="2415CBFE"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9"/>
          <w:szCs w:val="29"/>
        </w:rPr>
        <w:t>соперничество. Отрицательная версия представления друзей (манипулирование, предательство). Братья исестры были изображены как любящие и раскрывающие потенциал. Только 24% участниковвоспринимали братьев и сестер как соперников, стимулирующих достижения. Враги (неприятныеим и испытывающим дискомфорт) стимулируют стрессоустойчивость и конкурентоспособность в соответствии с на позиции участника. Большое значение имеют идолы разных веков и стран, опосредованные интернет. Сила их влияния иногда превышает силуближайшего окружения, в связи с тем, что они отражаются участником как близкие по духу, значимые как образец поведения и стимулирующие высокую самооценку. Ввыявленные эффекты идолов важны в контексте глобализации, когда есть борьба за сознание и ценности человека, которая может иметь различные последствия и последствия в процессе его творческой адаптации в этом многогранном мире. ВОсобая значимость этих идолов определяется влиянием на глубинные процессы формирование чувств на бессознательном уровне, которые влияют на отношения с другими людьми. Кумиры большинствочасто отражается идеализированным, в отличие от представителей ближайшего окружения. Следовательно, этоБыло важно выделить их положительные и отрицательные стороны. Наряду с кумирами, сообществаиз социальных сетей, на которые было потрачено значительное время, также оказали большое влияние. Значимые системы и мера их ценности определялись принцип «приближения-удаления», отражающий уровень идентификации и отчуждения. Идентификация - это механизм взаимодействия со многими интимными личностями (от слияния к ассимиляции), который определяет меру принятия ценностей представленные личности. Отчуждение - это механизм непривязанности (от непривязанности квраждебность), который определяет меру ценностного неприятия представляемых индивидов. Мера проявления механизмов идентификации и отчуждения с интимная личность позволяет прогнозировать состояние внутреннего мира. Найти меру - этовсегда сложный процесс, начиная с перебрасывания из одной крайности в другую. белое и черное »категоризация, которая в процессе жизни сводится к определению некоторая мера. Неспособность найти меру означает иную природу личностиy акцентуация, искажения в самосовершенствовании и общении, а также приспособляемость к мир. Учитывая это, данный этап анализа позволяет констатировать:противоречия или мера согласованности в ценностях различных интимных личностей отражающие способность человека находить собственную меру проявления различных потребности человека в решении различных задач и их реализации. Цельпсихолог на этом уровне - стимуляция гармонии в выборе меры со стороны человек, который предлагает наиболее эффективные способы реализации решения.  Помимо защитных механизмов, трудность возникает из-за способности адекватно отражают интимные личности, со всеми плюсами и минусами. В процессеВ этой работе студенты обновили наиболее значимые события, произошедшие в их жизни, которые вызвали буря различных эмоций, как положительных, так и отрицательных, отразившихся на времени Работа. Поэтому участники подчеркнули, что воспоминания о некоторых из прошлых событий заставили ихплакать. Если они рассчитывали завершить работу за два часа, как они признались, то это затянулось.на целую неделю, когда они снова и снова возвращались к анализу своих отношение. Актуализация негативных ситуаций предполагала обзор ситуации сточка зрения современного человека. В связи с этим многие студенты в процессе работыпереосмыслили свое видение события, другого человека и самих себя, сформировав новое отношение к ним, которое способствовало прощению и завершению гештальта. Мы предлагаемвариант схематического изображения семантического анализа внутреннего мира человека. Их «близость - размах» обеспечивалась мерой принятия ценностей интимного человека. личности и возможности стимулирования процесса созидания и преодоления сложные жизненные ситуации. 4</w:t>
      </w:r>
      <w:r w:rsidRPr="009348CE">
        <w:rPr>
          <w:rFonts w:ascii="Times" w:eastAsia="Times New Roman" w:hAnsi="Times" w:cs="Times New Roman"/>
          <w:sz w:val="26"/>
          <w:szCs w:val="26"/>
        </w:rPr>
        <w:t xml:space="preserve">E3S Сеть конференций </w:t>
      </w:r>
      <w:r w:rsidRPr="009348CE">
        <w:rPr>
          <w:rFonts w:ascii="Courier" w:eastAsia="Times New Roman" w:hAnsi="Courier" w:cs="Times New Roman"/>
          <w:sz w:val="26"/>
          <w:szCs w:val="26"/>
        </w:rPr>
        <w:t>159</w:t>
      </w:r>
      <w:r w:rsidRPr="009348CE">
        <w:rPr>
          <w:rFonts w:ascii="Times" w:eastAsia="Times New Roman" w:hAnsi="Times" w:cs="Times New Roman"/>
          <w:sz w:val="26"/>
          <w:szCs w:val="26"/>
        </w:rPr>
        <w:t>, 09012 (2020) BTSES-2020https://doi.org/10.1051/e3sconf/202015909012</w:t>
      </w:r>
    </w:p>
    <w:p w14:paraId="733F9DA5"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0"/>
          <w:szCs w:val="20"/>
        </w:rPr>
        <w:t>Стр. 5</w:t>
      </w:r>
    </w:p>
    <w:p w14:paraId="6A8FC2FE"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9"/>
          <w:szCs w:val="29"/>
        </w:rPr>
        <w:t xml:space="preserve">  </w:t>
      </w:r>
      <w:r w:rsidRPr="009348CE">
        <w:rPr>
          <w:rFonts w:ascii="Times New Roman" w:eastAsia="Times New Roman" w:hAnsi="Times New Roman" w:cs="Times New Roman"/>
          <w:sz w:val="26"/>
          <w:szCs w:val="26"/>
        </w:rPr>
        <w:t xml:space="preserve">Рисунок 1. </w:t>
      </w:r>
      <w:r w:rsidRPr="009348CE">
        <w:rPr>
          <w:rFonts w:ascii="Times" w:eastAsia="Times New Roman" w:hAnsi="Times" w:cs="Times New Roman"/>
          <w:sz w:val="26"/>
          <w:szCs w:val="26"/>
        </w:rPr>
        <w:t>Смысловой анализ внутреннего мира человека.</w:t>
      </w:r>
      <w:r w:rsidRPr="009348CE">
        <w:rPr>
          <w:rFonts w:ascii="Times New Roman" w:eastAsia="Times New Roman" w:hAnsi="Times New Roman" w:cs="Times New Roman"/>
          <w:sz w:val="26"/>
          <w:szCs w:val="26"/>
        </w:rPr>
        <w:t xml:space="preserve"> </w:t>
      </w:r>
      <w:r w:rsidRPr="009348CE">
        <w:rPr>
          <w:rFonts w:ascii="Times" w:eastAsia="Times New Roman" w:hAnsi="Times" w:cs="Times New Roman"/>
          <w:sz w:val="29"/>
          <w:szCs w:val="29"/>
        </w:rPr>
        <w:t>Отмечая особенности и значимость точек семантического анализа внутреннего мира о важности и эффективности этого анализа. Ссылаясь на это, мы считаем, чтоподчеркивая ценность семантического анализа, который повлиял на самооценку студентов.актуализация. Результаты факторного анализа позволили установить определяющий факт.р отражение самоактуализации студентов до семантического анализа представлено следующие показатели: потребность в знаниях (0,521), автономия (0,499), взгляд на человека природа (0,464), автосимпатия (0,397), ценности (0,381). Анализ показателей позволяет говорить о решающей роли познания в процесс самоактуализации. Смысл знания обеспечивается соотношениемпотребности в независимости, вера в раскрытие потенциальных человеческих ресурсов, сочувствие себя и ориентация на ценности актуализирующих личностей. После семантического анализа представляется определяющий фактор самоактуализации. по следующим показателям: потребность в познании (0,612), самопонимание (0,568), контакт (0,502), автосимпатия (0,478), ориентация во времени (0,473), спонтанность (0,443). Вдетерминант самоактуализации - познание. Однако его смысл определяетсясоотношение потребностей: самопонимание, установление продуктивных отношений с окружающими, автосочувствие и организация своего времени по принципу «здесь и сейчас». Результаты сравнительного анализа факторов отражены на рис. 2. (см. Рис. 2).  Таким образом, сравнительный анализ влияния работы с внутренним миром позволяет констатировать существенные изменения в стратегиях самоактуализации студентов в отношении спонтанности [P &lt;0,01], самопонимание [P &lt;0,01], контакт [P &lt;0,01], креативность [P &lt;0,05], определение самоэффективность студентов. Какие изменения произошли в стратегиях выживания? Здесь мы рассматриваем результатыфакторный анализ по методикам Фрейденберга и Льюиса, адаптированный Т. Крюкова (см. Таблицу 1)   5</w:t>
      </w:r>
      <w:r w:rsidRPr="009348CE">
        <w:rPr>
          <w:rFonts w:ascii="Times" w:eastAsia="Times New Roman" w:hAnsi="Times" w:cs="Times New Roman"/>
          <w:sz w:val="26"/>
          <w:szCs w:val="26"/>
        </w:rPr>
        <w:t xml:space="preserve">E3S Сеть конференций </w:t>
      </w:r>
      <w:r w:rsidRPr="009348CE">
        <w:rPr>
          <w:rFonts w:ascii="Courier" w:eastAsia="Times New Roman" w:hAnsi="Courier" w:cs="Times New Roman"/>
          <w:sz w:val="26"/>
          <w:szCs w:val="26"/>
        </w:rPr>
        <w:t>159</w:t>
      </w:r>
      <w:r w:rsidRPr="009348CE">
        <w:rPr>
          <w:rFonts w:ascii="Times" w:eastAsia="Times New Roman" w:hAnsi="Times" w:cs="Times New Roman"/>
          <w:sz w:val="26"/>
          <w:szCs w:val="26"/>
        </w:rPr>
        <w:t>, 09012 (2020) BTSES-2020https://doi.org/10.1051/e3sconf/202015909012</w:t>
      </w:r>
    </w:p>
    <w:p w14:paraId="28387473"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0"/>
          <w:szCs w:val="20"/>
        </w:rPr>
        <w:t>Стр. 6</w:t>
      </w:r>
    </w:p>
    <w:p w14:paraId="18D82204"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9"/>
          <w:szCs w:val="29"/>
        </w:rPr>
        <w:t xml:space="preserve">  </w:t>
      </w:r>
      <w:r w:rsidRPr="009348CE">
        <w:rPr>
          <w:rFonts w:ascii="Times New Roman" w:eastAsia="Times New Roman" w:hAnsi="Times New Roman" w:cs="Times New Roman"/>
          <w:sz w:val="26"/>
          <w:szCs w:val="26"/>
        </w:rPr>
        <w:t>Рис. 2.</w:t>
      </w:r>
      <w:r w:rsidRPr="009348CE">
        <w:rPr>
          <w:rFonts w:ascii="Times" w:eastAsia="Times New Roman" w:hAnsi="Times" w:cs="Times New Roman"/>
          <w:sz w:val="26"/>
          <w:szCs w:val="26"/>
        </w:rPr>
        <w:t>До и после семантического анализа 1. Ориентация во времени; 2. Ценности; 3. Взгляд на природучеловек; 4. Потребность в знаниях; 5. Творчество; 6. Автономность; 7. Спонтанность: 8. Самопонимание;9. Автосочувствие; 10. Контакты; 11 Гибкое общение</w:t>
      </w:r>
      <w:r w:rsidRPr="009348CE">
        <w:rPr>
          <w:rFonts w:ascii="Times" w:eastAsia="Times New Roman" w:hAnsi="Times" w:cs="Times New Roman"/>
          <w:sz w:val="29"/>
          <w:szCs w:val="29"/>
        </w:rPr>
        <w:t xml:space="preserve">Результаты факторного анализа позволили установить, что определяющим фактором, который отражает стратегии совладания до проведения семантического анализа. следующие показатели: сосредоточенность на решении проблемы (0,494), желание отвлечься и расслабиться, развлечения в обществе (0,450), друзья (0,413), поиск поддержки и одобрения (0, 409), упорный труд и достижения (0,407), разряд - «выпуск пара» (0,372), надежда на чудо (0,369), самообвинение и личная ответственность за проблемы (0, 362). анализ показателей позволяет сделать акцент на выходе из сложной ситуации за счет фокусирования на решение проблемы, связанной с отдыхом и поддержкой друзей, а также вероятность чудо. Этот стиль можно назвать социально ориентированным.Определяющий фактор, отражающий стратегии совладания после проведения семантической Анализ представлен следующими показателями: Ориентация на положительные (0,698), жесткие работа и достижения (0,559), поиск духовной поддержки (0,490), игнорирование, блокирование проблем (-0,474), отсутствие владения, отказ действовать (-0,462), сосредоточение внимания на решении проблемы (0, 352), занятия (занятия спортом, поддержание здоровья (0,451), друзья (0, 399). Анализ показателей позволяет говорить о положительных сторонах, эффективных реализация вкупе с преодолением защитных механизмов. Название этого стиля«проблемно-ориентированный». Сравнительный анализ копинг-стратегий (см. Рис. 3) позволяет констатировать, что после семантический анализ, позитивное мышление [P &lt;0,01] направлено на решение проблемы и достижение целей [P &lt;0,01], преодоление защитных механизмов [P &lt;0,05], сознательное организация досуга и реализация ресурсов.    </w:t>
      </w:r>
      <w:r w:rsidRPr="009348CE">
        <w:rPr>
          <w:rFonts w:ascii="Times New Roman" w:eastAsia="Times New Roman" w:hAnsi="Times New Roman" w:cs="Times New Roman"/>
          <w:sz w:val="29"/>
          <w:szCs w:val="29"/>
        </w:rPr>
        <w:t xml:space="preserve">   </w:t>
      </w:r>
      <w:r w:rsidRPr="009348CE">
        <w:rPr>
          <w:rFonts w:ascii="Helvetica" w:eastAsia="Times New Roman" w:hAnsi="Helvetica" w:cs="Times New Roman"/>
          <w:sz w:val="26"/>
          <w:szCs w:val="26"/>
        </w:rPr>
        <w:t>-0,3-0,2-0,100,10,20,30,40,50,60,7</w:t>
      </w:r>
      <w:r w:rsidRPr="009348CE">
        <w:rPr>
          <w:rFonts w:ascii="Helvetica" w:eastAsia="Times New Roman" w:hAnsi="Helvetica" w:cs="Times New Roman"/>
          <w:sz w:val="29"/>
          <w:szCs w:val="29"/>
        </w:rPr>
        <w:t xml:space="preserve">Сравнительный анализ самости студентов-Факторы актуализации </w:t>
      </w:r>
      <w:r w:rsidRPr="009348CE">
        <w:rPr>
          <w:rFonts w:ascii="Helvetica" w:eastAsia="Times New Roman" w:hAnsi="Helvetica" w:cs="Times New Roman"/>
          <w:sz w:val="26"/>
          <w:szCs w:val="26"/>
        </w:rPr>
        <w:t xml:space="preserve">До После </w:t>
      </w:r>
      <w:r w:rsidRPr="009348CE">
        <w:rPr>
          <w:rFonts w:ascii="Times" w:eastAsia="Times New Roman" w:hAnsi="Times" w:cs="Times New Roman"/>
          <w:sz w:val="29"/>
          <w:szCs w:val="29"/>
        </w:rPr>
        <w:t>6</w:t>
      </w:r>
      <w:r w:rsidRPr="009348CE">
        <w:rPr>
          <w:rFonts w:ascii="Times" w:eastAsia="Times New Roman" w:hAnsi="Times" w:cs="Times New Roman"/>
          <w:sz w:val="26"/>
          <w:szCs w:val="26"/>
        </w:rPr>
        <w:t xml:space="preserve">E3S Сеть конференций </w:t>
      </w:r>
      <w:r w:rsidRPr="009348CE">
        <w:rPr>
          <w:rFonts w:ascii="Courier" w:eastAsia="Times New Roman" w:hAnsi="Courier" w:cs="Times New Roman"/>
          <w:sz w:val="26"/>
          <w:szCs w:val="26"/>
        </w:rPr>
        <w:t>159</w:t>
      </w:r>
      <w:r w:rsidRPr="009348CE">
        <w:rPr>
          <w:rFonts w:ascii="Times" w:eastAsia="Times New Roman" w:hAnsi="Times" w:cs="Times New Roman"/>
          <w:sz w:val="26"/>
          <w:szCs w:val="26"/>
        </w:rPr>
        <w:t>, 09012 (2020) BTSES-2020https://doi.org/10.1051/e3sconf/202015909012</w:t>
      </w:r>
    </w:p>
    <w:p w14:paraId="369DBCCF"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0"/>
          <w:szCs w:val="20"/>
        </w:rPr>
        <w:t>Page 7</w:t>
      </w:r>
    </w:p>
    <w:p w14:paraId="5C61245E" w14:textId="77777777" w:rsidR="009348CE" w:rsidRPr="009348CE" w:rsidRDefault="009348CE" w:rsidP="009348CE">
      <w:pPr>
        <w:rPr>
          <w:rFonts w:ascii="Times" w:eastAsia="Times New Roman" w:hAnsi="Times" w:cs="Times New Roman"/>
          <w:sz w:val="20"/>
          <w:szCs w:val="20"/>
        </w:rPr>
      </w:pPr>
      <w:r w:rsidRPr="009348CE">
        <w:rPr>
          <w:rFonts w:ascii="Times New Roman" w:eastAsia="Times New Roman" w:hAnsi="Times New Roman" w:cs="Times New Roman"/>
          <w:sz w:val="26"/>
          <w:szCs w:val="26"/>
        </w:rPr>
        <w:t>Таблица 1</w:t>
      </w:r>
      <w:r w:rsidRPr="009348CE">
        <w:rPr>
          <w:rFonts w:ascii="Times" w:eastAsia="Times New Roman" w:hAnsi="Times" w:cs="Times New Roman"/>
          <w:sz w:val="26"/>
          <w:szCs w:val="26"/>
        </w:rPr>
        <w:t xml:space="preserve">.Результаты факторного анализа стратегий совладающего поведения студентов. </w:t>
      </w:r>
      <w:r w:rsidRPr="009348CE">
        <w:rPr>
          <w:rFonts w:ascii="Times" w:eastAsia="Times New Roman" w:hAnsi="Times" w:cs="Times New Roman"/>
          <w:sz w:val="29"/>
          <w:szCs w:val="29"/>
        </w:rPr>
        <w:t xml:space="preserve"> </w:t>
      </w:r>
      <w:r w:rsidRPr="009348CE">
        <w:rPr>
          <w:rFonts w:ascii="Times" w:eastAsia="Times New Roman" w:hAnsi="Times" w:cs="Times New Roman"/>
          <w:sz w:val="26"/>
          <w:szCs w:val="26"/>
        </w:rPr>
        <w:t>Нет Стратегии копирования Результаты факторного анализа копирования стратегий  Перед После 1.</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S1 -В поисках поддержка и одобрение </w:t>
      </w:r>
      <w:r w:rsidRPr="009348CE">
        <w:rPr>
          <w:rFonts w:ascii="Times New Roman" w:eastAsia="Times New Roman" w:hAnsi="Times New Roman" w:cs="Times New Roman"/>
          <w:sz w:val="26"/>
          <w:szCs w:val="26"/>
        </w:rPr>
        <w:t xml:space="preserve">0,409 </w:t>
      </w:r>
      <w:r w:rsidRPr="009348CE">
        <w:rPr>
          <w:rFonts w:ascii="Times" w:eastAsia="Times New Roman" w:hAnsi="Times" w:cs="Times New Roman"/>
          <w:sz w:val="26"/>
          <w:szCs w:val="26"/>
        </w:rPr>
        <w:t>0,223 2.</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S2 - Сосредоточившись на решение проблем </w:t>
      </w:r>
      <w:r w:rsidRPr="009348CE">
        <w:rPr>
          <w:rFonts w:ascii="Times New Roman" w:eastAsia="Times New Roman" w:hAnsi="Times New Roman" w:cs="Times New Roman"/>
          <w:sz w:val="26"/>
          <w:szCs w:val="26"/>
        </w:rPr>
        <w:t xml:space="preserve">0,494 0,352 </w:t>
      </w:r>
      <w:r w:rsidRPr="009348CE">
        <w:rPr>
          <w:rFonts w:ascii="Times" w:eastAsia="Times New Roman" w:hAnsi="Times" w:cs="Times New Roman"/>
          <w:sz w:val="26"/>
          <w:szCs w:val="26"/>
        </w:rPr>
        <w:t>3.</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S3 - Трудолюбивая и достижения </w:t>
      </w:r>
      <w:r w:rsidRPr="009348CE">
        <w:rPr>
          <w:rFonts w:ascii="Times New Roman" w:eastAsia="Times New Roman" w:hAnsi="Times New Roman" w:cs="Times New Roman"/>
          <w:sz w:val="26"/>
          <w:szCs w:val="26"/>
        </w:rPr>
        <w:t xml:space="preserve">0,407 0,559 </w:t>
      </w:r>
      <w:r w:rsidRPr="009348CE">
        <w:rPr>
          <w:rFonts w:ascii="Times" w:eastAsia="Times New Roman" w:hAnsi="Times" w:cs="Times New Roman"/>
          <w:sz w:val="26"/>
          <w:szCs w:val="26"/>
        </w:rPr>
        <w:t>4.</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S4 - Беспокойство 0, 395 -0,137 5.</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S5 - Друзья </w:t>
      </w:r>
      <w:r w:rsidRPr="009348CE">
        <w:rPr>
          <w:rFonts w:ascii="Times New Roman" w:eastAsia="Times New Roman" w:hAnsi="Times New Roman" w:cs="Times New Roman"/>
          <w:sz w:val="26"/>
          <w:szCs w:val="26"/>
        </w:rPr>
        <w:t xml:space="preserve">0,413 0, 399 </w:t>
      </w:r>
      <w:r w:rsidRPr="009348CE">
        <w:rPr>
          <w:rFonts w:ascii="Times" w:eastAsia="Times New Roman" w:hAnsi="Times" w:cs="Times New Roman"/>
          <w:sz w:val="26"/>
          <w:szCs w:val="26"/>
        </w:rPr>
        <w:t>6.</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S6 - принадлежность 0,151 0,096 7.</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S7- Надежда на чудо </w:t>
      </w:r>
      <w:r w:rsidRPr="009348CE">
        <w:rPr>
          <w:rFonts w:ascii="Times New Roman" w:eastAsia="Times New Roman" w:hAnsi="Times New Roman" w:cs="Times New Roman"/>
          <w:sz w:val="26"/>
          <w:szCs w:val="26"/>
        </w:rPr>
        <w:t xml:space="preserve">0,369 </w:t>
      </w:r>
      <w:r w:rsidRPr="009348CE">
        <w:rPr>
          <w:rFonts w:ascii="Times" w:eastAsia="Times New Roman" w:hAnsi="Times" w:cs="Times New Roman"/>
          <w:sz w:val="26"/>
          <w:szCs w:val="26"/>
        </w:rPr>
        <w:t>0,221 8.</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S8 - Неудача, отказ действовать -0,003 </w:t>
      </w:r>
      <w:r w:rsidRPr="009348CE">
        <w:rPr>
          <w:rFonts w:ascii="Times New Roman" w:eastAsia="Times New Roman" w:hAnsi="Times New Roman" w:cs="Times New Roman"/>
          <w:sz w:val="26"/>
          <w:szCs w:val="26"/>
        </w:rPr>
        <w:t xml:space="preserve">-0,462 </w:t>
      </w:r>
      <w:r w:rsidRPr="009348CE">
        <w:rPr>
          <w:rFonts w:ascii="Times" w:eastAsia="Times New Roman" w:hAnsi="Times" w:cs="Times New Roman"/>
          <w:sz w:val="26"/>
          <w:szCs w:val="26"/>
        </w:rPr>
        <w:t>9.</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S9 - Увольнять - "steamrelease" </w:t>
      </w:r>
      <w:r w:rsidRPr="009348CE">
        <w:rPr>
          <w:rFonts w:ascii="Times New Roman" w:eastAsia="Times New Roman" w:hAnsi="Times New Roman" w:cs="Times New Roman"/>
          <w:sz w:val="26"/>
          <w:szCs w:val="26"/>
        </w:rPr>
        <w:t xml:space="preserve">0,372 </w:t>
      </w:r>
      <w:r w:rsidRPr="009348CE">
        <w:rPr>
          <w:rFonts w:ascii="Times" w:eastAsia="Times New Roman" w:hAnsi="Times" w:cs="Times New Roman"/>
          <w:sz w:val="26"/>
          <w:szCs w:val="26"/>
        </w:rPr>
        <w:t>0,112 10.</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S10 - ища поддержки со стороны организационная группа виды деятельности. -0,118 - 0,179 11.</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S11 - Игнорирование, блокировка проблема 0,291 </w:t>
      </w:r>
      <w:r w:rsidRPr="009348CE">
        <w:rPr>
          <w:rFonts w:ascii="Times New Roman" w:eastAsia="Times New Roman" w:hAnsi="Times New Roman" w:cs="Times New Roman"/>
          <w:sz w:val="26"/>
          <w:szCs w:val="26"/>
        </w:rPr>
        <w:t xml:space="preserve">- 0,474 </w:t>
      </w:r>
      <w:r w:rsidRPr="009348CE">
        <w:rPr>
          <w:rFonts w:ascii="Times" w:eastAsia="Times New Roman" w:hAnsi="Times" w:cs="Times New Roman"/>
          <w:sz w:val="26"/>
          <w:szCs w:val="26"/>
        </w:rPr>
        <w:t>12.</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S12 самостоятельно-инкриминирование и личная ответственность за проблемы </w:t>
      </w:r>
      <w:r w:rsidRPr="009348CE">
        <w:rPr>
          <w:rFonts w:ascii="Times New Roman" w:eastAsia="Times New Roman" w:hAnsi="Times New Roman" w:cs="Times New Roman"/>
          <w:sz w:val="26"/>
          <w:szCs w:val="26"/>
        </w:rPr>
        <w:t xml:space="preserve">0, 362 </w:t>
      </w:r>
      <w:r w:rsidRPr="009348CE">
        <w:rPr>
          <w:rFonts w:ascii="Times" w:eastAsia="Times New Roman" w:hAnsi="Times" w:cs="Times New Roman"/>
          <w:sz w:val="26"/>
          <w:szCs w:val="26"/>
        </w:rPr>
        <w:t>0,285 13.</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S13 - Отряд (отказ посвятить других их заботы) -0,061 - 0,015 14.</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S14 - Поиск духовного поддержка, ориентация на религиозная поддержка 0, 205 </w:t>
      </w:r>
      <w:r w:rsidRPr="009348CE">
        <w:rPr>
          <w:rFonts w:ascii="Times New Roman" w:eastAsia="Times New Roman" w:hAnsi="Times New Roman" w:cs="Times New Roman"/>
          <w:sz w:val="26"/>
          <w:szCs w:val="26"/>
        </w:rPr>
        <w:t xml:space="preserve">0,490 </w:t>
      </w:r>
      <w:r w:rsidRPr="009348CE">
        <w:rPr>
          <w:rFonts w:ascii="Times" w:eastAsia="Times New Roman" w:hAnsi="Times" w:cs="Times New Roman"/>
          <w:sz w:val="26"/>
          <w:szCs w:val="26"/>
        </w:rPr>
        <w:t>15.</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S15 - Сосредоточившись на положительные стороны 0,322 </w:t>
      </w:r>
      <w:r w:rsidRPr="009348CE">
        <w:rPr>
          <w:rFonts w:ascii="Times New Roman" w:eastAsia="Times New Roman" w:hAnsi="Times New Roman" w:cs="Times New Roman"/>
          <w:sz w:val="26"/>
          <w:szCs w:val="26"/>
        </w:rPr>
        <w:t xml:space="preserve">0,698 </w:t>
      </w:r>
      <w:r w:rsidRPr="009348CE">
        <w:rPr>
          <w:rFonts w:ascii="Times" w:eastAsia="Times New Roman" w:hAnsi="Times" w:cs="Times New Roman"/>
          <w:sz w:val="26"/>
          <w:szCs w:val="26"/>
        </w:rPr>
        <w:t>16.</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S16 - Поиск помощи от специалисты -0,010 -0,202 17.</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S17 - Желание отвлечься и расслабиться, развлечение в обществе </w:t>
      </w:r>
      <w:r w:rsidRPr="009348CE">
        <w:rPr>
          <w:rFonts w:ascii="Times New Roman" w:eastAsia="Times New Roman" w:hAnsi="Times New Roman" w:cs="Times New Roman"/>
          <w:sz w:val="26"/>
          <w:szCs w:val="26"/>
        </w:rPr>
        <w:t xml:space="preserve">0,450 </w:t>
      </w:r>
      <w:r w:rsidRPr="009348CE">
        <w:rPr>
          <w:rFonts w:ascii="Times" w:eastAsia="Times New Roman" w:hAnsi="Times" w:cs="Times New Roman"/>
          <w:sz w:val="26"/>
          <w:szCs w:val="26"/>
        </w:rPr>
        <w:t>0,302 18.</w:t>
      </w:r>
      <w:r w:rsidRPr="009348CE">
        <w:rPr>
          <w:rFonts w:ascii="Helvetica" w:eastAsia="Times New Roman" w:hAnsi="Helvetica" w:cs="Times New Roman"/>
          <w:sz w:val="26"/>
          <w:szCs w:val="26"/>
        </w:rPr>
        <w:t xml:space="preserve"> </w:t>
      </w:r>
      <w:r w:rsidRPr="009348CE">
        <w:rPr>
          <w:rFonts w:ascii="Times" w:eastAsia="Times New Roman" w:hAnsi="Times" w:cs="Times New Roman"/>
          <w:sz w:val="26"/>
          <w:szCs w:val="26"/>
        </w:rPr>
        <w:t xml:space="preserve"> S18 -мероприятия (спорт, сохранение здоровья) 0,306 </w:t>
      </w:r>
      <w:r w:rsidRPr="009348CE">
        <w:rPr>
          <w:rFonts w:ascii="Times New Roman" w:eastAsia="Times New Roman" w:hAnsi="Times New Roman" w:cs="Times New Roman"/>
          <w:sz w:val="26"/>
          <w:szCs w:val="26"/>
        </w:rPr>
        <w:t xml:space="preserve">0,451 </w:t>
      </w:r>
      <w:r w:rsidRPr="009348CE">
        <w:rPr>
          <w:rFonts w:ascii="Times" w:eastAsia="Times New Roman" w:hAnsi="Times" w:cs="Times New Roman"/>
          <w:sz w:val="26"/>
          <w:szCs w:val="26"/>
        </w:rPr>
        <w:t xml:space="preserve"> </w:t>
      </w:r>
      <w:r w:rsidRPr="009348CE">
        <w:rPr>
          <w:rFonts w:ascii="Times" w:eastAsia="Times New Roman" w:hAnsi="Times" w:cs="Times New Roman"/>
          <w:sz w:val="29"/>
          <w:szCs w:val="29"/>
        </w:rPr>
        <w:t xml:space="preserve"> 7</w:t>
      </w:r>
      <w:r w:rsidRPr="009348CE">
        <w:rPr>
          <w:rFonts w:ascii="Times" w:eastAsia="Times New Roman" w:hAnsi="Times" w:cs="Times New Roman"/>
          <w:sz w:val="26"/>
          <w:szCs w:val="26"/>
        </w:rPr>
        <w:t xml:space="preserve">E3S Сеть конференций </w:t>
      </w:r>
      <w:r w:rsidRPr="009348CE">
        <w:rPr>
          <w:rFonts w:ascii="Courier" w:eastAsia="Times New Roman" w:hAnsi="Courier" w:cs="Times New Roman"/>
          <w:sz w:val="26"/>
          <w:szCs w:val="26"/>
        </w:rPr>
        <w:t>159</w:t>
      </w:r>
      <w:r w:rsidRPr="009348CE">
        <w:rPr>
          <w:rFonts w:ascii="Times" w:eastAsia="Times New Roman" w:hAnsi="Times" w:cs="Times New Roman"/>
          <w:sz w:val="26"/>
          <w:szCs w:val="26"/>
        </w:rPr>
        <w:t>, 09012 (2020) BTSES-2020https://doi.org/10.1051/e3sconf/202015909012</w:t>
      </w:r>
    </w:p>
    <w:p w14:paraId="15BD1BD1"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0"/>
          <w:szCs w:val="20"/>
        </w:rPr>
        <w:t>Стр. 8</w:t>
      </w:r>
    </w:p>
    <w:p w14:paraId="12E0E976"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9"/>
          <w:szCs w:val="29"/>
        </w:rPr>
        <w:t xml:space="preserve"> </w:t>
      </w:r>
      <w:r w:rsidRPr="009348CE">
        <w:rPr>
          <w:rFonts w:ascii="Times New Roman" w:eastAsia="Times New Roman" w:hAnsi="Times New Roman" w:cs="Times New Roman"/>
          <w:sz w:val="26"/>
          <w:szCs w:val="26"/>
        </w:rPr>
        <w:t>Рис 3.</w:t>
      </w:r>
      <w:r w:rsidRPr="009348CE">
        <w:rPr>
          <w:rFonts w:ascii="Times" w:eastAsia="Times New Roman" w:hAnsi="Times" w:cs="Times New Roman"/>
          <w:sz w:val="26"/>
          <w:szCs w:val="26"/>
        </w:rPr>
        <w:t xml:space="preserve"> Стратегии преодоления до и после семантического анализа. </w:t>
      </w:r>
      <w:r w:rsidRPr="009348CE">
        <w:rPr>
          <w:rFonts w:ascii="Times" w:eastAsia="Times New Roman" w:hAnsi="Times" w:cs="Times New Roman"/>
          <w:sz w:val="29"/>
          <w:szCs w:val="29"/>
        </w:rPr>
        <w:t xml:space="preserve">  Стратегии преодоления до и после семантического анализа: S1 –– поиск поддержки и одобрения S2 –– Сосредоточьтесь на решении проблем S3 –– Тяжелая работа и достижения S4 –– Беспокойство и беспокойство –– S5 –– Друзья S6 –– Чувство сопричастности S7 –– Надежда на чудо ––– S8 –– Непобедимость, отказ от действий S9 - Выгрузка - «выпуск пара» S10 - поиск поддержки путем организации групповых действий S11 - Игнорирование, блокировка проблем S12 самообвинение и личная ответственность за проблемы S14 - Поиск духовной поддержки, ориентация на религиозную поддержка S15 - Ориентация на положительные стороны, S16 - Помощь специалистов S17 - Желание побег и расслабление, развлечения в обществе) S18 - активный отдых (спорт, здоровье Обслуживание).  </w:t>
      </w:r>
      <w:r w:rsidRPr="009348CE">
        <w:rPr>
          <w:rFonts w:ascii="Helvetica" w:eastAsia="Times New Roman" w:hAnsi="Helvetica" w:cs="Times New Roman"/>
          <w:sz w:val="34"/>
          <w:szCs w:val="34"/>
        </w:rPr>
        <w:t xml:space="preserve">Выводы </w:t>
      </w:r>
      <w:r w:rsidRPr="009348CE">
        <w:rPr>
          <w:rFonts w:ascii="Times" w:eastAsia="Times New Roman" w:hAnsi="Times" w:cs="Times New Roman"/>
          <w:sz w:val="29"/>
          <w:szCs w:val="29"/>
        </w:rPr>
        <w:t xml:space="preserve">  1. Внутренний мир - это интимная, глубокая, священная сфера с уникальными интимными личностями. отраженные человеком, его положительные и отрицательные ценности, действия, вклады в совместные смыслообразование, чаще всего в жизни человека без особого внимания. Мужчина бежитпо жизни и не умеет копаться во внутреннем мире. Тем не менее именночто все причины и стратегии нашего поведения лежат в основе нашей самоэффективности в внешний мир коренится во внутреннем мире. Мы копаемся во внутреннем мире, когдапроисходят чрезвычайные ситуации, и у нас нет систематического метода анализа. В связи с этимметод семантического анализа внутреннего мира, основанный на идеях аль-Фараби, предполагает целостность и систематический анализ, а не «захват» составляющих его образований в отдельности. Он направлен на анализ того, кто и как представлен, какие ценности и поступки икакие отражения нашли отражение в глубоких слоях эмоций, ценностей, которые стимулируют наше поведение. Работая с внутренним миром и живущими в нем интимными личностями, мы учимся находить измерять в своем выборе и действиях, осознавая невидимость их присутствия, стимулируя голос нашей совести. Работа внутреннего мира глубоко интимна и только тамчеловек - хозяин своих размышлений, позиций, выборов и причин действия, без прикрас и отговорок. Для хозяина это неискаженная реальность.Другое дело, как человек представляет это другим и миру. Следовательноактуализация проблем внутреннего мира имеет ценность, с точки зрения своевременный пересмотр ценностей и действий с целью своевременного изменения ситуации, извинений, </w:t>
      </w:r>
      <w:r w:rsidRPr="009348CE">
        <w:rPr>
          <w:rFonts w:ascii="Helvetica" w:eastAsia="Times New Roman" w:hAnsi="Helvetica" w:cs="Times New Roman"/>
          <w:sz w:val="26"/>
          <w:szCs w:val="26"/>
        </w:rPr>
        <w:t>-0,6-0,4-0,200,20,40,60,811,2</w:t>
      </w:r>
      <w:r w:rsidRPr="009348CE">
        <w:rPr>
          <w:rFonts w:ascii="Helvetica" w:eastAsia="Times New Roman" w:hAnsi="Helvetica" w:cs="Times New Roman"/>
          <w:sz w:val="29"/>
          <w:szCs w:val="29"/>
        </w:rPr>
        <w:t xml:space="preserve">Копирование стратегий до и после семантического анализа </w:t>
      </w:r>
      <w:r w:rsidRPr="009348CE">
        <w:rPr>
          <w:rFonts w:ascii="Helvetica" w:eastAsia="Times New Roman" w:hAnsi="Helvetica" w:cs="Times New Roman"/>
          <w:sz w:val="26"/>
          <w:szCs w:val="26"/>
        </w:rPr>
        <w:t xml:space="preserve">до после </w:t>
      </w:r>
      <w:r w:rsidRPr="009348CE">
        <w:rPr>
          <w:rFonts w:ascii="Times" w:eastAsia="Times New Roman" w:hAnsi="Times" w:cs="Times New Roman"/>
          <w:sz w:val="29"/>
          <w:szCs w:val="29"/>
        </w:rPr>
        <w:t>8</w:t>
      </w:r>
      <w:r w:rsidRPr="009348CE">
        <w:rPr>
          <w:rFonts w:ascii="Times" w:eastAsia="Times New Roman" w:hAnsi="Times" w:cs="Times New Roman"/>
          <w:sz w:val="26"/>
          <w:szCs w:val="26"/>
        </w:rPr>
        <w:t xml:space="preserve">E3S Сеть конференций </w:t>
      </w:r>
      <w:r w:rsidRPr="009348CE">
        <w:rPr>
          <w:rFonts w:ascii="Courier" w:eastAsia="Times New Roman" w:hAnsi="Courier" w:cs="Times New Roman"/>
          <w:sz w:val="26"/>
          <w:szCs w:val="26"/>
        </w:rPr>
        <w:t>159</w:t>
      </w:r>
      <w:r w:rsidRPr="009348CE">
        <w:rPr>
          <w:rFonts w:ascii="Times" w:eastAsia="Times New Roman" w:hAnsi="Times" w:cs="Times New Roman"/>
          <w:sz w:val="26"/>
          <w:szCs w:val="26"/>
        </w:rPr>
        <w:t>, 09012 (2020) BTSES-2020https://doi.org/10.1051/e3sconf/202015909012</w:t>
      </w:r>
    </w:p>
    <w:p w14:paraId="596900BF"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0"/>
          <w:szCs w:val="20"/>
        </w:rPr>
        <w:t>Page 9</w:t>
      </w:r>
    </w:p>
    <w:p w14:paraId="2C4E9806"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9"/>
          <w:szCs w:val="29"/>
        </w:rPr>
        <w:t xml:space="preserve">прости и покайся. Анализ внутреннего мира предполагает не только интеграциюценностей, но и системная согласованность всех сфер жизни человека, определяемая интимные личности внутреннего мира, в зависимости от их значимости, возбуждающие формирование смысла и преодоление сложных жизненных ситуаций. Таким образом, работа с семантическим анализом внутреннего мира имеет не только познавательный, эмоциональный, но и лечебный эффект. Работайте с ценностями и вкладом интимноголичности, а также способы преодоления жизненных трудностей позволили студентам осознатье их честность, их собственные ценности, важность других и самих себя, а также неразделимость своего личного «я» с другими. Теперь это было для них стимулом, ине после их «ухода», чтобы «найти» своих родителей, открывая их с новых лиц, отправляя им письма признательности и благодарности, письма прощения и любви. 2. Результаты самоанализа были действительно продуктивными с точки зрения стимулирования пересмотра стратегии самореализации из ориентации «Я как мир», в которых испытуемые были сосредоточены только на себе, на своем движении и достижениях в мире, после семантический анализ, помимо ориентации на собственные цели. Они сосредоточились наформирование умения строить продуктивные отношения с миром, на гармонизация отношений «Я и мир», что создает больше возможностей для само-эффективность. Понимание фактора времени было важным. Наверное, это было то обстоятельство, чтостимулировали сокращение времени, затрачиваемого на сообщества из социальных сетей (Facebook, Instagram и др.). После семантического анализа, осознания и контроля временной структурыжизни было одним из достижений студентов. 3. Сравнительный анализ стратегий совладающего поведения до и после семантического анализа. также позволяет говорить о пересмотре социально ориентированного стиля для более продуктивных вариантов для стратегий выживания, направленных на решение проблемы. В частности, стратегии позитивноговосприятие ситуаций, сосредоточение внимания на решении проблем, управление проявлением обновлены защитные механизмы и целенаправленный досуг. </w:t>
      </w:r>
      <w:r w:rsidRPr="009348CE">
        <w:rPr>
          <w:rFonts w:ascii="Times New Roman" w:eastAsia="Times New Roman" w:hAnsi="Times New Roman" w:cs="Times New Roman"/>
          <w:sz w:val="29"/>
          <w:szCs w:val="29"/>
        </w:rPr>
        <w:t xml:space="preserve"> </w:t>
      </w:r>
      <w:r w:rsidRPr="009348CE">
        <w:rPr>
          <w:rFonts w:ascii="Helvetica" w:eastAsia="Times New Roman" w:hAnsi="Helvetica" w:cs="Times New Roman"/>
          <w:sz w:val="34"/>
          <w:szCs w:val="34"/>
        </w:rPr>
        <w:t xml:space="preserve">Рекомендации </w:t>
      </w:r>
      <w:r w:rsidRPr="009348CE">
        <w:rPr>
          <w:rFonts w:ascii="Times New Roman" w:eastAsia="Times New Roman" w:hAnsi="Times New Roman" w:cs="Times New Roman"/>
          <w:sz w:val="29"/>
          <w:szCs w:val="29"/>
        </w:rPr>
        <w:t xml:space="preserve"> 1.</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С.Л. Рубинштейн. Проблемы общей психологии, М .: Педагогика, 365 с. (1949)</w:t>
      </w:r>
      <w:r w:rsidRPr="009348CE">
        <w:rPr>
          <w:rFonts w:ascii="Times New Roman" w:eastAsia="Times New Roman" w:hAnsi="Times New Roman" w:cs="Times New Roman"/>
          <w:sz w:val="29"/>
          <w:szCs w:val="29"/>
        </w:rPr>
        <w:t>2.</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А. В. Брушлинский. Психология личности, СПб .: Алтея, 234 с. (2003)</w:t>
      </w:r>
      <w:r w:rsidRPr="009348CE">
        <w:rPr>
          <w:rFonts w:ascii="Times New Roman" w:eastAsia="Times New Roman" w:hAnsi="Times New Roman" w:cs="Times New Roman"/>
          <w:sz w:val="29"/>
          <w:szCs w:val="29"/>
        </w:rPr>
        <w:t>3.</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 xml:space="preserve">А.Л. Журавлев, Психология коллективной личности, М .: ПЕР СЕ, 51 (2002). </w:t>
      </w:r>
      <w:r w:rsidRPr="009348CE">
        <w:rPr>
          <w:rFonts w:ascii="Times New Roman" w:eastAsia="Times New Roman" w:hAnsi="Times New Roman" w:cs="Times New Roman"/>
          <w:sz w:val="29"/>
          <w:szCs w:val="29"/>
        </w:rPr>
        <w:t>4.</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В.Б. Швырков. Введение в объективную психологию, М .: Институт психологии РАН.223 с. (1995)</w:t>
      </w:r>
      <w:r w:rsidRPr="009348CE">
        <w:rPr>
          <w:rFonts w:ascii="Times New Roman" w:eastAsia="Times New Roman" w:hAnsi="Times New Roman" w:cs="Times New Roman"/>
          <w:sz w:val="29"/>
          <w:szCs w:val="29"/>
        </w:rPr>
        <w:t>5.</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П.И. Максимова, О.А. Александров, И.В. Тихомирова, Е.В. Филиппова, Л.Фомичева, Психология. J.,</w:t>
      </w:r>
      <w:r w:rsidRPr="009348CE">
        <w:rPr>
          <w:rFonts w:ascii="Times New Roman" w:eastAsia="Times New Roman" w:hAnsi="Times New Roman" w:cs="Times New Roman"/>
          <w:sz w:val="29"/>
          <w:szCs w:val="29"/>
        </w:rPr>
        <w:t>25</w:t>
      </w:r>
      <w:r w:rsidRPr="009348CE">
        <w:rPr>
          <w:rFonts w:ascii="Times" w:eastAsia="Times New Roman" w:hAnsi="Times" w:cs="Times New Roman"/>
          <w:sz w:val="29"/>
          <w:szCs w:val="29"/>
        </w:rPr>
        <w:t xml:space="preserve">, 17 (2004) </w:t>
      </w:r>
      <w:r w:rsidRPr="009348CE">
        <w:rPr>
          <w:rFonts w:ascii="Times New Roman" w:eastAsia="Times New Roman" w:hAnsi="Times New Roman" w:cs="Times New Roman"/>
          <w:sz w:val="29"/>
          <w:szCs w:val="29"/>
        </w:rPr>
        <w:t>6.</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С. Фрейд. Достоевский и отцеубийца, М .: Олимп, 413 (1997).</w:t>
      </w:r>
      <w:r w:rsidRPr="009348CE">
        <w:rPr>
          <w:rFonts w:ascii="Times New Roman" w:eastAsia="Times New Roman" w:hAnsi="Times New Roman" w:cs="Times New Roman"/>
          <w:sz w:val="29"/>
          <w:szCs w:val="29"/>
        </w:rPr>
        <w:t>7.</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С. Фрейд. Леонардо да Винчи, Exmo Press, 251 (2005)</w:t>
      </w:r>
      <w:r w:rsidRPr="009348CE">
        <w:rPr>
          <w:rFonts w:ascii="Times New Roman" w:eastAsia="Times New Roman" w:hAnsi="Times New Roman" w:cs="Times New Roman"/>
          <w:sz w:val="29"/>
          <w:szCs w:val="29"/>
        </w:rPr>
        <w:t>8.</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А. Адлер. Практика и теория индивидуальной психологии, 296 с. (1994)</w:t>
      </w:r>
      <w:r w:rsidRPr="009348CE">
        <w:rPr>
          <w:rFonts w:ascii="Times New Roman" w:eastAsia="Times New Roman" w:hAnsi="Times New Roman" w:cs="Times New Roman"/>
          <w:sz w:val="29"/>
          <w:szCs w:val="29"/>
        </w:rPr>
        <w:t>9.</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К. Юнг. Аналитическая психология, 71 (1994)</w:t>
      </w:r>
      <w:r w:rsidRPr="009348CE">
        <w:rPr>
          <w:rFonts w:ascii="Times New Roman" w:eastAsia="Times New Roman" w:hAnsi="Times New Roman" w:cs="Times New Roman"/>
          <w:sz w:val="29"/>
          <w:szCs w:val="29"/>
        </w:rPr>
        <w:t>10.</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Д.А. Леонтьев. Психология смысла, диссертация, 535 с. (1999)</w:t>
      </w:r>
      <w:r w:rsidRPr="009348CE">
        <w:rPr>
          <w:rFonts w:ascii="Times New Roman" w:eastAsia="Times New Roman" w:hAnsi="Times New Roman" w:cs="Times New Roman"/>
          <w:sz w:val="29"/>
          <w:szCs w:val="29"/>
        </w:rPr>
        <w:t>11.</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Аль-Фараби. О счастье, АлмаАтаПресс, 275 с. (1973)</w:t>
      </w:r>
      <w:r w:rsidRPr="009348CE">
        <w:rPr>
          <w:rFonts w:ascii="Times New Roman" w:eastAsia="Times New Roman" w:hAnsi="Times New Roman" w:cs="Times New Roman"/>
          <w:sz w:val="29"/>
          <w:szCs w:val="29"/>
        </w:rPr>
        <w:t>12.</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 xml:space="preserve">Ф. С. Ташимова, А. Р. Ризулла, Проблема конструирования смысла личности как многогранный мир Лапламберт Academic Publishing GmbH &amp; Co, 385 с. (2012) </w:t>
      </w:r>
      <w:r w:rsidRPr="009348CE">
        <w:rPr>
          <w:rFonts w:ascii="Times New Roman" w:eastAsia="Times New Roman" w:hAnsi="Times New Roman" w:cs="Times New Roman"/>
          <w:sz w:val="29"/>
          <w:szCs w:val="29"/>
        </w:rPr>
        <w:t>13.</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 xml:space="preserve">Ф. С. Ташимова, А. Р. Ризулла, Междунар. Конф. Ред. Метод. ООН., 264 (2017) </w:t>
      </w:r>
      <w:r w:rsidRPr="009348CE">
        <w:rPr>
          <w:rFonts w:ascii="Times New Roman" w:eastAsia="Times New Roman" w:hAnsi="Times New Roman" w:cs="Times New Roman"/>
          <w:sz w:val="29"/>
          <w:szCs w:val="29"/>
        </w:rPr>
        <w:t>14.</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Н.Ф. Калин. Дж. Психологические тесты, 122 (2003)</w:t>
      </w:r>
      <w:r w:rsidRPr="009348CE">
        <w:rPr>
          <w:rFonts w:ascii="Times New Roman" w:eastAsia="Times New Roman" w:hAnsi="Times New Roman" w:cs="Times New Roman"/>
          <w:sz w:val="29"/>
          <w:szCs w:val="29"/>
        </w:rPr>
        <w:t>15.</w:t>
      </w:r>
      <w:r w:rsidRPr="009348CE">
        <w:rPr>
          <w:rFonts w:ascii="Helvetica" w:eastAsia="Times New Roman" w:hAnsi="Helvetica" w:cs="Times New Roman"/>
          <w:sz w:val="29"/>
          <w:szCs w:val="29"/>
        </w:rPr>
        <w:t xml:space="preserve"> </w:t>
      </w:r>
      <w:r w:rsidRPr="009348CE">
        <w:rPr>
          <w:rFonts w:ascii="Times" w:eastAsia="Times New Roman" w:hAnsi="Times" w:cs="Times New Roman"/>
          <w:sz w:val="29"/>
          <w:szCs w:val="29"/>
        </w:rPr>
        <w:t>Крюкова Т.Л. Методы изучения копирующего поведения, Авинтитул Пресс, 60</w:t>
      </w:r>
    </w:p>
    <w:p w14:paraId="5E2AE296" w14:textId="77777777" w:rsidR="009348CE" w:rsidRPr="009348CE" w:rsidRDefault="009348CE" w:rsidP="009348CE">
      <w:pPr>
        <w:rPr>
          <w:rFonts w:ascii="Times" w:eastAsia="Times New Roman" w:hAnsi="Times" w:cs="Times New Roman"/>
          <w:sz w:val="20"/>
          <w:szCs w:val="20"/>
        </w:rPr>
      </w:pPr>
      <w:r w:rsidRPr="009348CE">
        <w:rPr>
          <w:rFonts w:ascii="Times" w:eastAsia="Times New Roman" w:hAnsi="Times" w:cs="Times New Roman"/>
          <w:sz w:val="20"/>
          <w:szCs w:val="20"/>
        </w:rPr>
        <w:br/>
      </w:r>
      <w:r w:rsidRPr="009348CE">
        <w:rPr>
          <w:rFonts w:ascii="Times" w:eastAsia="Times New Roman" w:hAnsi="Times" w:cs="Times New Roman"/>
          <w:i/>
          <w:iCs/>
          <w:sz w:val="20"/>
          <w:szCs w:val="20"/>
        </w:rPr>
        <w:t>(PDF) Анализ значения внутреннего мира человека как основы самоэффективности в образовательной системе</w:t>
      </w:r>
      <w:r w:rsidRPr="009348CE">
        <w:rPr>
          <w:rFonts w:ascii="Times" w:eastAsia="Times New Roman" w:hAnsi="Times" w:cs="Times New Roman"/>
          <w:sz w:val="20"/>
          <w:szCs w:val="20"/>
        </w:rPr>
        <w:t xml:space="preserve">. Available from: </w:t>
      </w:r>
      <w:hyperlink r:id="rId12" w:history="1">
        <w:r w:rsidRPr="009348CE">
          <w:rPr>
            <w:rFonts w:ascii="Times" w:eastAsia="Times New Roman" w:hAnsi="Times" w:cs="Times New Roman"/>
            <w:color w:val="0000FF"/>
            <w:sz w:val="20"/>
            <w:szCs w:val="20"/>
            <w:u w:val="single"/>
          </w:rPr>
          <w:t>https://www.researchgate.net/publication/340120016_The_Analysis_of_the_Meaning_of_the_Person's_Internal_World_as_a_Basis_of_Self-Efficacy_in_the_Educational_System</w:t>
        </w:r>
      </w:hyperlink>
      <w:r w:rsidRPr="009348CE">
        <w:rPr>
          <w:rFonts w:ascii="Times" w:eastAsia="Times New Roman" w:hAnsi="Times" w:cs="Times New Roman"/>
          <w:sz w:val="20"/>
          <w:szCs w:val="20"/>
        </w:rPr>
        <w:t xml:space="preserve"> [accessed Apr 12 2021].</w:t>
      </w:r>
    </w:p>
    <w:p w14:paraId="1CAD05CA" w14:textId="77777777" w:rsidR="009348CE" w:rsidRDefault="009348CE"/>
    <w:sectPr w:rsidR="009348CE" w:rsidSect="00CB11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B15B3"/>
    <w:multiLevelType w:val="multilevel"/>
    <w:tmpl w:val="4A4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51"/>
    <w:rsid w:val="004E4F68"/>
    <w:rsid w:val="005C1051"/>
    <w:rsid w:val="009348CE"/>
    <w:rsid w:val="00CB113F"/>
    <w:rsid w:val="00E2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1DA2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1051"/>
    <w:rPr>
      <w:color w:val="0000FF"/>
      <w:u w:val="single"/>
    </w:rPr>
  </w:style>
  <w:style w:type="paragraph" w:styleId="a4">
    <w:name w:val="List Paragraph"/>
    <w:basedOn w:val="a"/>
    <w:uiPriority w:val="34"/>
    <w:qFormat/>
    <w:rsid w:val="00E22C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1051"/>
    <w:rPr>
      <w:color w:val="0000FF"/>
      <w:u w:val="single"/>
    </w:rPr>
  </w:style>
  <w:style w:type="paragraph" w:styleId="a4">
    <w:name w:val="List Paragraph"/>
    <w:basedOn w:val="a"/>
    <w:uiPriority w:val="34"/>
    <w:qFormat/>
    <w:rsid w:val="00E22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9174">
      <w:bodyDiv w:val="1"/>
      <w:marLeft w:val="0"/>
      <w:marRight w:val="0"/>
      <w:marTop w:val="0"/>
      <w:marBottom w:val="0"/>
      <w:divBdr>
        <w:top w:val="none" w:sz="0" w:space="0" w:color="auto"/>
        <w:left w:val="none" w:sz="0" w:space="0" w:color="auto"/>
        <w:bottom w:val="none" w:sz="0" w:space="0" w:color="auto"/>
        <w:right w:val="none" w:sz="0" w:space="0" w:color="auto"/>
      </w:divBdr>
    </w:div>
    <w:div w:id="1126462084">
      <w:bodyDiv w:val="1"/>
      <w:marLeft w:val="0"/>
      <w:marRight w:val="0"/>
      <w:marTop w:val="0"/>
      <w:marBottom w:val="0"/>
      <w:divBdr>
        <w:top w:val="none" w:sz="0" w:space="0" w:color="auto"/>
        <w:left w:val="none" w:sz="0" w:space="0" w:color="auto"/>
        <w:bottom w:val="none" w:sz="0" w:space="0" w:color="auto"/>
        <w:right w:val="none" w:sz="0" w:space="0" w:color="auto"/>
      </w:divBdr>
    </w:div>
    <w:div w:id="1543978801">
      <w:bodyDiv w:val="1"/>
      <w:marLeft w:val="0"/>
      <w:marRight w:val="0"/>
      <w:marTop w:val="0"/>
      <w:marBottom w:val="0"/>
      <w:divBdr>
        <w:top w:val="none" w:sz="0" w:space="0" w:color="auto"/>
        <w:left w:val="none" w:sz="0" w:space="0" w:color="auto"/>
        <w:bottom w:val="none" w:sz="0" w:space="0" w:color="auto"/>
        <w:right w:val="none" w:sz="0" w:space="0" w:color="auto"/>
      </w:divBdr>
      <w:divsChild>
        <w:div w:id="686564356">
          <w:marLeft w:val="0"/>
          <w:marRight w:val="0"/>
          <w:marTop w:val="0"/>
          <w:marBottom w:val="0"/>
          <w:divBdr>
            <w:top w:val="none" w:sz="0" w:space="0" w:color="auto"/>
            <w:left w:val="none" w:sz="0" w:space="0" w:color="auto"/>
            <w:bottom w:val="single" w:sz="6" w:space="15" w:color="DDDDDD"/>
            <w:right w:val="none" w:sz="0" w:space="0" w:color="auto"/>
          </w:divBdr>
          <w:divsChild>
            <w:div w:id="660087441">
              <w:marLeft w:val="0"/>
              <w:marRight w:val="0"/>
              <w:marTop w:val="0"/>
              <w:marBottom w:val="0"/>
              <w:divBdr>
                <w:top w:val="none" w:sz="0" w:space="0" w:color="auto"/>
                <w:left w:val="none" w:sz="0" w:space="0" w:color="auto"/>
                <w:bottom w:val="none" w:sz="0" w:space="0" w:color="auto"/>
                <w:right w:val="none" w:sz="0" w:space="0" w:color="auto"/>
              </w:divBdr>
            </w:div>
          </w:divsChild>
        </w:div>
        <w:div w:id="545683210">
          <w:marLeft w:val="0"/>
          <w:marRight w:val="0"/>
          <w:marTop w:val="0"/>
          <w:marBottom w:val="0"/>
          <w:divBdr>
            <w:top w:val="none" w:sz="0" w:space="0" w:color="auto"/>
            <w:left w:val="none" w:sz="0" w:space="0" w:color="auto"/>
            <w:bottom w:val="none" w:sz="0" w:space="0" w:color="auto"/>
            <w:right w:val="none" w:sz="0" w:space="0" w:color="auto"/>
          </w:divBdr>
          <w:divsChild>
            <w:div w:id="577056368">
              <w:marLeft w:val="0"/>
              <w:marRight w:val="0"/>
              <w:marTop w:val="0"/>
              <w:marBottom w:val="0"/>
              <w:divBdr>
                <w:top w:val="none" w:sz="0" w:space="0" w:color="auto"/>
                <w:left w:val="none" w:sz="0" w:space="0" w:color="auto"/>
                <w:bottom w:val="none" w:sz="0" w:space="0" w:color="auto"/>
                <w:right w:val="none" w:sz="0" w:space="0" w:color="auto"/>
              </w:divBdr>
              <w:divsChild>
                <w:div w:id="1911649823">
                  <w:marLeft w:val="0"/>
                  <w:marRight w:val="0"/>
                  <w:marTop w:val="0"/>
                  <w:marBottom w:val="0"/>
                  <w:divBdr>
                    <w:top w:val="none" w:sz="0" w:space="0" w:color="auto"/>
                    <w:left w:val="none" w:sz="0" w:space="0" w:color="auto"/>
                    <w:bottom w:val="none" w:sz="0" w:space="0" w:color="auto"/>
                    <w:right w:val="none" w:sz="0" w:space="0" w:color="auto"/>
                  </w:divBdr>
                  <w:divsChild>
                    <w:div w:id="1151096207">
                      <w:marLeft w:val="0"/>
                      <w:marRight w:val="0"/>
                      <w:marTop w:val="0"/>
                      <w:marBottom w:val="0"/>
                      <w:divBdr>
                        <w:top w:val="none" w:sz="0" w:space="0" w:color="auto"/>
                        <w:left w:val="none" w:sz="0" w:space="0" w:color="auto"/>
                        <w:bottom w:val="none" w:sz="0" w:space="0" w:color="auto"/>
                        <w:right w:val="none" w:sz="0" w:space="0" w:color="auto"/>
                      </w:divBdr>
                      <w:divsChild>
                        <w:div w:id="1052536968">
                          <w:marLeft w:val="0"/>
                          <w:marRight w:val="0"/>
                          <w:marTop w:val="0"/>
                          <w:marBottom w:val="0"/>
                          <w:divBdr>
                            <w:top w:val="none" w:sz="0" w:space="0" w:color="auto"/>
                            <w:left w:val="none" w:sz="0" w:space="0" w:color="auto"/>
                            <w:bottom w:val="none" w:sz="0" w:space="0" w:color="auto"/>
                            <w:right w:val="none" w:sz="0" w:space="0" w:color="auto"/>
                          </w:divBdr>
                          <w:divsChild>
                            <w:div w:id="9504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43947">
      <w:bodyDiv w:val="1"/>
      <w:marLeft w:val="0"/>
      <w:marRight w:val="0"/>
      <w:marTop w:val="0"/>
      <w:marBottom w:val="0"/>
      <w:divBdr>
        <w:top w:val="none" w:sz="0" w:space="0" w:color="auto"/>
        <w:left w:val="none" w:sz="0" w:space="0" w:color="auto"/>
        <w:bottom w:val="none" w:sz="0" w:space="0" w:color="auto"/>
        <w:right w:val="none" w:sz="0" w:space="0" w:color="auto"/>
      </w:divBdr>
    </w:div>
    <w:div w:id="2024436401">
      <w:bodyDiv w:val="1"/>
      <w:marLeft w:val="0"/>
      <w:marRight w:val="0"/>
      <w:marTop w:val="0"/>
      <w:marBottom w:val="0"/>
      <w:divBdr>
        <w:top w:val="none" w:sz="0" w:space="0" w:color="auto"/>
        <w:left w:val="none" w:sz="0" w:space="0" w:color="auto"/>
        <w:bottom w:val="none" w:sz="0" w:space="0" w:color="auto"/>
        <w:right w:val="none" w:sz="0" w:space="0" w:color="auto"/>
      </w:divBdr>
      <w:divsChild>
        <w:div w:id="1526627221">
          <w:marLeft w:val="0"/>
          <w:marRight w:val="0"/>
          <w:marTop w:val="0"/>
          <w:marBottom w:val="0"/>
          <w:divBdr>
            <w:top w:val="none" w:sz="0" w:space="0" w:color="auto"/>
            <w:left w:val="none" w:sz="0" w:space="0" w:color="auto"/>
            <w:bottom w:val="none" w:sz="0" w:space="0" w:color="auto"/>
            <w:right w:val="none" w:sz="0" w:space="0" w:color="auto"/>
          </w:divBdr>
          <w:divsChild>
            <w:div w:id="1490705180">
              <w:marLeft w:val="0"/>
              <w:marRight w:val="0"/>
              <w:marTop w:val="0"/>
              <w:marBottom w:val="0"/>
              <w:divBdr>
                <w:top w:val="none" w:sz="0" w:space="0" w:color="auto"/>
                <w:left w:val="none" w:sz="0" w:space="0" w:color="auto"/>
                <w:bottom w:val="none" w:sz="0" w:space="0" w:color="auto"/>
                <w:right w:val="none" w:sz="0" w:space="0" w:color="auto"/>
              </w:divBdr>
              <w:divsChild>
                <w:div w:id="16272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1367">
          <w:marLeft w:val="0"/>
          <w:marRight w:val="0"/>
          <w:marTop w:val="0"/>
          <w:marBottom w:val="0"/>
          <w:divBdr>
            <w:top w:val="none" w:sz="0" w:space="0" w:color="auto"/>
            <w:left w:val="none" w:sz="0" w:space="0" w:color="auto"/>
            <w:bottom w:val="none" w:sz="0" w:space="0" w:color="auto"/>
            <w:right w:val="none" w:sz="0" w:space="0" w:color="auto"/>
          </w:divBdr>
          <w:divsChild>
            <w:div w:id="467863613">
              <w:marLeft w:val="0"/>
              <w:marRight w:val="0"/>
              <w:marTop w:val="0"/>
              <w:marBottom w:val="0"/>
              <w:divBdr>
                <w:top w:val="none" w:sz="0" w:space="0" w:color="auto"/>
                <w:left w:val="none" w:sz="0" w:space="0" w:color="auto"/>
                <w:bottom w:val="none" w:sz="0" w:space="0" w:color="auto"/>
                <w:right w:val="none" w:sz="0" w:space="0" w:color="auto"/>
              </w:divBdr>
              <w:divsChild>
                <w:div w:id="548155192">
                  <w:marLeft w:val="0"/>
                  <w:marRight w:val="0"/>
                  <w:marTop w:val="0"/>
                  <w:marBottom w:val="0"/>
                  <w:divBdr>
                    <w:top w:val="none" w:sz="0" w:space="0" w:color="auto"/>
                    <w:left w:val="none" w:sz="0" w:space="0" w:color="auto"/>
                    <w:bottom w:val="none" w:sz="0" w:space="0" w:color="auto"/>
                    <w:right w:val="none" w:sz="0" w:space="0" w:color="auto"/>
                  </w:divBdr>
                </w:div>
              </w:divsChild>
            </w:div>
            <w:div w:id="226306423">
              <w:marLeft w:val="0"/>
              <w:marRight w:val="0"/>
              <w:marTop w:val="0"/>
              <w:marBottom w:val="0"/>
              <w:divBdr>
                <w:top w:val="none" w:sz="0" w:space="0" w:color="auto"/>
                <w:left w:val="none" w:sz="0" w:space="0" w:color="auto"/>
                <w:bottom w:val="none" w:sz="0" w:space="0" w:color="auto"/>
                <w:right w:val="none" w:sz="0" w:space="0" w:color="auto"/>
              </w:divBdr>
              <w:divsChild>
                <w:div w:id="601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9237">
          <w:marLeft w:val="0"/>
          <w:marRight w:val="0"/>
          <w:marTop w:val="0"/>
          <w:marBottom w:val="0"/>
          <w:divBdr>
            <w:top w:val="none" w:sz="0" w:space="0" w:color="auto"/>
            <w:left w:val="none" w:sz="0" w:space="0" w:color="auto"/>
            <w:bottom w:val="none" w:sz="0" w:space="0" w:color="auto"/>
            <w:right w:val="none" w:sz="0" w:space="0" w:color="auto"/>
          </w:divBdr>
          <w:divsChild>
            <w:div w:id="1262764648">
              <w:marLeft w:val="0"/>
              <w:marRight w:val="0"/>
              <w:marTop w:val="0"/>
              <w:marBottom w:val="0"/>
              <w:divBdr>
                <w:top w:val="none" w:sz="0" w:space="0" w:color="auto"/>
                <w:left w:val="none" w:sz="0" w:space="0" w:color="auto"/>
                <w:bottom w:val="none" w:sz="0" w:space="0" w:color="auto"/>
                <w:right w:val="none" w:sz="0" w:space="0" w:color="auto"/>
              </w:divBdr>
              <w:divsChild>
                <w:div w:id="952707967">
                  <w:marLeft w:val="0"/>
                  <w:marRight w:val="0"/>
                  <w:marTop w:val="0"/>
                  <w:marBottom w:val="0"/>
                  <w:divBdr>
                    <w:top w:val="none" w:sz="0" w:space="0" w:color="auto"/>
                    <w:left w:val="none" w:sz="0" w:space="0" w:color="auto"/>
                    <w:bottom w:val="none" w:sz="0" w:space="0" w:color="auto"/>
                    <w:right w:val="none" w:sz="0" w:space="0" w:color="auto"/>
                  </w:divBdr>
                </w:div>
              </w:divsChild>
            </w:div>
            <w:div w:id="1376999807">
              <w:marLeft w:val="0"/>
              <w:marRight w:val="0"/>
              <w:marTop w:val="0"/>
              <w:marBottom w:val="0"/>
              <w:divBdr>
                <w:top w:val="none" w:sz="0" w:space="0" w:color="auto"/>
                <w:left w:val="none" w:sz="0" w:space="0" w:color="auto"/>
                <w:bottom w:val="none" w:sz="0" w:space="0" w:color="auto"/>
                <w:right w:val="none" w:sz="0" w:space="0" w:color="auto"/>
              </w:divBdr>
              <w:divsChild>
                <w:div w:id="8928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473">
          <w:marLeft w:val="0"/>
          <w:marRight w:val="0"/>
          <w:marTop w:val="0"/>
          <w:marBottom w:val="0"/>
          <w:divBdr>
            <w:top w:val="none" w:sz="0" w:space="0" w:color="auto"/>
            <w:left w:val="none" w:sz="0" w:space="0" w:color="auto"/>
            <w:bottom w:val="none" w:sz="0" w:space="0" w:color="auto"/>
            <w:right w:val="none" w:sz="0" w:space="0" w:color="auto"/>
          </w:divBdr>
          <w:divsChild>
            <w:div w:id="815726973">
              <w:marLeft w:val="0"/>
              <w:marRight w:val="0"/>
              <w:marTop w:val="0"/>
              <w:marBottom w:val="0"/>
              <w:divBdr>
                <w:top w:val="none" w:sz="0" w:space="0" w:color="auto"/>
                <w:left w:val="none" w:sz="0" w:space="0" w:color="auto"/>
                <w:bottom w:val="none" w:sz="0" w:space="0" w:color="auto"/>
                <w:right w:val="none" w:sz="0" w:space="0" w:color="auto"/>
              </w:divBdr>
              <w:divsChild>
                <w:div w:id="1774208540">
                  <w:marLeft w:val="0"/>
                  <w:marRight w:val="0"/>
                  <w:marTop w:val="0"/>
                  <w:marBottom w:val="0"/>
                  <w:divBdr>
                    <w:top w:val="none" w:sz="0" w:space="0" w:color="auto"/>
                    <w:left w:val="none" w:sz="0" w:space="0" w:color="auto"/>
                    <w:bottom w:val="none" w:sz="0" w:space="0" w:color="auto"/>
                    <w:right w:val="none" w:sz="0" w:space="0" w:color="auto"/>
                  </w:divBdr>
                </w:div>
              </w:divsChild>
            </w:div>
            <w:div w:id="589582192">
              <w:marLeft w:val="0"/>
              <w:marRight w:val="0"/>
              <w:marTop w:val="0"/>
              <w:marBottom w:val="0"/>
              <w:divBdr>
                <w:top w:val="none" w:sz="0" w:space="0" w:color="auto"/>
                <w:left w:val="none" w:sz="0" w:space="0" w:color="auto"/>
                <w:bottom w:val="none" w:sz="0" w:space="0" w:color="auto"/>
                <w:right w:val="none" w:sz="0" w:space="0" w:color="auto"/>
              </w:divBdr>
              <w:divsChild>
                <w:div w:id="4798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1763">
          <w:marLeft w:val="0"/>
          <w:marRight w:val="0"/>
          <w:marTop w:val="0"/>
          <w:marBottom w:val="0"/>
          <w:divBdr>
            <w:top w:val="none" w:sz="0" w:space="0" w:color="auto"/>
            <w:left w:val="none" w:sz="0" w:space="0" w:color="auto"/>
            <w:bottom w:val="none" w:sz="0" w:space="0" w:color="auto"/>
            <w:right w:val="none" w:sz="0" w:space="0" w:color="auto"/>
          </w:divBdr>
          <w:divsChild>
            <w:div w:id="1235354145">
              <w:marLeft w:val="0"/>
              <w:marRight w:val="0"/>
              <w:marTop w:val="0"/>
              <w:marBottom w:val="0"/>
              <w:divBdr>
                <w:top w:val="none" w:sz="0" w:space="0" w:color="auto"/>
                <w:left w:val="none" w:sz="0" w:space="0" w:color="auto"/>
                <w:bottom w:val="none" w:sz="0" w:space="0" w:color="auto"/>
                <w:right w:val="none" w:sz="0" w:space="0" w:color="auto"/>
              </w:divBdr>
              <w:divsChild>
                <w:div w:id="928974420">
                  <w:marLeft w:val="0"/>
                  <w:marRight w:val="0"/>
                  <w:marTop w:val="0"/>
                  <w:marBottom w:val="0"/>
                  <w:divBdr>
                    <w:top w:val="none" w:sz="0" w:space="0" w:color="auto"/>
                    <w:left w:val="none" w:sz="0" w:space="0" w:color="auto"/>
                    <w:bottom w:val="none" w:sz="0" w:space="0" w:color="auto"/>
                    <w:right w:val="none" w:sz="0" w:space="0" w:color="auto"/>
                  </w:divBdr>
                </w:div>
              </w:divsChild>
            </w:div>
            <w:div w:id="144707221">
              <w:marLeft w:val="0"/>
              <w:marRight w:val="0"/>
              <w:marTop w:val="0"/>
              <w:marBottom w:val="0"/>
              <w:divBdr>
                <w:top w:val="none" w:sz="0" w:space="0" w:color="auto"/>
                <w:left w:val="none" w:sz="0" w:space="0" w:color="auto"/>
                <w:bottom w:val="none" w:sz="0" w:space="0" w:color="auto"/>
                <w:right w:val="none" w:sz="0" w:space="0" w:color="auto"/>
              </w:divBdr>
              <w:divsChild>
                <w:div w:id="8550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8721">
          <w:marLeft w:val="0"/>
          <w:marRight w:val="0"/>
          <w:marTop w:val="0"/>
          <w:marBottom w:val="0"/>
          <w:divBdr>
            <w:top w:val="none" w:sz="0" w:space="0" w:color="auto"/>
            <w:left w:val="none" w:sz="0" w:space="0" w:color="auto"/>
            <w:bottom w:val="none" w:sz="0" w:space="0" w:color="auto"/>
            <w:right w:val="none" w:sz="0" w:space="0" w:color="auto"/>
          </w:divBdr>
          <w:divsChild>
            <w:div w:id="1824465996">
              <w:marLeft w:val="0"/>
              <w:marRight w:val="0"/>
              <w:marTop w:val="0"/>
              <w:marBottom w:val="0"/>
              <w:divBdr>
                <w:top w:val="none" w:sz="0" w:space="0" w:color="auto"/>
                <w:left w:val="none" w:sz="0" w:space="0" w:color="auto"/>
                <w:bottom w:val="none" w:sz="0" w:space="0" w:color="auto"/>
                <w:right w:val="none" w:sz="0" w:space="0" w:color="auto"/>
              </w:divBdr>
              <w:divsChild>
                <w:div w:id="775369668">
                  <w:marLeft w:val="0"/>
                  <w:marRight w:val="0"/>
                  <w:marTop w:val="0"/>
                  <w:marBottom w:val="0"/>
                  <w:divBdr>
                    <w:top w:val="none" w:sz="0" w:space="0" w:color="auto"/>
                    <w:left w:val="none" w:sz="0" w:space="0" w:color="auto"/>
                    <w:bottom w:val="none" w:sz="0" w:space="0" w:color="auto"/>
                    <w:right w:val="none" w:sz="0" w:space="0" w:color="auto"/>
                  </w:divBdr>
                </w:div>
              </w:divsChild>
            </w:div>
            <w:div w:id="270748633">
              <w:marLeft w:val="0"/>
              <w:marRight w:val="0"/>
              <w:marTop w:val="0"/>
              <w:marBottom w:val="0"/>
              <w:divBdr>
                <w:top w:val="none" w:sz="0" w:space="0" w:color="auto"/>
                <w:left w:val="none" w:sz="0" w:space="0" w:color="auto"/>
                <w:bottom w:val="none" w:sz="0" w:space="0" w:color="auto"/>
                <w:right w:val="none" w:sz="0" w:space="0" w:color="auto"/>
              </w:divBdr>
              <w:divsChild>
                <w:div w:id="20341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5631">
          <w:marLeft w:val="0"/>
          <w:marRight w:val="0"/>
          <w:marTop w:val="0"/>
          <w:marBottom w:val="0"/>
          <w:divBdr>
            <w:top w:val="none" w:sz="0" w:space="0" w:color="auto"/>
            <w:left w:val="none" w:sz="0" w:space="0" w:color="auto"/>
            <w:bottom w:val="none" w:sz="0" w:space="0" w:color="auto"/>
            <w:right w:val="none" w:sz="0" w:space="0" w:color="auto"/>
          </w:divBdr>
          <w:divsChild>
            <w:div w:id="200484709">
              <w:marLeft w:val="0"/>
              <w:marRight w:val="0"/>
              <w:marTop w:val="0"/>
              <w:marBottom w:val="0"/>
              <w:divBdr>
                <w:top w:val="none" w:sz="0" w:space="0" w:color="auto"/>
                <w:left w:val="none" w:sz="0" w:space="0" w:color="auto"/>
                <w:bottom w:val="none" w:sz="0" w:space="0" w:color="auto"/>
                <w:right w:val="none" w:sz="0" w:space="0" w:color="auto"/>
              </w:divBdr>
              <w:divsChild>
                <w:div w:id="580144540">
                  <w:marLeft w:val="0"/>
                  <w:marRight w:val="0"/>
                  <w:marTop w:val="0"/>
                  <w:marBottom w:val="0"/>
                  <w:divBdr>
                    <w:top w:val="none" w:sz="0" w:space="0" w:color="auto"/>
                    <w:left w:val="none" w:sz="0" w:space="0" w:color="auto"/>
                    <w:bottom w:val="none" w:sz="0" w:space="0" w:color="auto"/>
                    <w:right w:val="none" w:sz="0" w:space="0" w:color="auto"/>
                  </w:divBdr>
                </w:div>
              </w:divsChild>
            </w:div>
            <w:div w:id="627011174">
              <w:marLeft w:val="0"/>
              <w:marRight w:val="0"/>
              <w:marTop w:val="0"/>
              <w:marBottom w:val="0"/>
              <w:divBdr>
                <w:top w:val="none" w:sz="0" w:space="0" w:color="auto"/>
                <w:left w:val="none" w:sz="0" w:space="0" w:color="auto"/>
                <w:bottom w:val="none" w:sz="0" w:space="0" w:color="auto"/>
                <w:right w:val="none" w:sz="0" w:space="0" w:color="auto"/>
              </w:divBdr>
              <w:divsChild>
                <w:div w:id="17681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619">
          <w:marLeft w:val="0"/>
          <w:marRight w:val="0"/>
          <w:marTop w:val="0"/>
          <w:marBottom w:val="0"/>
          <w:divBdr>
            <w:top w:val="none" w:sz="0" w:space="0" w:color="auto"/>
            <w:left w:val="none" w:sz="0" w:space="0" w:color="auto"/>
            <w:bottom w:val="none" w:sz="0" w:space="0" w:color="auto"/>
            <w:right w:val="none" w:sz="0" w:space="0" w:color="auto"/>
          </w:divBdr>
          <w:divsChild>
            <w:div w:id="256330990">
              <w:marLeft w:val="0"/>
              <w:marRight w:val="0"/>
              <w:marTop w:val="0"/>
              <w:marBottom w:val="0"/>
              <w:divBdr>
                <w:top w:val="none" w:sz="0" w:space="0" w:color="auto"/>
                <w:left w:val="none" w:sz="0" w:space="0" w:color="auto"/>
                <w:bottom w:val="none" w:sz="0" w:space="0" w:color="auto"/>
                <w:right w:val="none" w:sz="0" w:space="0" w:color="auto"/>
              </w:divBdr>
              <w:divsChild>
                <w:div w:id="855197608">
                  <w:marLeft w:val="0"/>
                  <w:marRight w:val="0"/>
                  <w:marTop w:val="0"/>
                  <w:marBottom w:val="0"/>
                  <w:divBdr>
                    <w:top w:val="none" w:sz="0" w:space="0" w:color="auto"/>
                    <w:left w:val="none" w:sz="0" w:space="0" w:color="auto"/>
                    <w:bottom w:val="none" w:sz="0" w:space="0" w:color="auto"/>
                    <w:right w:val="none" w:sz="0" w:space="0" w:color="auto"/>
                  </w:divBdr>
                </w:div>
              </w:divsChild>
            </w:div>
            <w:div w:id="1353071791">
              <w:marLeft w:val="0"/>
              <w:marRight w:val="0"/>
              <w:marTop w:val="0"/>
              <w:marBottom w:val="0"/>
              <w:divBdr>
                <w:top w:val="none" w:sz="0" w:space="0" w:color="auto"/>
                <w:left w:val="none" w:sz="0" w:space="0" w:color="auto"/>
                <w:bottom w:val="none" w:sz="0" w:space="0" w:color="auto"/>
                <w:right w:val="none" w:sz="0" w:space="0" w:color="auto"/>
              </w:divBdr>
              <w:divsChild>
                <w:div w:id="18860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5424">
          <w:marLeft w:val="0"/>
          <w:marRight w:val="0"/>
          <w:marTop w:val="0"/>
          <w:marBottom w:val="0"/>
          <w:divBdr>
            <w:top w:val="none" w:sz="0" w:space="0" w:color="auto"/>
            <w:left w:val="none" w:sz="0" w:space="0" w:color="auto"/>
            <w:bottom w:val="none" w:sz="0" w:space="0" w:color="auto"/>
            <w:right w:val="none" w:sz="0" w:space="0" w:color="auto"/>
          </w:divBdr>
          <w:divsChild>
            <w:div w:id="380449080">
              <w:marLeft w:val="0"/>
              <w:marRight w:val="0"/>
              <w:marTop w:val="0"/>
              <w:marBottom w:val="0"/>
              <w:divBdr>
                <w:top w:val="none" w:sz="0" w:space="0" w:color="auto"/>
                <w:left w:val="none" w:sz="0" w:space="0" w:color="auto"/>
                <w:bottom w:val="none" w:sz="0" w:space="0" w:color="auto"/>
                <w:right w:val="none" w:sz="0" w:space="0" w:color="auto"/>
              </w:divBdr>
              <w:divsChild>
                <w:div w:id="1868450501">
                  <w:marLeft w:val="0"/>
                  <w:marRight w:val="0"/>
                  <w:marTop w:val="0"/>
                  <w:marBottom w:val="0"/>
                  <w:divBdr>
                    <w:top w:val="none" w:sz="0" w:space="0" w:color="auto"/>
                    <w:left w:val="none" w:sz="0" w:space="0" w:color="auto"/>
                    <w:bottom w:val="none" w:sz="0" w:space="0" w:color="auto"/>
                    <w:right w:val="none" w:sz="0" w:space="0" w:color="auto"/>
                  </w:divBdr>
                </w:div>
              </w:divsChild>
            </w:div>
            <w:div w:id="787546234">
              <w:marLeft w:val="0"/>
              <w:marRight w:val="0"/>
              <w:marTop w:val="0"/>
              <w:marBottom w:val="0"/>
              <w:divBdr>
                <w:top w:val="none" w:sz="0" w:space="0" w:color="auto"/>
                <w:left w:val="none" w:sz="0" w:space="0" w:color="auto"/>
                <w:bottom w:val="none" w:sz="0" w:space="0" w:color="auto"/>
                <w:right w:val="none" w:sz="0" w:space="0" w:color="auto"/>
              </w:divBdr>
              <w:divsChild>
                <w:div w:id="9135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88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searchgate.net/profile/Bakhtiyar-Nurumov?_sg%5B0%5D=dgQ3yiLgDL9q4UMd5RipqPamu2P2cAmWb3xxGa72DH5BKz3BdN7tyuKfhvomGrsfwnZKeJg.IJzE7c3_Ns2SvmgBiOyaW4tLjyVxCupZ5VanCleAbdTz1OrqXZgRSVDf5k3rzmP9JLUwfD_vymgAUDrANpghbg&amp;_sg%5B1%5D=86V2BD93veuasnL5_D2GwCOSuJJpXEX-ceok345V5GfeoArEqKQoB15yhyyG0Z1CmdEcGLE.FqDyjlPMMzOsqEe9xE1gSyZvSDzuiwrqZpMyxZedZYNdFjNEB9ZKN-JlkMaj5fg8Iw7TaNiBx55_DMGLkaRkZQ" TargetMode="External"/><Relationship Id="rId12" Type="http://schemas.openxmlformats.org/officeDocument/2006/relationships/hyperlink" Target="https://www.researchgate.net/publication/340120016_The_Analysis_of_the_Meaning_of_the_Person's_Internal_World_as_a_Basis_of_Self-Efficacy_in_the_Educational_Syste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esearchgate.net/publication/343906004_The_Analysis_of_the_Meaning_of_the_Person's_Internal_World_as_a_Basis_of_Self-Efficacy_in_the_Educational_System" TargetMode="External"/><Relationship Id="rId7" Type="http://schemas.openxmlformats.org/officeDocument/2006/relationships/hyperlink" Target="https://www.researchgate.net/publication/343906004_The_Analysis_of_the_Meaning_of_the_Person's_Internal_World_as_a_Basis_of_Self-Efficacy_in_the_Educational_System" TargetMode="External"/><Relationship Id="rId8" Type="http://schemas.openxmlformats.org/officeDocument/2006/relationships/hyperlink" Target="https://www.researchgate.net/scientific-contributions/Fatima-Tashimova-2115699268?_sg%5B0%5D=dgQ3yiLgDL9q4UMd5RipqPamu2P2cAmWb3xxGa72DH5BKz3BdN7tyuKfhvomGrsfwnZKeJg.IJzE7c3_Ns2SvmgBiOyaW4tLjyVxCupZ5VanCleAbdTz1OrqXZgRSVDf5k3rzmP9JLUwfD_vymgAUDrANpghbg&amp;_sg%5B1%5D=86V2BD93veuasnL5_D2GwCOSuJJpXEX-ceok345V5GfeoArEqKQoB15yhyyG0Z1CmdEcGLE.FqDyjlPMMzOsqEe9xE1gSyZvSDzuiwrqZpMyxZedZYNdFjNEB9ZKN-JlkMaj5fg8Iw7TaNiBx55_DMGLkaRkZQ" TargetMode="External"/><Relationship Id="rId9" Type="http://schemas.openxmlformats.org/officeDocument/2006/relationships/hyperlink" Target="https://www.researchgate.net/profile/Aidana-Rizulla?_sg%5B0%5D=dgQ3yiLgDL9q4UMd5RipqPamu2P2cAmWb3xxGa72DH5BKz3BdN7tyuKfhvomGrsfwnZKeJg.IJzE7c3_Ns2SvmgBiOyaW4tLjyVxCupZ5VanCleAbdTz1OrqXZgRSVDf5k3rzmP9JLUwfD_vymgAUDrANpghbg&amp;_sg%5B1%5D=86V2BD93veuasnL5_D2GwCOSuJJpXEX-ceok345V5GfeoArEqKQoB15yhyyG0Z1CmdEcGLE.FqDyjlPMMzOsqEe9xE1gSyZvSDzuiwrqZpMyxZedZYNdFjNEB9ZKN-JlkMaj5fg8Iw7TaNiBx55_DMGLkaRkZQ" TargetMode="External"/><Relationship Id="rId10" Type="http://schemas.openxmlformats.org/officeDocument/2006/relationships/hyperlink" Target="https://www.researchgate.net/profile/Galiya-Ibrayeva-2?_sg%5B0%5D=dgQ3yiLgDL9q4UMd5RipqPamu2P2cAmWb3xxGa72DH5BKz3BdN7tyuKfhvomGrsfwnZKeJg.IJzE7c3_Ns2SvmgBiOyaW4tLjyVxCupZ5VanCleAbdTz1OrqXZgRSVDf5k3rzmP9JLUwfD_vymgAUDrANpghbg&amp;_sg%5B1%5D=86V2BD93veuasnL5_D2GwCOSuJJpXEX-ceok345V5GfeoArEqKQoB15yhyyG0Z1CmdEcGLE.FqDyjlPMMzOsqEe9xE1gSyZvSDzuiwrqZpMyxZedZYNdFjNEB9ZKN-JlkMaj5fg8Iw7TaNiBx55_DMGLkaRkZQ"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4508</Words>
  <Characters>25702</Characters>
  <Application>Microsoft Macintosh Word</Application>
  <DocSecurity>0</DocSecurity>
  <Lines>214</Lines>
  <Paragraphs>60</Paragraphs>
  <ScaleCrop>false</ScaleCrop>
  <Company/>
  <LinksUpToDate>false</LinksUpToDate>
  <CharactersWithSpaces>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3</cp:revision>
  <dcterms:created xsi:type="dcterms:W3CDTF">2021-04-12T10:04:00Z</dcterms:created>
  <dcterms:modified xsi:type="dcterms:W3CDTF">2021-04-12T10:25:00Z</dcterms:modified>
</cp:coreProperties>
</file>