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E6" w:rsidRDefault="00F23E78" w:rsidP="008F35DA">
      <w:pPr>
        <w:spacing w:before="440" w:after="120" w:line="240" w:lineRule="auto"/>
        <w:jc w:val="both"/>
        <w:rPr>
          <w:rFonts w:ascii="Arial" w:hAnsi="Arial" w:cs="Arial"/>
          <w:b/>
          <w:sz w:val="32"/>
          <w:szCs w:val="32"/>
        </w:rPr>
      </w:pPr>
      <w:r w:rsidRPr="00F23E78">
        <w:rPr>
          <w:rFonts w:ascii="Arial" w:hAnsi="Arial" w:cs="Arial"/>
          <w:b/>
          <w:sz w:val="32"/>
          <w:szCs w:val="32"/>
        </w:rPr>
        <w:t xml:space="preserve">Assessment of </w:t>
      </w:r>
      <w:r w:rsidR="00250E83" w:rsidRPr="00F23E78">
        <w:rPr>
          <w:rFonts w:ascii="Arial" w:hAnsi="Arial" w:cs="Arial"/>
          <w:b/>
          <w:sz w:val="32"/>
          <w:szCs w:val="32"/>
        </w:rPr>
        <w:t>FDI</w:t>
      </w:r>
      <w:r w:rsidR="00250E83" w:rsidRPr="00F23E78">
        <w:rPr>
          <w:rFonts w:ascii="Arial" w:hAnsi="Arial" w:cs="Arial"/>
          <w:b/>
          <w:sz w:val="32"/>
          <w:szCs w:val="32"/>
        </w:rPr>
        <w:t xml:space="preserve"> </w:t>
      </w:r>
      <w:r w:rsidRPr="00F23E78">
        <w:rPr>
          <w:rFonts w:ascii="Arial" w:hAnsi="Arial" w:cs="Arial"/>
          <w:b/>
          <w:sz w:val="32"/>
          <w:szCs w:val="32"/>
        </w:rPr>
        <w:t>i</w:t>
      </w:r>
      <w:r w:rsidR="00250E83">
        <w:rPr>
          <w:rFonts w:ascii="Arial" w:hAnsi="Arial" w:cs="Arial"/>
          <w:b/>
          <w:sz w:val="32"/>
          <w:szCs w:val="32"/>
        </w:rPr>
        <w:t>mpact</w:t>
      </w:r>
      <w:r w:rsidRPr="00F23E78">
        <w:rPr>
          <w:rFonts w:ascii="Arial" w:hAnsi="Arial" w:cs="Arial"/>
          <w:b/>
          <w:sz w:val="32"/>
          <w:szCs w:val="32"/>
        </w:rPr>
        <w:t xml:space="preserve"> on </w:t>
      </w:r>
      <w:r w:rsidR="00250E83">
        <w:rPr>
          <w:rFonts w:ascii="Arial" w:hAnsi="Arial" w:cs="Arial"/>
          <w:b/>
          <w:sz w:val="32"/>
          <w:szCs w:val="32"/>
        </w:rPr>
        <w:t xml:space="preserve">the </w:t>
      </w:r>
      <w:r w:rsidRPr="00F23E78">
        <w:rPr>
          <w:rFonts w:ascii="Arial" w:hAnsi="Arial" w:cs="Arial"/>
          <w:b/>
          <w:sz w:val="32"/>
          <w:szCs w:val="32"/>
        </w:rPr>
        <w:t xml:space="preserve">economic growth of </w:t>
      </w:r>
      <w:r w:rsidR="00250E83">
        <w:rPr>
          <w:rFonts w:ascii="Arial" w:hAnsi="Arial" w:cs="Arial"/>
          <w:b/>
          <w:sz w:val="32"/>
          <w:szCs w:val="32"/>
        </w:rPr>
        <w:t xml:space="preserve">a </w:t>
      </w:r>
      <w:r w:rsidRPr="00F23E78">
        <w:rPr>
          <w:rFonts w:ascii="Arial" w:hAnsi="Arial" w:cs="Arial"/>
          <w:b/>
          <w:sz w:val="32"/>
          <w:szCs w:val="32"/>
        </w:rPr>
        <w:t>host country: evidence from Kazakhstan</w:t>
      </w:r>
    </w:p>
    <w:p w:rsidR="00B60BE6" w:rsidRPr="00CA05D4" w:rsidRDefault="00B60BE6" w:rsidP="00E800B7">
      <w:pPr>
        <w:spacing w:after="0" w:line="240" w:lineRule="auto"/>
        <w:jc w:val="both"/>
        <w:rPr>
          <w:rFonts w:ascii="Times New Roman" w:hAnsi="Times New Roman" w:cs="Times New Roman"/>
          <w:sz w:val="20"/>
          <w:szCs w:val="20"/>
        </w:rPr>
      </w:pPr>
      <w:proofErr w:type="spellStart"/>
      <w:r w:rsidRPr="00B60BE6">
        <w:rPr>
          <w:rFonts w:ascii="Times New Roman" w:hAnsi="Times New Roman" w:cs="Times New Roman"/>
          <w:i/>
          <w:sz w:val="20"/>
          <w:szCs w:val="20"/>
        </w:rPr>
        <w:t>Dinara</w:t>
      </w:r>
      <w:proofErr w:type="spellEnd"/>
      <w:r w:rsidRPr="00B60BE6">
        <w:rPr>
          <w:rFonts w:ascii="Times New Roman" w:hAnsi="Times New Roman" w:cs="Times New Roman"/>
          <w:i/>
          <w:sz w:val="20"/>
          <w:szCs w:val="20"/>
        </w:rPr>
        <w:t xml:space="preserve"> </w:t>
      </w:r>
      <w:r w:rsidR="00AB5129" w:rsidRPr="00B60BE6">
        <w:rPr>
          <w:rFonts w:ascii="Times New Roman" w:hAnsi="Times New Roman" w:cs="Times New Roman"/>
          <w:sz w:val="20"/>
          <w:szCs w:val="20"/>
        </w:rPr>
        <w:t>Rakhmatullayeva</w:t>
      </w:r>
      <w:r w:rsidR="00CA05D4" w:rsidRPr="00CA05D4">
        <w:rPr>
          <w:rFonts w:ascii="Times New Roman" w:hAnsi="Times New Roman" w:cs="Times New Roman"/>
          <w:sz w:val="18"/>
          <w:szCs w:val="18"/>
          <w:vertAlign w:val="superscript"/>
        </w:rPr>
        <w:t>1</w:t>
      </w:r>
      <w:r w:rsidR="00CA05D4">
        <w:rPr>
          <w:rFonts w:ascii="Times New Roman" w:hAnsi="Times New Roman" w:cs="Times New Roman"/>
          <w:i/>
          <w:sz w:val="20"/>
          <w:szCs w:val="20"/>
        </w:rPr>
        <w:t>,</w:t>
      </w:r>
      <w:r w:rsidR="00CA05D4">
        <w:rPr>
          <w:rFonts w:ascii="Times New Roman" w:hAnsi="Times New Roman" w:cs="Times New Roman"/>
          <w:sz w:val="20"/>
          <w:szCs w:val="20"/>
        </w:rPr>
        <w:t xml:space="preserve"> </w:t>
      </w:r>
      <w:proofErr w:type="spellStart"/>
      <w:r w:rsidR="00E800B7" w:rsidRPr="00E800B7">
        <w:rPr>
          <w:rFonts w:ascii="Times New Roman" w:hAnsi="Times New Roman" w:cs="Times New Roman"/>
          <w:i/>
          <w:sz w:val="20"/>
          <w:szCs w:val="20"/>
        </w:rPr>
        <w:t>Iliyas</w:t>
      </w:r>
      <w:proofErr w:type="spellEnd"/>
      <w:r w:rsidR="00E800B7">
        <w:rPr>
          <w:rFonts w:ascii="Times New Roman" w:hAnsi="Times New Roman" w:cs="Times New Roman"/>
          <w:sz w:val="20"/>
          <w:szCs w:val="20"/>
        </w:rPr>
        <w:t xml:space="preserve"> Kuliyev</w:t>
      </w:r>
      <w:r w:rsidR="00E800B7" w:rsidRPr="00E800B7">
        <w:rPr>
          <w:rFonts w:ascii="Times New Roman" w:hAnsi="Times New Roman" w:cs="Times New Roman"/>
          <w:sz w:val="18"/>
          <w:szCs w:val="18"/>
          <w:vertAlign w:val="superscript"/>
        </w:rPr>
        <w:t>2</w:t>
      </w:r>
      <w:r w:rsidR="00E800B7">
        <w:rPr>
          <w:rFonts w:ascii="Times New Roman" w:hAnsi="Times New Roman" w:cs="Times New Roman"/>
          <w:sz w:val="20"/>
          <w:szCs w:val="20"/>
        </w:rPr>
        <w:t xml:space="preserve">, </w:t>
      </w:r>
      <w:proofErr w:type="spellStart"/>
      <w:r w:rsidR="00E800B7" w:rsidRPr="00E800B7">
        <w:rPr>
          <w:rFonts w:ascii="Times New Roman" w:hAnsi="Times New Roman" w:cs="Times New Roman"/>
          <w:i/>
          <w:sz w:val="20"/>
          <w:szCs w:val="20"/>
        </w:rPr>
        <w:t>Zhaksylyk</w:t>
      </w:r>
      <w:proofErr w:type="spellEnd"/>
      <w:r w:rsidR="00E800B7">
        <w:rPr>
          <w:rFonts w:ascii="Times New Roman" w:hAnsi="Times New Roman" w:cs="Times New Roman"/>
          <w:sz w:val="20"/>
          <w:szCs w:val="20"/>
        </w:rPr>
        <w:t xml:space="preserve"> Beisenbaiyev</w:t>
      </w:r>
      <w:r w:rsidR="00E800B7" w:rsidRPr="00E800B7">
        <w:rPr>
          <w:rFonts w:ascii="Times New Roman" w:hAnsi="Times New Roman" w:cs="Times New Roman"/>
          <w:sz w:val="18"/>
          <w:szCs w:val="18"/>
          <w:vertAlign w:val="superscript"/>
        </w:rPr>
        <w:t>3</w:t>
      </w:r>
      <w:r w:rsidR="00E800B7">
        <w:rPr>
          <w:rFonts w:ascii="Times New Roman" w:hAnsi="Times New Roman" w:cs="Times New Roman"/>
          <w:sz w:val="20"/>
          <w:szCs w:val="20"/>
        </w:rPr>
        <w:t xml:space="preserve">, and </w:t>
      </w:r>
      <w:r w:rsidR="00E800B7" w:rsidRPr="00E800B7">
        <w:rPr>
          <w:rFonts w:ascii="Times New Roman" w:hAnsi="Times New Roman" w:cs="Times New Roman"/>
          <w:i/>
          <w:sz w:val="20"/>
          <w:szCs w:val="20"/>
        </w:rPr>
        <w:t xml:space="preserve">Talgat </w:t>
      </w:r>
      <w:r w:rsidR="00E800B7">
        <w:rPr>
          <w:rFonts w:ascii="Times New Roman" w:hAnsi="Times New Roman" w:cs="Times New Roman"/>
          <w:sz w:val="20"/>
          <w:szCs w:val="20"/>
        </w:rPr>
        <w:t>Tabeyev</w:t>
      </w:r>
      <w:r w:rsidR="00E800B7" w:rsidRPr="00E800B7">
        <w:rPr>
          <w:rFonts w:ascii="Times New Roman" w:hAnsi="Times New Roman" w:cs="Times New Roman"/>
          <w:sz w:val="18"/>
          <w:szCs w:val="18"/>
          <w:vertAlign w:val="superscript"/>
        </w:rPr>
        <w:t>4</w:t>
      </w:r>
    </w:p>
    <w:p w:rsidR="00E800B7" w:rsidRDefault="00E800B7" w:rsidP="00AB5129">
      <w:pPr>
        <w:spacing w:after="0" w:line="240" w:lineRule="auto"/>
        <w:ind w:firstLine="720"/>
        <w:jc w:val="center"/>
        <w:rPr>
          <w:rFonts w:ascii="Times New Roman" w:hAnsi="Times New Roman" w:cs="Times New Roman"/>
          <w:i/>
          <w:sz w:val="20"/>
          <w:szCs w:val="20"/>
        </w:rPr>
      </w:pPr>
    </w:p>
    <w:p w:rsidR="00AB5129" w:rsidRPr="0092192E" w:rsidRDefault="00E800B7" w:rsidP="00E800B7">
      <w:pPr>
        <w:spacing w:after="0" w:line="240" w:lineRule="auto"/>
        <w:jc w:val="both"/>
        <w:rPr>
          <w:rFonts w:ascii="Times New Roman" w:hAnsi="Times New Roman" w:cs="Times New Roman"/>
          <w:sz w:val="18"/>
          <w:szCs w:val="18"/>
        </w:rPr>
      </w:pPr>
      <w:r w:rsidRPr="0092192E">
        <w:rPr>
          <w:rFonts w:ascii="Times New Roman" w:hAnsi="Times New Roman" w:cs="Times New Roman"/>
          <w:sz w:val="18"/>
          <w:szCs w:val="18"/>
          <w:vertAlign w:val="superscript"/>
        </w:rPr>
        <w:t>1</w:t>
      </w:r>
      <w:r w:rsidR="00AB5129" w:rsidRPr="0092192E">
        <w:rPr>
          <w:rFonts w:ascii="Times New Roman" w:hAnsi="Times New Roman" w:cs="Times New Roman"/>
          <w:sz w:val="18"/>
          <w:szCs w:val="18"/>
        </w:rPr>
        <w:t xml:space="preserve">Al-Farabi </w:t>
      </w:r>
      <w:proofErr w:type="spellStart"/>
      <w:r w:rsidR="00AB5129" w:rsidRPr="0092192E">
        <w:rPr>
          <w:rFonts w:ascii="Times New Roman" w:hAnsi="Times New Roman" w:cs="Times New Roman"/>
          <w:sz w:val="18"/>
          <w:szCs w:val="18"/>
        </w:rPr>
        <w:t>KazNU</w:t>
      </w:r>
      <w:proofErr w:type="spellEnd"/>
      <w:r w:rsidR="00AB5129" w:rsidRPr="0092192E">
        <w:rPr>
          <w:rFonts w:ascii="Times New Roman" w:hAnsi="Times New Roman" w:cs="Times New Roman"/>
          <w:sz w:val="18"/>
          <w:szCs w:val="18"/>
        </w:rPr>
        <w:t>,</w:t>
      </w:r>
      <w:r w:rsidR="0092192E" w:rsidRPr="0092192E">
        <w:rPr>
          <w:rFonts w:ascii="Times New Roman" w:hAnsi="Times New Roman" w:cs="Times New Roman"/>
          <w:sz w:val="18"/>
          <w:szCs w:val="18"/>
        </w:rPr>
        <w:t xml:space="preserve"> Economics Department, </w:t>
      </w:r>
      <w:r w:rsidR="0092192E" w:rsidRPr="0092192E">
        <w:rPr>
          <w:rFonts w:ascii="Times New Roman" w:hAnsi="Times New Roman" w:cs="Times New Roman"/>
          <w:sz w:val="18"/>
          <w:szCs w:val="18"/>
        </w:rPr>
        <w:t>050040</w:t>
      </w:r>
      <w:r w:rsidR="0092192E" w:rsidRPr="0092192E">
        <w:rPr>
          <w:rFonts w:ascii="Times New Roman" w:hAnsi="Times New Roman" w:cs="Times New Roman"/>
          <w:sz w:val="18"/>
          <w:szCs w:val="18"/>
          <w:lang w:val="kk-KZ"/>
        </w:rPr>
        <w:t xml:space="preserve"> </w:t>
      </w:r>
      <w:r w:rsidR="0092192E" w:rsidRPr="0092192E">
        <w:rPr>
          <w:rFonts w:ascii="Times New Roman" w:hAnsi="Times New Roman" w:cs="Times New Roman"/>
          <w:sz w:val="18"/>
          <w:szCs w:val="18"/>
        </w:rPr>
        <w:t>Al-</w:t>
      </w:r>
      <w:proofErr w:type="spellStart"/>
      <w:r w:rsidR="0092192E" w:rsidRPr="0092192E">
        <w:rPr>
          <w:rFonts w:ascii="Times New Roman" w:hAnsi="Times New Roman" w:cs="Times New Roman"/>
          <w:sz w:val="18"/>
          <w:szCs w:val="18"/>
        </w:rPr>
        <w:t>Farabi</w:t>
      </w:r>
      <w:proofErr w:type="spellEnd"/>
      <w:r w:rsidR="0092192E" w:rsidRPr="0092192E">
        <w:rPr>
          <w:rFonts w:ascii="Times New Roman" w:hAnsi="Times New Roman" w:cs="Times New Roman"/>
          <w:sz w:val="18"/>
          <w:szCs w:val="18"/>
        </w:rPr>
        <w:t xml:space="preserve"> Av</w:t>
      </w:r>
      <w:r w:rsidR="00F23E78">
        <w:rPr>
          <w:rFonts w:ascii="Times New Roman" w:hAnsi="Times New Roman" w:cs="Times New Roman"/>
          <w:sz w:val="18"/>
          <w:szCs w:val="18"/>
        </w:rPr>
        <w:t>enue</w:t>
      </w:r>
      <w:r w:rsidR="0092192E" w:rsidRPr="0092192E">
        <w:rPr>
          <w:rFonts w:ascii="Times New Roman" w:hAnsi="Times New Roman" w:cs="Times New Roman"/>
          <w:sz w:val="18"/>
          <w:szCs w:val="18"/>
        </w:rPr>
        <w:t xml:space="preserve"> 71,</w:t>
      </w:r>
      <w:r w:rsidR="00AB5129" w:rsidRPr="0092192E">
        <w:rPr>
          <w:rFonts w:ascii="Times New Roman" w:hAnsi="Times New Roman" w:cs="Times New Roman"/>
          <w:sz w:val="18"/>
          <w:szCs w:val="18"/>
        </w:rPr>
        <w:t xml:space="preserve"> Kazakhstan </w:t>
      </w:r>
    </w:p>
    <w:p w:rsidR="0092192E" w:rsidRPr="0092192E" w:rsidRDefault="0092192E" w:rsidP="0092192E">
      <w:pPr>
        <w:spacing w:after="0" w:line="240" w:lineRule="auto"/>
        <w:jc w:val="both"/>
        <w:rPr>
          <w:rFonts w:ascii="Times New Roman" w:hAnsi="Times New Roman" w:cs="Times New Roman"/>
          <w:sz w:val="18"/>
          <w:szCs w:val="18"/>
        </w:rPr>
      </w:pPr>
      <w:r>
        <w:rPr>
          <w:rFonts w:ascii="Times New Roman" w:hAnsi="Times New Roman" w:cs="Times New Roman"/>
          <w:sz w:val="18"/>
          <w:szCs w:val="18"/>
          <w:vertAlign w:val="superscript"/>
        </w:rPr>
        <w:t>2</w:t>
      </w:r>
      <w:r w:rsidRPr="0092192E">
        <w:rPr>
          <w:rFonts w:ascii="Times New Roman" w:hAnsi="Times New Roman" w:cs="Times New Roman"/>
          <w:sz w:val="18"/>
          <w:szCs w:val="18"/>
        </w:rPr>
        <w:t xml:space="preserve">Al-Farabi </w:t>
      </w:r>
      <w:proofErr w:type="spellStart"/>
      <w:r w:rsidRPr="0092192E">
        <w:rPr>
          <w:rFonts w:ascii="Times New Roman" w:hAnsi="Times New Roman" w:cs="Times New Roman"/>
          <w:sz w:val="18"/>
          <w:szCs w:val="18"/>
        </w:rPr>
        <w:t>KazNU</w:t>
      </w:r>
      <w:proofErr w:type="spellEnd"/>
      <w:r w:rsidRPr="0092192E">
        <w:rPr>
          <w:rFonts w:ascii="Times New Roman" w:hAnsi="Times New Roman" w:cs="Times New Roman"/>
          <w:sz w:val="18"/>
          <w:szCs w:val="18"/>
        </w:rPr>
        <w:t>, Economics Department, 050040</w:t>
      </w:r>
      <w:r w:rsidRPr="0092192E">
        <w:rPr>
          <w:rFonts w:ascii="Times New Roman" w:hAnsi="Times New Roman" w:cs="Times New Roman"/>
          <w:sz w:val="18"/>
          <w:szCs w:val="18"/>
          <w:lang w:val="kk-KZ"/>
        </w:rPr>
        <w:t xml:space="preserve"> </w:t>
      </w:r>
      <w:r w:rsidRPr="0092192E">
        <w:rPr>
          <w:rFonts w:ascii="Times New Roman" w:hAnsi="Times New Roman" w:cs="Times New Roman"/>
          <w:sz w:val="18"/>
          <w:szCs w:val="18"/>
        </w:rPr>
        <w:t>Al-</w:t>
      </w:r>
      <w:proofErr w:type="spellStart"/>
      <w:r w:rsidRPr="0092192E">
        <w:rPr>
          <w:rFonts w:ascii="Times New Roman" w:hAnsi="Times New Roman" w:cs="Times New Roman"/>
          <w:sz w:val="18"/>
          <w:szCs w:val="18"/>
        </w:rPr>
        <w:t>Farabi</w:t>
      </w:r>
      <w:proofErr w:type="spellEnd"/>
      <w:r w:rsidRPr="0092192E">
        <w:rPr>
          <w:rFonts w:ascii="Times New Roman" w:hAnsi="Times New Roman" w:cs="Times New Roman"/>
          <w:sz w:val="18"/>
          <w:szCs w:val="18"/>
        </w:rPr>
        <w:t xml:space="preserve"> </w:t>
      </w:r>
      <w:r w:rsidR="00F23E78" w:rsidRPr="0092192E">
        <w:rPr>
          <w:rFonts w:ascii="Times New Roman" w:hAnsi="Times New Roman" w:cs="Times New Roman"/>
          <w:sz w:val="18"/>
          <w:szCs w:val="18"/>
        </w:rPr>
        <w:t>Av</w:t>
      </w:r>
      <w:r w:rsidR="00F23E78">
        <w:rPr>
          <w:rFonts w:ascii="Times New Roman" w:hAnsi="Times New Roman" w:cs="Times New Roman"/>
          <w:sz w:val="18"/>
          <w:szCs w:val="18"/>
        </w:rPr>
        <w:t>enue</w:t>
      </w:r>
      <w:r w:rsidRPr="0092192E">
        <w:rPr>
          <w:rFonts w:ascii="Times New Roman" w:hAnsi="Times New Roman" w:cs="Times New Roman"/>
          <w:sz w:val="18"/>
          <w:szCs w:val="18"/>
        </w:rPr>
        <w:t xml:space="preserve"> 71, Kazakhstan </w:t>
      </w:r>
    </w:p>
    <w:p w:rsidR="0092192E" w:rsidRPr="0092192E" w:rsidRDefault="0092192E" w:rsidP="0092192E">
      <w:pPr>
        <w:spacing w:after="0" w:line="240" w:lineRule="auto"/>
        <w:jc w:val="both"/>
        <w:rPr>
          <w:rFonts w:ascii="Times New Roman" w:hAnsi="Times New Roman" w:cs="Times New Roman"/>
          <w:sz w:val="18"/>
          <w:szCs w:val="18"/>
        </w:rPr>
      </w:pPr>
      <w:r>
        <w:rPr>
          <w:rFonts w:ascii="Times New Roman" w:hAnsi="Times New Roman" w:cs="Times New Roman"/>
          <w:sz w:val="18"/>
          <w:szCs w:val="18"/>
          <w:vertAlign w:val="superscript"/>
        </w:rPr>
        <w:t>3</w:t>
      </w:r>
      <w:r w:rsidRPr="0092192E">
        <w:rPr>
          <w:rFonts w:ascii="Times New Roman" w:hAnsi="Times New Roman" w:cs="Times New Roman"/>
          <w:sz w:val="18"/>
          <w:szCs w:val="18"/>
        </w:rPr>
        <w:t xml:space="preserve">Al-Farabi </w:t>
      </w:r>
      <w:proofErr w:type="spellStart"/>
      <w:r w:rsidRPr="0092192E">
        <w:rPr>
          <w:rFonts w:ascii="Times New Roman" w:hAnsi="Times New Roman" w:cs="Times New Roman"/>
          <w:sz w:val="18"/>
          <w:szCs w:val="18"/>
        </w:rPr>
        <w:t>KazNU</w:t>
      </w:r>
      <w:proofErr w:type="spellEnd"/>
      <w:r w:rsidRPr="0092192E">
        <w:rPr>
          <w:rFonts w:ascii="Times New Roman" w:hAnsi="Times New Roman" w:cs="Times New Roman"/>
          <w:sz w:val="18"/>
          <w:szCs w:val="18"/>
        </w:rPr>
        <w:t>, Economics Department, 050040</w:t>
      </w:r>
      <w:r w:rsidRPr="0092192E">
        <w:rPr>
          <w:rFonts w:ascii="Times New Roman" w:hAnsi="Times New Roman" w:cs="Times New Roman"/>
          <w:sz w:val="18"/>
          <w:szCs w:val="18"/>
          <w:lang w:val="kk-KZ"/>
        </w:rPr>
        <w:t xml:space="preserve"> </w:t>
      </w:r>
      <w:r w:rsidRPr="0092192E">
        <w:rPr>
          <w:rFonts w:ascii="Times New Roman" w:hAnsi="Times New Roman" w:cs="Times New Roman"/>
          <w:sz w:val="18"/>
          <w:szCs w:val="18"/>
        </w:rPr>
        <w:t>Al-</w:t>
      </w:r>
      <w:proofErr w:type="spellStart"/>
      <w:r w:rsidRPr="0092192E">
        <w:rPr>
          <w:rFonts w:ascii="Times New Roman" w:hAnsi="Times New Roman" w:cs="Times New Roman"/>
          <w:sz w:val="18"/>
          <w:szCs w:val="18"/>
        </w:rPr>
        <w:t>Farabi</w:t>
      </w:r>
      <w:proofErr w:type="spellEnd"/>
      <w:r w:rsidRPr="0092192E">
        <w:rPr>
          <w:rFonts w:ascii="Times New Roman" w:hAnsi="Times New Roman" w:cs="Times New Roman"/>
          <w:sz w:val="18"/>
          <w:szCs w:val="18"/>
        </w:rPr>
        <w:t xml:space="preserve"> </w:t>
      </w:r>
      <w:r w:rsidR="00F23E78" w:rsidRPr="0092192E">
        <w:rPr>
          <w:rFonts w:ascii="Times New Roman" w:hAnsi="Times New Roman" w:cs="Times New Roman"/>
          <w:sz w:val="18"/>
          <w:szCs w:val="18"/>
        </w:rPr>
        <w:t>Av</w:t>
      </w:r>
      <w:r w:rsidR="00F23E78">
        <w:rPr>
          <w:rFonts w:ascii="Times New Roman" w:hAnsi="Times New Roman" w:cs="Times New Roman"/>
          <w:sz w:val="18"/>
          <w:szCs w:val="18"/>
        </w:rPr>
        <w:t>enue</w:t>
      </w:r>
      <w:r w:rsidRPr="0092192E">
        <w:rPr>
          <w:rFonts w:ascii="Times New Roman" w:hAnsi="Times New Roman" w:cs="Times New Roman"/>
          <w:sz w:val="18"/>
          <w:szCs w:val="18"/>
        </w:rPr>
        <w:t xml:space="preserve"> 71, Kazakhstan </w:t>
      </w:r>
    </w:p>
    <w:p w:rsidR="0092192E" w:rsidRPr="0092192E" w:rsidRDefault="0092192E" w:rsidP="0092192E">
      <w:pPr>
        <w:spacing w:after="0" w:line="240" w:lineRule="auto"/>
        <w:jc w:val="both"/>
        <w:rPr>
          <w:rFonts w:ascii="Times New Roman" w:hAnsi="Times New Roman" w:cs="Times New Roman"/>
          <w:sz w:val="18"/>
          <w:szCs w:val="18"/>
        </w:rPr>
      </w:pPr>
      <w:r>
        <w:rPr>
          <w:rFonts w:ascii="Times New Roman" w:hAnsi="Times New Roman" w:cs="Times New Roman"/>
          <w:sz w:val="18"/>
          <w:szCs w:val="18"/>
          <w:vertAlign w:val="superscript"/>
        </w:rPr>
        <w:t>4</w:t>
      </w:r>
      <w:r w:rsidRPr="0092192E">
        <w:rPr>
          <w:rFonts w:ascii="Times New Roman" w:hAnsi="Times New Roman" w:cs="Times New Roman"/>
          <w:sz w:val="18"/>
          <w:szCs w:val="18"/>
        </w:rPr>
        <w:t xml:space="preserve">Al-Farabi </w:t>
      </w:r>
      <w:proofErr w:type="spellStart"/>
      <w:r w:rsidRPr="0092192E">
        <w:rPr>
          <w:rFonts w:ascii="Times New Roman" w:hAnsi="Times New Roman" w:cs="Times New Roman"/>
          <w:sz w:val="18"/>
          <w:szCs w:val="18"/>
        </w:rPr>
        <w:t>KazNU</w:t>
      </w:r>
      <w:proofErr w:type="spellEnd"/>
      <w:r w:rsidRPr="0092192E">
        <w:rPr>
          <w:rFonts w:ascii="Times New Roman" w:hAnsi="Times New Roman" w:cs="Times New Roman"/>
          <w:sz w:val="18"/>
          <w:szCs w:val="18"/>
        </w:rPr>
        <w:t>, Economics Department, 050040</w:t>
      </w:r>
      <w:r w:rsidRPr="0092192E">
        <w:rPr>
          <w:rFonts w:ascii="Times New Roman" w:hAnsi="Times New Roman" w:cs="Times New Roman"/>
          <w:sz w:val="18"/>
          <w:szCs w:val="18"/>
          <w:lang w:val="kk-KZ"/>
        </w:rPr>
        <w:t xml:space="preserve"> </w:t>
      </w:r>
      <w:r w:rsidRPr="0092192E">
        <w:rPr>
          <w:rFonts w:ascii="Times New Roman" w:hAnsi="Times New Roman" w:cs="Times New Roman"/>
          <w:sz w:val="18"/>
          <w:szCs w:val="18"/>
        </w:rPr>
        <w:t>Al-</w:t>
      </w:r>
      <w:proofErr w:type="spellStart"/>
      <w:r w:rsidRPr="0092192E">
        <w:rPr>
          <w:rFonts w:ascii="Times New Roman" w:hAnsi="Times New Roman" w:cs="Times New Roman"/>
          <w:sz w:val="18"/>
          <w:szCs w:val="18"/>
        </w:rPr>
        <w:t>Farabi</w:t>
      </w:r>
      <w:proofErr w:type="spellEnd"/>
      <w:r w:rsidRPr="0092192E">
        <w:rPr>
          <w:rFonts w:ascii="Times New Roman" w:hAnsi="Times New Roman" w:cs="Times New Roman"/>
          <w:sz w:val="18"/>
          <w:szCs w:val="18"/>
        </w:rPr>
        <w:t xml:space="preserve"> </w:t>
      </w:r>
      <w:r w:rsidR="00F23E78" w:rsidRPr="0092192E">
        <w:rPr>
          <w:rFonts w:ascii="Times New Roman" w:hAnsi="Times New Roman" w:cs="Times New Roman"/>
          <w:sz w:val="18"/>
          <w:szCs w:val="18"/>
        </w:rPr>
        <w:t>Av</w:t>
      </w:r>
      <w:r w:rsidR="00F23E78">
        <w:rPr>
          <w:rFonts w:ascii="Times New Roman" w:hAnsi="Times New Roman" w:cs="Times New Roman"/>
          <w:sz w:val="18"/>
          <w:szCs w:val="18"/>
        </w:rPr>
        <w:t>enue</w:t>
      </w:r>
      <w:r w:rsidRPr="0092192E">
        <w:rPr>
          <w:rFonts w:ascii="Times New Roman" w:hAnsi="Times New Roman" w:cs="Times New Roman"/>
          <w:sz w:val="18"/>
          <w:szCs w:val="18"/>
        </w:rPr>
        <w:t xml:space="preserve"> 71, Kazakhstan </w:t>
      </w:r>
    </w:p>
    <w:p w:rsidR="00021CA9" w:rsidRDefault="00AB5129" w:rsidP="00021CA9">
      <w:pPr>
        <w:spacing w:before="160" w:line="240" w:lineRule="auto"/>
        <w:ind w:left="964" w:right="964"/>
        <w:jc w:val="both"/>
        <w:rPr>
          <w:rFonts w:ascii="Times New Roman" w:hAnsi="Times New Roman" w:cs="Times New Roman"/>
          <w:sz w:val="18"/>
          <w:szCs w:val="18"/>
        </w:rPr>
      </w:pPr>
      <w:r w:rsidRPr="0092192E">
        <w:rPr>
          <w:rFonts w:ascii="Arial" w:hAnsi="Arial" w:cs="Arial"/>
          <w:b/>
          <w:sz w:val="18"/>
          <w:szCs w:val="18"/>
        </w:rPr>
        <w:t>A</w:t>
      </w:r>
      <w:r w:rsidR="0092192E" w:rsidRPr="0092192E">
        <w:rPr>
          <w:rFonts w:ascii="Arial" w:hAnsi="Arial" w:cs="Arial"/>
          <w:b/>
          <w:sz w:val="18"/>
          <w:szCs w:val="18"/>
        </w:rPr>
        <w:t>bstract</w:t>
      </w:r>
      <w:r w:rsidRPr="00D92037">
        <w:rPr>
          <w:rFonts w:ascii="Arial" w:hAnsi="Arial" w:cs="Arial"/>
          <w:b/>
          <w:sz w:val="18"/>
          <w:szCs w:val="18"/>
          <w:lang w:val="ru-RU"/>
        </w:rPr>
        <w:t>.</w:t>
      </w:r>
      <w:r w:rsidR="0092192E" w:rsidRPr="00D92037">
        <w:rPr>
          <w:rFonts w:ascii="Arial" w:hAnsi="Arial" w:cs="Arial"/>
          <w:b/>
          <w:sz w:val="18"/>
          <w:szCs w:val="18"/>
          <w:lang w:val="ru-RU"/>
        </w:rPr>
        <w:t xml:space="preserve"> </w:t>
      </w:r>
      <w:r w:rsidR="008F35DA" w:rsidRPr="008F35DA">
        <w:rPr>
          <w:rFonts w:ascii="Times New Roman" w:hAnsi="Times New Roman" w:cs="Times New Roman"/>
          <w:sz w:val="18"/>
          <w:szCs w:val="18"/>
        </w:rPr>
        <w:t>The article examines the impact of FDI inflows on the economic growth of the host country, using the Kazakhstan economy as an example. The authors attempted to assess the impact of FDI using a multiple regression model. As a measure of economic growth, Kazakhstan’s GDP data for the period 2000-2017 was used. The simulation results didn</w:t>
      </w:r>
      <w:r w:rsidR="00F23E78">
        <w:rPr>
          <w:rFonts w:ascii="Times New Roman" w:hAnsi="Times New Roman" w:cs="Times New Roman"/>
          <w:sz w:val="18"/>
          <w:szCs w:val="18"/>
        </w:rPr>
        <w:t>’</w:t>
      </w:r>
      <w:r w:rsidR="008F35DA" w:rsidRPr="008F35DA">
        <w:rPr>
          <w:rFonts w:ascii="Times New Roman" w:hAnsi="Times New Roman" w:cs="Times New Roman"/>
          <w:sz w:val="18"/>
          <w:szCs w:val="18"/>
        </w:rPr>
        <w:t>t reveal the negative impact of FDI on economic growth, but the analysis revealed that the presence of a positive relationship is not essential for assessing the growth of the national economy</w:t>
      </w:r>
      <w:r w:rsidR="00D92037" w:rsidRPr="008F35DA">
        <w:rPr>
          <w:rFonts w:ascii="Times New Roman" w:hAnsi="Times New Roman" w:cs="Times New Roman"/>
          <w:sz w:val="18"/>
          <w:szCs w:val="18"/>
        </w:rPr>
        <w:t>.</w:t>
      </w:r>
      <w:r w:rsidR="00D92037" w:rsidRPr="008F35DA">
        <w:rPr>
          <w:rFonts w:ascii="Times New Roman" w:hAnsi="Times New Roman" w:cs="Times New Roman"/>
          <w:sz w:val="18"/>
          <w:szCs w:val="18"/>
        </w:rPr>
        <w:t xml:space="preserve"> </w:t>
      </w:r>
      <w:r w:rsidR="00021CA9">
        <w:rPr>
          <w:rFonts w:ascii="Times New Roman" w:hAnsi="Times New Roman" w:cs="Times New Roman"/>
          <w:sz w:val="18"/>
          <w:szCs w:val="18"/>
        </w:rPr>
        <w:t xml:space="preserve"> </w:t>
      </w:r>
    </w:p>
    <w:p w:rsidR="00F23E78" w:rsidRPr="008F35DA" w:rsidRDefault="00F23E78" w:rsidP="00021CA9">
      <w:pPr>
        <w:spacing w:before="160" w:line="240" w:lineRule="auto"/>
        <w:ind w:left="964" w:right="964"/>
        <w:jc w:val="both"/>
        <w:rPr>
          <w:rFonts w:ascii="Arial" w:hAnsi="Arial" w:cs="Arial"/>
          <w:b/>
          <w:sz w:val="18"/>
          <w:szCs w:val="18"/>
        </w:rPr>
      </w:pPr>
      <w:proofErr w:type="gramStart"/>
      <w:r w:rsidRPr="00F23E78">
        <w:rPr>
          <w:rFonts w:ascii="Arial" w:hAnsi="Arial" w:cs="Arial"/>
          <w:b/>
          <w:sz w:val="18"/>
          <w:szCs w:val="18"/>
        </w:rPr>
        <w:t>Key</w:t>
      </w:r>
      <w:r w:rsidR="00446F1E">
        <w:rPr>
          <w:rFonts w:ascii="Arial" w:hAnsi="Arial" w:cs="Arial"/>
          <w:b/>
          <w:sz w:val="18"/>
          <w:szCs w:val="18"/>
        </w:rPr>
        <w:t xml:space="preserve"> </w:t>
      </w:r>
      <w:r w:rsidRPr="00F23E78">
        <w:rPr>
          <w:rFonts w:ascii="Arial" w:hAnsi="Arial" w:cs="Arial"/>
          <w:b/>
          <w:sz w:val="18"/>
          <w:szCs w:val="18"/>
        </w:rPr>
        <w:t>words.</w:t>
      </w:r>
      <w:proofErr w:type="gramEnd"/>
      <w:r w:rsidRPr="008F35DA">
        <w:rPr>
          <w:rFonts w:ascii="Times New Roman" w:hAnsi="Times New Roman" w:cs="Times New Roman"/>
          <w:b/>
          <w:sz w:val="18"/>
          <w:szCs w:val="18"/>
        </w:rPr>
        <w:t xml:space="preserve"> </w:t>
      </w:r>
      <w:r w:rsidRPr="008F35DA">
        <w:rPr>
          <w:rFonts w:ascii="Times New Roman" w:hAnsi="Times New Roman" w:cs="Times New Roman"/>
          <w:sz w:val="18"/>
          <w:szCs w:val="18"/>
        </w:rPr>
        <w:t>Economic growth, foreign direct investment (FDI), gross domestic product (GDP), Kazakhstan,</w:t>
      </w:r>
      <w:r>
        <w:rPr>
          <w:rFonts w:ascii="Times New Roman" w:hAnsi="Times New Roman" w:cs="Times New Roman"/>
          <w:sz w:val="18"/>
          <w:szCs w:val="18"/>
        </w:rPr>
        <w:t xml:space="preserve"> regression </w:t>
      </w:r>
      <w:r w:rsidR="00446F1E">
        <w:rPr>
          <w:rFonts w:ascii="Times New Roman" w:hAnsi="Times New Roman" w:cs="Times New Roman"/>
          <w:sz w:val="18"/>
          <w:szCs w:val="18"/>
        </w:rPr>
        <w:t>equation</w:t>
      </w:r>
      <w:bookmarkStart w:id="0" w:name="_GoBack"/>
      <w:bookmarkEnd w:id="0"/>
      <w:r>
        <w:rPr>
          <w:rFonts w:ascii="Times New Roman" w:hAnsi="Times New Roman" w:cs="Times New Roman"/>
          <w:sz w:val="18"/>
          <w:szCs w:val="18"/>
        </w:rPr>
        <w:t>.</w:t>
      </w:r>
    </w:p>
    <w:p w:rsidR="00AB5129" w:rsidRPr="0029112A" w:rsidRDefault="0029112A" w:rsidP="0029112A">
      <w:pPr>
        <w:spacing w:before="120" w:after="60" w:line="240" w:lineRule="auto"/>
        <w:jc w:val="both"/>
        <w:rPr>
          <w:rFonts w:ascii="Arial" w:hAnsi="Arial" w:cs="Arial"/>
          <w:b/>
          <w:sz w:val="24"/>
          <w:szCs w:val="24"/>
        </w:rPr>
      </w:pPr>
      <w:r>
        <w:rPr>
          <w:rFonts w:ascii="Arial" w:hAnsi="Arial" w:cs="Arial"/>
          <w:b/>
          <w:sz w:val="24"/>
          <w:szCs w:val="24"/>
          <w:lang w:val="ru-RU"/>
        </w:rPr>
        <w:t xml:space="preserve">1 </w:t>
      </w:r>
      <w:r w:rsidR="00AB5129" w:rsidRPr="0029112A">
        <w:rPr>
          <w:rFonts w:ascii="Arial" w:hAnsi="Arial" w:cs="Arial"/>
          <w:b/>
          <w:sz w:val="24"/>
          <w:szCs w:val="24"/>
        </w:rPr>
        <w:t>Introduction</w:t>
      </w:r>
    </w:p>
    <w:p w:rsidR="00AB5129" w:rsidRPr="00AB5129" w:rsidRDefault="00AB5129" w:rsidP="00F23E7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Economic</w:t>
      </w:r>
      <w:r w:rsidRPr="00B85B44">
        <w:rPr>
          <w:rFonts w:ascii="Times New Roman" w:hAnsi="Times New Roman" w:cs="Times New Roman"/>
          <w:sz w:val="20"/>
          <w:szCs w:val="20"/>
        </w:rPr>
        <w:t xml:space="preserve"> </w:t>
      </w:r>
      <w:r w:rsidRPr="00AB5129">
        <w:rPr>
          <w:rFonts w:ascii="Times New Roman" w:hAnsi="Times New Roman" w:cs="Times New Roman"/>
          <w:sz w:val="20"/>
          <w:szCs w:val="20"/>
        </w:rPr>
        <w:t>growth</w:t>
      </w:r>
      <w:r w:rsidRPr="00B85B44">
        <w:rPr>
          <w:rFonts w:ascii="Times New Roman" w:hAnsi="Times New Roman" w:cs="Times New Roman"/>
          <w:sz w:val="20"/>
          <w:szCs w:val="20"/>
        </w:rPr>
        <w:t xml:space="preserve"> </w:t>
      </w:r>
      <w:r w:rsidRPr="00AB5129">
        <w:rPr>
          <w:rFonts w:ascii="Times New Roman" w:hAnsi="Times New Roman" w:cs="Times New Roman"/>
          <w:sz w:val="20"/>
          <w:szCs w:val="20"/>
        </w:rPr>
        <w:t>and</w:t>
      </w:r>
      <w:r w:rsidRPr="00B85B44">
        <w:rPr>
          <w:rFonts w:ascii="Times New Roman" w:hAnsi="Times New Roman" w:cs="Times New Roman"/>
          <w:sz w:val="20"/>
          <w:szCs w:val="20"/>
        </w:rPr>
        <w:t xml:space="preserve"> </w:t>
      </w:r>
      <w:r w:rsidRPr="00AB5129">
        <w:rPr>
          <w:rFonts w:ascii="Times New Roman" w:hAnsi="Times New Roman" w:cs="Times New Roman"/>
          <w:sz w:val="20"/>
          <w:szCs w:val="20"/>
        </w:rPr>
        <w:t>development depend essentially on the country's ability to invest and use its resources efficiently. Although investments in Kazakhstan are financed from various sources, most are still funded by domestic savings. In turn, access to foreign sources of capital also plays a huge role for the economy, not only in Kazakhstan, but also in developing and developed countries. Long-term investment flows, in particular FDI, are important to complement the efforts of developing countries in the field of national development, in particular for building infrastructure, expanding technological capabilities, deepening production ties and increasing overall competitiveness.</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It should be understood that investments are a sensitive component of GDP and fluctuate most strongly depending on the phase of the business cycle of the economy. Thus, the “accelerator principle”, formulated by P. Samuelson (1948), states that with favorable phases of the economic cycle, the growth of real GDP leads to an increase in real investment, which, in turn, leads to a reciprocal growth in gross output [1]. At the same time, how much the country's gross income will change in response to changes in investment has been a matter of study for many years.</w:t>
      </w:r>
    </w:p>
    <w:p w:rsidR="00AB5129" w:rsidRPr="0029112A" w:rsidRDefault="0029112A" w:rsidP="0029112A">
      <w:pPr>
        <w:spacing w:before="120" w:after="60" w:line="240" w:lineRule="auto"/>
        <w:jc w:val="both"/>
        <w:rPr>
          <w:rFonts w:ascii="Arial" w:hAnsi="Arial" w:cs="Arial"/>
          <w:b/>
          <w:sz w:val="24"/>
          <w:szCs w:val="24"/>
        </w:rPr>
      </w:pPr>
      <w:r>
        <w:rPr>
          <w:rFonts w:ascii="Arial" w:hAnsi="Arial" w:cs="Arial"/>
          <w:b/>
          <w:sz w:val="24"/>
          <w:szCs w:val="24"/>
          <w:lang w:val="ru-RU"/>
        </w:rPr>
        <w:t xml:space="preserve">2 </w:t>
      </w:r>
      <w:r w:rsidR="00AB5129" w:rsidRPr="0029112A">
        <w:rPr>
          <w:rFonts w:ascii="Arial" w:hAnsi="Arial" w:cs="Arial"/>
          <w:b/>
          <w:sz w:val="24"/>
          <w:szCs w:val="24"/>
        </w:rPr>
        <w:t>Methods and Data</w:t>
      </w:r>
    </w:p>
    <w:p w:rsidR="00F23E78" w:rsidRDefault="00EA1D4C" w:rsidP="00F23E7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t</w:t>
      </w:r>
      <w:r w:rsidR="00AB5129" w:rsidRPr="00AB5129">
        <w:rPr>
          <w:rFonts w:ascii="Times New Roman" w:hAnsi="Times New Roman" w:cs="Times New Roman"/>
          <w:sz w:val="20"/>
          <w:szCs w:val="20"/>
        </w:rPr>
        <w:t xml:space="preserve">he article </w:t>
      </w:r>
      <w:r w:rsidRPr="00AB5129">
        <w:rPr>
          <w:rFonts w:ascii="Times New Roman" w:hAnsi="Times New Roman" w:cs="Times New Roman"/>
          <w:sz w:val="20"/>
          <w:szCs w:val="20"/>
        </w:rPr>
        <w:t>authors</w:t>
      </w:r>
      <w:r w:rsidRPr="00AB5129">
        <w:rPr>
          <w:rFonts w:ascii="Times New Roman" w:hAnsi="Times New Roman" w:cs="Times New Roman"/>
          <w:sz w:val="20"/>
          <w:szCs w:val="20"/>
        </w:rPr>
        <w:t xml:space="preserve"> </w:t>
      </w:r>
      <w:r w:rsidR="00AB5129" w:rsidRPr="00AB5129">
        <w:rPr>
          <w:rFonts w:ascii="Times New Roman" w:hAnsi="Times New Roman" w:cs="Times New Roman"/>
          <w:sz w:val="20"/>
          <w:szCs w:val="20"/>
        </w:rPr>
        <w:t xml:space="preserve">used general scientific methods, such as analysis and synthesis, deduction, the logical method. In addition, quantitative methods of analysis were actively used - statistical methods and econometric tools, such as regression analysis, </w:t>
      </w:r>
      <w:r>
        <w:rPr>
          <w:rFonts w:ascii="Times New Roman" w:hAnsi="Times New Roman" w:cs="Times New Roman"/>
          <w:sz w:val="20"/>
          <w:szCs w:val="20"/>
        </w:rPr>
        <w:t>ordinary</w:t>
      </w:r>
      <w:r w:rsidRPr="00EA1D4C">
        <w:rPr>
          <w:rFonts w:ascii="Times New Roman" w:hAnsi="Times New Roman" w:cs="Times New Roman"/>
          <w:sz w:val="20"/>
          <w:szCs w:val="20"/>
        </w:rPr>
        <w:t xml:space="preserve"> least squares (</w:t>
      </w:r>
      <w:r>
        <w:rPr>
          <w:rFonts w:ascii="Times New Roman" w:hAnsi="Times New Roman" w:cs="Times New Roman"/>
          <w:sz w:val="20"/>
          <w:szCs w:val="20"/>
        </w:rPr>
        <w:t>O</w:t>
      </w:r>
      <w:r w:rsidRPr="00EA1D4C">
        <w:rPr>
          <w:rFonts w:ascii="Times New Roman" w:hAnsi="Times New Roman" w:cs="Times New Roman"/>
          <w:sz w:val="20"/>
          <w:szCs w:val="20"/>
        </w:rPr>
        <w:t>LS)</w:t>
      </w:r>
      <w:r w:rsidR="00AB5129" w:rsidRPr="00AB5129">
        <w:rPr>
          <w:rFonts w:ascii="Times New Roman" w:hAnsi="Times New Roman" w:cs="Times New Roman"/>
          <w:sz w:val="20"/>
          <w:szCs w:val="20"/>
        </w:rPr>
        <w:t xml:space="preserve">, </w:t>
      </w:r>
      <w:r>
        <w:rPr>
          <w:rFonts w:ascii="Times New Roman" w:hAnsi="Times New Roman" w:cs="Times New Roman"/>
          <w:sz w:val="20"/>
          <w:szCs w:val="20"/>
        </w:rPr>
        <w:t>and</w:t>
      </w:r>
      <w:r w:rsidR="00AB5129" w:rsidRPr="00AB5129">
        <w:rPr>
          <w:rFonts w:ascii="Times New Roman" w:hAnsi="Times New Roman" w:cs="Times New Roman"/>
          <w:sz w:val="20"/>
          <w:szCs w:val="20"/>
        </w:rPr>
        <w:t xml:space="preserve"> the Stata software application.</w:t>
      </w:r>
      <w:r w:rsidR="00F23E78">
        <w:rPr>
          <w:rFonts w:ascii="Times New Roman" w:hAnsi="Times New Roman" w:cs="Times New Roman"/>
          <w:sz w:val="20"/>
          <w:szCs w:val="20"/>
        </w:rPr>
        <w:t xml:space="preserve"> </w:t>
      </w:r>
    </w:p>
    <w:p w:rsidR="005D68BB" w:rsidRPr="00021CA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In more detail, the quantitative research method was carried out using secondary data, which cover the time period from 2000 to 2017. For empirical analysis, the authors used multiple linear regression analysis, which allowed us to assess the impact of FDI on the </w:t>
      </w:r>
      <w:r w:rsidRPr="00AB5129">
        <w:rPr>
          <w:rFonts w:ascii="Times New Roman" w:hAnsi="Times New Roman" w:cs="Times New Roman"/>
          <w:sz w:val="20"/>
          <w:szCs w:val="20"/>
        </w:rPr>
        <w:lastRenderedPageBreak/>
        <w:t>growth of the economy of Kazakhstan. The variables that were used are real GDP as a measure of economic growth, gross inflows</w:t>
      </w:r>
      <w:r w:rsidR="00021CA9">
        <w:rPr>
          <w:rFonts w:ascii="Times New Roman" w:hAnsi="Times New Roman" w:cs="Times New Roman"/>
          <w:sz w:val="20"/>
          <w:szCs w:val="20"/>
        </w:rPr>
        <w:t xml:space="preserve"> of</w:t>
      </w:r>
      <w:r w:rsidR="00021CA9" w:rsidRPr="00021CA9">
        <w:rPr>
          <w:rFonts w:ascii="Times New Roman" w:hAnsi="Times New Roman" w:cs="Times New Roman"/>
          <w:sz w:val="20"/>
          <w:szCs w:val="20"/>
        </w:rPr>
        <w:t xml:space="preserve"> </w:t>
      </w:r>
      <w:r w:rsidR="00021CA9" w:rsidRPr="00AB5129">
        <w:rPr>
          <w:rFonts w:ascii="Times New Roman" w:hAnsi="Times New Roman" w:cs="Times New Roman"/>
          <w:sz w:val="20"/>
          <w:szCs w:val="20"/>
        </w:rPr>
        <w:t>FDI</w:t>
      </w:r>
      <w:r w:rsidRPr="00AB5129">
        <w:rPr>
          <w:rFonts w:ascii="Times New Roman" w:hAnsi="Times New Roman" w:cs="Times New Roman"/>
          <w:sz w:val="20"/>
          <w:szCs w:val="20"/>
        </w:rPr>
        <w:t>, and inflation</w:t>
      </w:r>
      <w:r w:rsidR="00021CA9">
        <w:rPr>
          <w:rFonts w:ascii="Times New Roman" w:hAnsi="Times New Roman" w:cs="Times New Roman"/>
          <w:sz w:val="20"/>
          <w:szCs w:val="20"/>
        </w:rPr>
        <w:t xml:space="preserve"> rat</w:t>
      </w:r>
      <w:r w:rsidR="00AA44FC">
        <w:rPr>
          <w:rFonts w:ascii="Times New Roman" w:hAnsi="Times New Roman" w:cs="Times New Roman"/>
          <w:sz w:val="20"/>
          <w:szCs w:val="20"/>
        </w:rPr>
        <w:t>e</w:t>
      </w:r>
      <w:r w:rsidRPr="00AB5129">
        <w:rPr>
          <w:rFonts w:ascii="Times New Roman" w:hAnsi="Times New Roman" w:cs="Times New Roman"/>
          <w:sz w:val="20"/>
          <w:szCs w:val="20"/>
        </w:rPr>
        <w:t>.</w:t>
      </w:r>
    </w:p>
    <w:p w:rsidR="00AB5129" w:rsidRPr="0029112A" w:rsidRDefault="0029112A" w:rsidP="0029112A">
      <w:pPr>
        <w:spacing w:before="120" w:after="60" w:line="240" w:lineRule="auto"/>
        <w:jc w:val="both"/>
        <w:rPr>
          <w:rFonts w:ascii="Arial" w:hAnsi="Arial" w:cs="Arial"/>
          <w:b/>
          <w:sz w:val="24"/>
          <w:szCs w:val="24"/>
        </w:rPr>
      </w:pPr>
      <w:r w:rsidRPr="004A0DE2">
        <w:rPr>
          <w:rFonts w:ascii="Arial" w:hAnsi="Arial" w:cs="Arial"/>
          <w:b/>
          <w:sz w:val="24"/>
          <w:szCs w:val="24"/>
        </w:rPr>
        <w:t xml:space="preserve">3 </w:t>
      </w:r>
      <w:proofErr w:type="gramStart"/>
      <w:r w:rsidR="00AB5129" w:rsidRPr="0029112A">
        <w:rPr>
          <w:rFonts w:ascii="Arial" w:hAnsi="Arial" w:cs="Arial"/>
          <w:b/>
          <w:sz w:val="24"/>
          <w:szCs w:val="24"/>
        </w:rPr>
        <w:t>Discussion</w:t>
      </w:r>
      <w:proofErr w:type="gramEnd"/>
    </w:p>
    <w:p w:rsidR="00AB5129" w:rsidRPr="00AB5129" w:rsidRDefault="004A0DE2" w:rsidP="00F23E7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article, </w:t>
      </w:r>
      <w:r w:rsidR="00021CA9" w:rsidRPr="00AB5129">
        <w:rPr>
          <w:rFonts w:ascii="Times New Roman" w:hAnsi="Times New Roman" w:cs="Times New Roman"/>
          <w:sz w:val="20"/>
          <w:szCs w:val="20"/>
        </w:rPr>
        <w:t>authors rely on the concept of “Investment Development Path” (IDP) by J. Dunning (1981), since this concept clearly links the level of economic development and the level of FDI in the country and, therefore, indirectly indicate</w:t>
      </w:r>
      <w:r w:rsidR="00AB5129" w:rsidRPr="00AB5129">
        <w:rPr>
          <w:rFonts w:ascii="Times New Roman" w:hAnsi="Times New Roman" w:cs="Times New Roman"/>
          <w:sz w:val="20"/>
          <w:szCs w:val="20"/>
        </w:rPr>
        <w:t xml:space="preserve"> the consequences. This concept puts forward a hypothesis about the relationship between the level of development of a country, determined by the indicator of GDP, GDP per capita or other variables, and its international investment position, which implies a net accumulation of FDI. </w:t>
      </w:r>
      <w:proofErr w:type="gramStart"/>
      <w:r w:rsidR="00AB5129" w:rsidRPr="00AB5129">
        <w:rPr>
          <w:rFonts w:ascii="Times New Roman" w:hAnsi="Times New Roman" w:cs="Times New Roman"/>
          <w:sz w:val="20"/>
          <w:szCs w:val="20"/>
        </w:rPr>
        <w:t>[2, 3].</w:t>
      </w:r>
      <w:proofErr w:type="gramEnd"/>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The main theoretical studies regarding the impact of FDI on the economic development of the host country can be combined into two groups:</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1) </w:t>
      </w:r>
      <w:proofErr w:type="gramStart"/>
      <w:r w:rsidRPr="00AB5129">
        <w:rPr>
          <w:rFonts w:ascii="Times New Roman" w:hAnsi="Times New Roman" w:cs="Times New Roman"/>
          <w:sz w:val="20"/>
          <w:szCs w:val="20"/>
        </w:rPr>
        <w:t>the</w:t>
      </w:r>
      <w:proofErr w:type="gramEnd"/>
      <w:r w:rsidRPr="00AB5129">
        <w:rPr>
          <w:rFonts w:ascii="Times New Roman" w:hAnsi="Times New Roman" w:cs="Times New Roman"/>
          <w:sz w:val="20"/>
          <w:szCs w:val="20"/>
        </w:rPr>
        <w:t xml:space="preserve"> theory of economic modernization (based on neoclassical and endogenous growth theories);</w:t>
      </w:r>
    </w:p>
    <w:p w:rsidR="00AB5129" w:rsidRPr="004A0DE2"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2) </w:t>
      </w:r>
      <w:proofErr w:type="gramStart"/>
      <w:r w:rsidRPr="00AB5129">
        <w:rPr>
          <w:rFonts w:ascii="Times New Roman" w:hAnsi="Times New Roman" w:cs="Times New Roman"/>
          <w:sz w:val="20"/>
          <w:szCs w:val="20"/>
        </w:rPr>
        <w:t>the</w:t>
      </w:r>
      <w:proofErr w:type="gramEnd"/>
      <w:r w:rsidRPr="00AB5129">
        <w:rPr>
          <w:rFonts w:ascii="Times New Roman" w:hAnsi="Times New Roman" w:cs="Times New Roman"/>
          <w:sz w:val="20"/>
          <w:szCs w:val="20"/>
        </w:rPr>
        <w:t xml:space="preserve"> theory of the dependence of </w:t>
      </w:r>
      <w:r w:rsidR="004A0DE2">
        <w:rPr>
          <w:rFonts w:ascii="Times New Roman" w:hAnsi="Times New Roman" w:cs="Times New Roman"/>
          <w:sz w:val="20"/>
          <w:szCs w:val="20"/>
        </w:rPr>
        <w:t xml:space="preserve">the </w:t>
      </w:r>
      <w:r w:rsidRPr="00AB5129">
        <w:rPr>
          <w:rFonts w:ascii="Times New Roman" w:hAnsi="Times New Roman" w:cs="Times New Roman"/>
          <w:sz w:val="20"/>
          <w:szCs w:val="20"/>
        </w:rPr>
        <w:t xml:space="preserve">economy </w:t>
      </w:r>
      <w:r w:rsidR="004A0DE2">
        <w:rPr>
          <w:rFonts w:ascii="Times New Roman" w:hAnsi="Times New Roman" w:cs="Times New Roman"/>
          <w:sz w:val="20"/>
          <w:szCs w:val="20"/>
        </w:rPr>
        <w:t>from</w:t>
      </w:r>
      <w:r w:rsidRPr="00AB5129">
        <w:rPr>
          <w:rFonts w:ascii="Times New Roman" w:hAnsi="Times New Roman" w:cs="Times New Roman"/>
          <w:sz w:val="20"/>
          <w:szCs w:val="20"/>
        </w:rPr>
        <w:t xml:space="preserve"> FDI (Fig</w:t>
      </w:r>
      <w:r w:rsidR="004A0DE2">
        <w:rPr>
          <w:rFonts w:ascii="Times New Roman" w:hAnsi="Times New Roman" w:cs="Times New Roman"/>
          <w:sz w:val="20"/>
          <w:szCs w:val="20"/>
        </w:rPr>
        <w:t>.</w:t>
      </w:r>
      <w:r w:rsidRPr="00AB5129">
        <w:rPr>
          <w:rFonts w:ascii="Times New Roman" w:hAnsi="Times New Roman" w:cs="Times New Roman"/>
          <w:sz w:val="20"/>
          <w:szCs w:val="20"/>
        </w:rPr>
        <w:t xml:space="preserve"> 1).</w:t>
      </w:r>
    </w:p>
    <w:p w:rsidR="00AB5129" w:rsidRPr="00AB5129" w:rsidRDefault="00AB5129" w:rsidP="004A0DE2">
      <w:pPr>
        <w:spacing w:after="0" w:line="240" w:lineRule="auto"/>
        <w:jc w:val="both"/>
        <w:rPr>
          <w:rFonts w:ascii="Times New Roman" w:hAnsi="Times New Roman" w:cs="Times New Roman"/>
          <w:sz w:val="20"/>
          <w:szCs w:val="20"/>
        </w:rPr>
      </w:pPr>
      <w:r w:rsidRPr="00AB5129">
        <w:rPr>
          <w:rFonts w:ascii="Times New Roman" w:hAnsi="Times New Roman" w:cs="Times New Roman"/>
          <w:noProof/>
          <w:sz w:val="18"/>
          <w:szCs w:val="18"/>
        </w:rPr>
        <w:drawing>
          <wp:inline distT="0" distB="0" distL="0" distR="0" wp14:anchorId="242FD522" wp14:editId="5A102CAD">
            <wp:extent cx="4635795" cy="1297172"/>
            <wp:effectExtent l="0" t="0" r="0" b="1778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B5129" w:rsidRDefault="00AB5129" w:rsidP="00F23E78">
      <w:pPr>
        <w:spacing w:after="0" w:line="240" w:lineRule="auto"/>
        <w:ind w:firstLine="284"/>
        <w:jc w:val="both"/>
        <w:rPr>
          <w:rFonts w:ascii="Times New Roman" w:hAnsi="Times New Roman" w:cs="Times New Roman"/>
          <w:sz w:val="20"/>
          <w:szCs w:val="20"/>
        </w:rPr>
      </w:pPr>
    </w:p>
    <w:p w:rsidR="00AB5129" w:rsidRPr="00021CA9" w:rsidRDefault="00AB5129" w:rsidP="00021CA9">
      <w:pPr>
        <w:spacing w:after="0" w:line="240" w:lineRule="auto"/>
        <w:rPr>
          <w:rFonts w:ascii="Times New Roman" w:hAnsi="Times New Roman" w:cs="Times New Roman"/>
          <w:sz w:val="18"/>
          <w:szCs w:val="18"/>
        </w:rPr>
      </w:pPr>
      <w:proofErr w:type="gramStart"/>
      <w:r w:rsidRPr="00B166B0">
        <w:rPr>
          <w:rFonts w:ascii="Times New Roman" w:hAnsi="Times New Roman" w:cs="Times New Roman"/>
          <w:b/>
          <w:sz w:val="18"/>
          <w:szCs w:val="18"/>
        </w:rPr>
        <w:t>Fig 1.</w:t>
      </w:r>
      <w:proofErr w:type="gramEnd"/>
      <w:r w:rsidRPr="00021CA9">
        <w:rPr>
          <w:rFonts w:ascii="Times New Roman" w:hAnsi="Times New Roman" w:cs="Times New Roman"/>
          <w:sz w:val="18"/>
          <w:szCs w:val="18"/>
        </w:rPr>
        <w:t xml:space="preserve"> Types of theories of the impact of FDI on economic development</w:t>
      </w:r>
    </w:p>
    <w:p w:rsidR="00AB5129" w:rsidRPr="0029112A" w:rsidRDefault="00AB5129" w:rsidP="00F23E78">
      <w:pPr>
        <w:spacing w:after="0" w:line="240" w:lineRule="auto"/>
        <w:ind w:firstLine="284"/>
        <w:jc w:val="center"/>
        <w:rPr>
          <w:rFonts w:ascii="Times New Roman" w:hAnsi="Times New Roman" w:cs="Times New Roman"/>
          <w:sz w:val="20"/>
          <w:szCs w:val="20"/>
          <w:lang w:val="ru-RU"/>
        </w:rPr>
      </w:pP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Neoclassical theory of economic growth R. Solow (1956) and </w:t>
      </w:r>
      <w:proofErr w:type="spellStart"/>
      <w:r w:rsidRPr="00AB5129">
        <w:rPr>
          <w:rFonts w:ascii="Times New Roman" w:hAnsi="Times New Roman" w:cs="Times New Roman"/>
          <w:sz w:val="20"/>
          <w:szCs w:val="20"/>
        </w:rPr>
        <w:t>Rostow</w:t>
      </w:r>
      <w:proofErr w:type="spellEnd"/>
      <w:r w:rsidRPr="00AB5129">
        <w:rPr>
          <w:rFonts w:ascii="Times New Roman" w:hAnsi="Times New Roman" w:cs="Times New Roman"/>
          <w:sz w:val="20"/>
          <w:szCs w:val="20"/>
        </w:rPr>
        <w:t xml:space="preserve"> (1956) considers FDI as an important growth factor for developing countries [4, 5]. In the </w:t>
      </w:r>
      <w:proofErr w:type="spellStart"/>
      <w:r w:rsidRPr="00AB5129">
        <w:rPr>
          <w:rFonts w:ascii="Times New Roman" w:hAnsi="Times New Roman" w:cs="Times New Roman"/>
          <w:sz w:val="20"/>
          <w:szCs w:val="20"/>
        </w:rPr>
        <w:t>Rostow</w:t>
      </w:r>
      <w:proofErr w:type="spellEnd"/>
      <w:r w:rsidRPr="00AB5129">
        <w:rPr>
          <w:rFonts w:ascii="Times New Roman" w:hAnsi="Times New Roman" w:cs="Times New Roman"/>
          <w:sz w:val="20"/>
          <w:szCs w:val="20"/>
        </w:rPr>
        <w:t xml:space="preserve"> model, FDI is presented as a source of capital and technological transfers to the country necessary for economic transformation. Solow emphasizes the increase in foreign capital and technological progress as important variables in the growth of production and, consequently, development. Theories of endogenous growth explain the positive impact of FDI on the country's economic growth through the expansion of knowledge and the acquisition of new skills by personnel, the introduction of alternative management methods and organizational mechanisms, and, as a result, the rapid spread of technology and increased efficiency of local companies [6, 7, 8].</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In foreign economic literature, the theory of spillover effects (side effects) of FDI in the host country is very common, associated with their function to stimulate economic growth. According to this theory, FDI contributes to the development of four channels of side effects that increase productivity and economic development in recipient</w:t>
      </w:r>
      <w:r w:rsidR="008F1398">
        <w:rPr>
          <w:rFonts w:ascii="Times New Roman" w:hAnsi="Times New Roman" w:cs="Times New Roman"/>
          <w:sz w:val="20"/>
          <w:szCs w:val="20"/>
        </w:rPr>
        <w:t xml:space="preserve"> </w:t>
      </w:r>
      <w:r w:rsidRPr="00AB5129">
        <w:rPr>
          <w:rFonts w:ascii="Times New Roman" w:hAnsi="Times New Roman" w:cs="Times New Roman"/>
          <w:sz w:val="20"/>
          <w:szCs w:val="20"/>
        </w:rPr>
        <w:t>countries: imitation, skill acquisition, competition and export. In general, researchers on the theory of modernization, on the one hand, argue that FDI increases income and provides employment opportunities for the host country, thereby stimulating overall economic growth.</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On the other hand, dependency theory researchers argue that </w:t>
      </w:r>
      <w:r w:rsidR="00021CA9">
        <w:rPr>
          <w:rFonts w:ascii="Times New Roman" w:hAnsi="Times New Roman" w:cs="Times New Roman"/>
          <w:sz w:val="20"/>
          <w:szCs w:val="20"/>
        </w:rPr>
        <w:t>transnational companies (</w:t>
      </w:r>
      <w:r w:rsidRPr="00AB5129">
        <w:rPr>
          <w:rFonts w:ascii="Times New Roman" w:hAnsi="Times New Roman" w:cs="Times New Roman"/>
          <w:sz w:val="20"/>
          <w:szCs w:val="20"/>
        </w:rPr>
        <w:t>TNC</w:t>
      </w:r>
      <w:r w:rsidR="00021CA9">
        <w:rPr>
          <w:rFonts w:ascii="Times New Roman" w:hAnsi="Times New Roman" w:cs="Times New Roman"/>
          <w:sz w:val="20"/>
          <w:szCs w:val="20"/>
        </w:rPr>
        <w:t>)</w:t>
      </w:r>
      <w:r w:rsidRPr="00AB5129">
        <w:rPr>
          <w:rFonts w:ascii="Times New Roman" w:hAnsi="Times New Roman" w:cs="Times New Roman"/>
          <w:sz w:val="20"/>
          <w:szCs w:val="20"/>
        </w:rPr>
        <w:t xml:space="preserve"> can prevent economic development by crowding out local entrepreneurs, worsening income distribution, reducing consumer welfare, and introducing inappropriate consumption patterns in host countries. It is also worth noting that the favorable impact of FDI is not a specific fact, it may largely depend on favorable conditions in the host country, political and macroeconomic stability, institutional capacity, infrastructure</w:t>
      </w:r>
      <w:r w:rsidR="00021CA9">
        <w:rPr>
          <w:rFonts w:ascii="Times New Roman" w:hAnsi="Times New Roman" w:cs="Times New Roman"/>
          <w:sz w:val="20"/>
          <w:szCs w:val="20"/>
        </w:rPr>
        <w:t>,</w:t>
      </w:r>
      <w:r w:rsidRPr="00AB5129">
        <w:rPr>
          <w:rFonts w:ascii="Times New Roman" w:hAnsi="Times New Roman" w:cs="Times New Roman"/>
          <w:sz w:val="20"/>
          <w:szCs w:val="20"/>
        </w:rPr>
        <w:t xml:space="preserve"> and education</w:t>
      </w:r>
      <w:r w:rsidR="004A0DE2">
        <w:rPr>
          <w:rFonts w:ascii="Times New Roman" w:hAnsi="Times New Roman" w:cs="Times New Roman"/>
          <w:sz w:val="20"/>
          <w:szCs w:val="20"/>
        </w:rPr>
        <w:t xml:space="preserve"> system</w:t>
      </w:r>
      <w:r w:rsidRPr="00AB5129">
        <w:rPr>
          <w:rFonts w:ascii="Times New Roman" w:hAnsi="Times New Roman" w:cs="Times New Roman"/>
          <w:sz w:val="20"/>
          <w:szCs w:val="20"/>
        </w:rPr>
        <w:t xml:space="preserve"> [9, 10].</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lastRenderedPageBreak/>
        <w:t xml:space="preserve">The most common statement of the theory of dependence is that developing countries “suffer” from the negative consequences of foreign capital in the country due to the repatriation of </w:t>
      </w:r>
      <w:r w:rsidR="004A0DE2" w:rsidRPr="00AB5129">
        <w:rPr>
          <w:rFonts w:ascii="Times New Roman" w:hAnsi="Times New Roman" w:cs="Times New Roman"/>
          <w:sz w:val="20"/>
          <w:szCs w:val="20"/>
        </w:rPr>
        <w:t>profits</w:t>
      </w:r>
      <w:r w:rsidR="004A0DE2">
        <w:rPr>
          <w:rFonts w:ascii="Times New Roman" w:hAnsi="Times New Roman" w:cs="Times New Roman"/>
          <w:sz w:val="20"/>
          <w:szCs w:val="20"/>
        </w:rPr>
        <w:t>,</w:t>
      </w:r>
      <w:r w:rsidRPr="00AB5129">
        <w:rPr>
          <w:rFonts w:ascii="Times New Roman" w:hAnsi="Times New Roman" w:cs="Times New Roman"/>
          <w:sz w:val="20"/>
          <w:szCs w:val="20"/>
        </w:rPr>
        <w:t xml:space="preserve"> reduce reinvestment</w:t>
      </w:r>
      <w:r w:rsidR="004A0DE2">
        <w:rPr>
          <w:rFonts w:ascii="Times New Roman" w:hAnsi="Times New Roman" w:cs="Times New Roman"/>
          <w:sz w:val="20"/>
          <w:szCs w:val="20"/>
        </w:rPr>
        <w:t>,</w:t>
      </w:r>
      <w:r w:rsidRPr="00AB5129">
        <w:rPr>
          <w:rFonts w:ascii="Times New Roman" w:hAnsi="Times New Roman" w:cs="Times New Roman"/>
          <w:sz w:val="20"/>
          <w:szCs w:val="20"/>
        </w:rPr>
        <w:t xml:space="preserve"> and increase income inequality. For example, Dixon and Boswell (1996) argued that FDI, although positively affecting economic growth at the very beginning, however, in the long run, the dependence of the national economy on FDI has a negative impact on its growth [11]. Similarly, Moran (1978) investigated that foreign investors adversely affect political processes in the host country; and the benefits of FDI are poorly distributed between TNCs and the host country [12]. In general, supporters of the theory of dependence, for example, Alfaro (2003) and others, blamed TNCs for exploiting developing countries until the 90s of the last century and, as a result, the underdevelopment of the “periphery” of the world economy [13]. In support of this, in a study by </w:t>
      </w:r>
      <w:proofErr w:type="spellStart"/>
      <w:r w:rsidRPr="00AB5129">
        <w:rPr>
          <w:rFonts w:ascii="Times New Roman" w:hAnsi="Times New Roman" w:cs="Times New Roman"/>
          <w:sz w:val="20"/>
          <w:szCs w:val="20"/>
        </w:rPr>
        <w:t>Kentor</w:t>
      </w:r>
      <w:proofErr w:type="spellEnd"/>
      <w:r w:rsidRPr="00AB5129">
        <w:rPr>
          <w:rFonts w:ascii="Times New Roman" w:hAnsi="Times New Roman" w:cs="Times New Roman"/>
          <w:sz w:val="20"/>
          <w:szCs w:val="20"/>
        </w:rPr>
        <w:t xml:space="preserve"> et al. (2003) it was proved that countries with a relatively high dependence on foreign capital (measured as accumulated foreign reserves) show slower economic growth than less dependent countries. According to the authors, the concentration of foreign investment has a significant, long-term negative impact on growth, which is the strongest in the first five years and decreases over time [14].</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Thus, the empirical literature on the interaction of FDI and economic development was mainly aimed either at measuring the impact of FDI on GDP and productivity growth, or at measuring the determinants of FDI. Most of these empirical studies are cross-country and are based on an analysis of panel data. In general terms, as many researchers in various countries show, in order to achieve the positive effect of FDI, the host country must have an adequate level of human capital, economic stability, and a liberalized capital market. As for studies on the impact of FDI on the economy of Kazakhstan, available studies provide conflicting forecasts regarding the impact of FDI on the national economy. For example, Klaus (2015) in a study of FDI in the CIS studied their effect using data from Kazakhstan [15]. However, his study covered data from 1987 to 1997, when Kazakhstan was one of the republics of the former Soviet Union. Another domestic study was conducted by Rakhmatullayeva et al. (2015), who made an attempt to study the social effects of FDI in the regions of Kazakhstan, and concluded that for the period </w:t>
      </w:r>
      <w:r w:rsidR="004A0DE2">
        <w:rPr>
          <w:rFonts w:ascii="Times New Roman" w:hAnsi="Times New Roman" w:cs="Times New Roman"/>
          <w:sz w:val="20"/>
          <w:szCs w:val="20"/>
        </w:rPr>
        <w:t xml:space="preserve">from </w:t>
      </w:r>
      <w:r w:rsidRPr="00AB5129">
        <w:rPr>
          <w:rFonts w:ascii="Times New Roman" w:hAnsi="Times New Roman" w:cs="Times New Roman"/>
          <w:sz w:val="20"/>
          <w:szCs w:val="20"/>
        </w:rPr>
        <w:t>2002</w:t>
      </w:r>
      <w:r w:rsidR="004A0DE2">
        <w:rPr>
          <w:rFonts w:ascii="Times New Roman" w:hAnsi="Times New Roman" w:cs="Times New Roman"/>
          <w:sz w:val="20"/>
          <w:szCs w:val="20"/>
        </w:rPr>
        <w:t xml:space="preserve"> to </w:t>
      </w:r>
      <w:r w:rsidRPr="00AB5129">
        <w:rPr>
          <w:rFonts w:ascii="Times New Roman" w:hAnsi="Times New Roman" w:cs="Times New Roman"/>
          <w:sz w:val="20"/>
          <w:szCs w:val="20"/>
        </w:rPr>
        <w:t>2013 investment activity of enterprises with foreign capital didn</w:t>
      </w:r>
      <w:r w:rsidR="004A0DE2">
        <w:rPr>
          <w:rFonts w:ascii="Times New Roman" w:hAnsi="Times New Roman" w:cs="Times New Roman"/>
          <w:sz w:val="20"/>
          <w:szCs w:val="20"/>
        </w:rPr>
        <w:t>’</w:t>
      </w:r>
      <w:r w:rsidRPr="00AB5129">
        <w:rPr>
          <w:rFonts w:ascii="Times New Roman" w:hAnsi="Times New Roman" w:cs="Times New Roman"/>
          <w:sz w:val="20"/>
          <w:szCs w:val="20"/>
        </w:rPr>
        <w:t xml:space="preserve">t adversely </w:t>
      </w:r>
      <w:r w:rsidR="004A0DE2" w:rsidRPr="00AB5129">
        <w:rPr>
          <w:rFonts w:ascii="Times New Roman" w:hAnsi="Times New Roman" w:cs="Times New Roman"/>
          <w:sz w:val="20"/>
          <w:szCs w:val="20"/>
        </w:rPr>
        <w:t>effect</w:t>
      </w:r>
      <w:r w:rsidRPr="00AB5129">
        <w:rPr>
          <w:rFonts w:ascii="Times New Roman" w:hAnsi="Times New Roman" w:cs="Times New Roman"/>
          <w:sz w:val="20"/>
          <w:szCs w:val="20"/>
        </w:rPr>
        <w:t xml:space="preserve"> </w:t>
      </w:r>
      <w:r w:rsidR="004A0DE2">
        <w:rPr>
          <w:rFonts w:ascii="Times New Roman" w:hAnsi="Times New Roman" w:cs="Times New Roman"/>
          <w:sz w:val="20"/>
          <w:szCs w:val="20"/>
        </w:rPr>
        <w:t xml:space="preserve">on </w:t>
      </w:r>
      <w:r w:rsidRPr="00AB5129">
        <w:rPr>
          <w:rFonts w:ascii="Times New Roman" w:hAnsi="Times New Roman" w:cs="Times New Roman"/>
          <w:sz w:val="20"/>
          <w:szCs w:val="20"/>
        </w:rPr>
        <w:t xml:space="preserve">the social and economic development of the country's regions [16]. </w:t>
      </w:r>
      <w:proofErr w:type="spellStart"/>
      <w:r w:rsidR="004A0DE2">
        <w:rPr>
          <w:rFonts w:ascii="Times New Roman" w:hAnsi="Times New Roman" w:cs="Times New Roman"/>
          <w:sz w:val="20"/>
          <w:szCs w:val="20"/>
        </w:rPr>
        <w:t>Akhmet</w:t>
      </w:r>
      <w:r w:rsidR="00250E83">
        <w:rPr>
          <w:rFonts w:ascii="Times New Roman" w:hAnsi="Times New Roman" w:cs="Times New Roman"/>
          <w:sz w:val="20"/>
          <w:szCs w:val="20"/>
        </w:rPr>
        <w:t>z</w:t>
      </w:r>
      <w:r w:rsidR="004A0DE2">
        <w:rPr>
          <w:rFonts w:ascii="Times New Roman" w:hAnsi="Times New Roman" w:cs="Times New Roman"/>
          <w:sz w:val="20"/>
          <w:szCs w:val="20"/>
        </w:rPr>
        <w:t>aki</w:t>
      </w:r>
      <w:proofErr w:type="spellEnd"/>
      <w:r w:rsidR="004A0DE2">
        <w:rPr>
          <w:rFonts w:ascii="Times New Roman" w:hAnsi="Times New Roman" w:cs="Times New Roman"/>
          <w:sz w:val="20"/>
          <w:szCs w:val="20"/>
        </w:rPr>
        <w:t xml:space="preserve"> </w:t>
      </w:r>
      <w:r w:rsidR="00250E83">
        <w:rPr>
          <w:rFonts w:ascii="Times New Roman" w:hAnsi="Times New Roman" w:cs="Times New Roman"/>
          <w:sz w:val="20"/>
          <w:szCs w:val="20"/>
        </w:rPr>
        <w:t>&amp;</w:t>
      </w:r>
      <w:r w:rsidR="004A0DE2">
        <w:rPr>
          <w:rFonts w:ascii="Times New Roman" w:hAnsi="Times New Roman" w:cs="Times New Roman"/>
          <w:sz w:val="20"/>
          <w:szCs w:val="20"/>
        </w:rPr>
        <w:t xml:space="preserve"> </w:t>
      </w:r>
      <w:proofErr w:type="spellStart"/>
      <w:r w:rsidRPr="00AB5129">
        <w:rPr>
          <w:rFonts w:ascii="Times New Roman" w:hAnsi="Times New Roman" w:cs="Times New Roman"/>
          <w:sz w:val="20"/>
          <w:szCs w:val="20"/>
        </w:rPr>
        <w:t>Mukhamediyev</w:t>
      </w:r>
      <w:proofErr w:type="spellEnd"/>
      <w:r w:rsidRPr="00AB5129">
        <w:rPr>
          <w:rFonts w:ascii="Times New Roman" w:hAnsi="Times New Roman" w:cs="Times New Roman"/>
          <w:sz w:val="20"/>
          <w:szCs w:val="20"/>
        </w:rPr>
        <w:t xml:space="preserve"> (2017) investigated the potential determinants of FDI inflows into the region of the Eurasian Economic Union, as a result of which they revealed a significant positive relationship between FDI inflows into the region and GDP, the level of infrastructure and education [17].</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In general, authors of this </w:t>
      </w:r>
      <w:r w:rsidR="004A0DE2">
        <w:rPr>
          <w:rFonts w:ascii="Times New Roman" w:hAnsi="Times New Roman" w:cs="Times New Roman"/>
          <w:sz w:val="20"/>
          <w:szCs w:val="20"/>
        </w:rPr>
        <w:t>research</w:t>
      </w:r>
      <w:r w:rsidRPr="00AB5129">
        <w:rPr>
          <w:rFonts w:ascii="Times New Roman" w:hAnsi="Times New Roman" w:cs="Times New Roman"/>
          <w:sz w:val="20"/>
          <w:szCs w:val="20"/>
        </w:rPr>
        <w:t xml:space="preserve"> agree that FDI can have serious consequences, such as growth, export, technology, transfer of know-how, etc. However, these effects vary from country to country and depend on many factors, such as institutional development, human capital development, government policy, the sector, investment motives of TNCs, etc.</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Economic development and economic growth are interrelated and interdependent concepts. A positive trend in the country's economic development is the steady growth of the national economy in the long run. International practice shows that an important factor determining economic growth in developing countries exporting mineral resources is the state’s investment policy. As a rule, an adequate and reasonable, well-designed investment policy plays a significant role in attracting large </w:t>
      </w:r>
      <w:r w:rsidR="004A0DE2">
        <w:rPr>
          <w:rFonts w:ascii="Times New Roman" w:hAnsi="Times New Roman" w:cs="Times New Roman"/>
          <w:sz w:val="20"/>
          <w:szCs w:val="20"/>
        </w:rPr>
        <w:t>flow</w:t>
      </w:r>
      <w:r w:rsidRPr="00AB5129">
        <w:rPr>
          <w:rFonts w:ascii="Times New Roman" w:hAnsi="Times New Roman" w:cs="Times New Roman"/>
          <w:sz w:val="20"/>
          <w:szCs w:val="20"/>
        </w:rPr>
        <w:t>s of FDI to the country. Thus, in developing countries, the relationship between FDI and economic development is clear.</w:t>
      </w:r>
      <w:r>
        <w:rPr>
          <w:rFonts w:ascii="Times New Roman" w:hAnsi="Times New Roman" w:cs="Times New Roman"/>
          <w:sz w:val="20"/>
          <w:szCs w:val="20"/>
        </w:rPr>
        <w:t xml:space="preserve"> </w:t>
      </w:r>
      <w:r w:rsidRPr="00AB5129">
        <w:rPr>
          <w:rFonts w:ascii="Times New Roman" w:hAnsi="Times New Roman" w:cs="Times New Roman"/>
          <w:sz w:val="20"/>
          <w:szCs w:val="20"/>
        </w:rPr>
        <w:t xml:space="preserve">By economic development, authors mean an increase in the technological level of the economy, an improvement in its sectoral structure and a high standard of living for the population. These issues are especially acute for developing countries that attract FDI, including Kazakhstan. However, it is important to understand that the impact of FDI can be both constructive and destructive. Kazakhstan attracts foreign investors with natural </w:t>
      </w:r>
      <w:r w:rsidRPr="00AB5129">
        <w:rPr>
          <w:rFonts w:ascii="Times New Roman" w:hAnsi="Times New Roman" w:cs="Times New Roman"/>
          <w:sz w:val="20"/>
          <w:szCs w:val="20"/>
        </w:rPr>
        <w:lastRenderedPageBreak/>
        <w:t xml:space="preserve">resources and a transit location, </w:t>
      </w:r>
      <w:r w:rsidR="00AA44FC" w:rsidRPr="00AB5129">
        <w:rPr>
          <w:rFonts w:ascii="Times New Roman" w:hAnsi="Times New Roman" w:cs="Times New Roman"/>
          <w:sz w:val="20"/>
          <w:szCs w:val="20"/>
        </w:rPr>
        <w:t>respectively;</w:t>
      </w:r>
      <w:r w:rsidRPr="00AB5129">
        <w:rPr>
          <w:rFonts w:ascii="Times New Roman" w:hAnsi="Times New Roman" w:cs="Times New Roman"/>
          <w:sz w:val="20"/>
          <w:szCs w:val="20"/>
        </w:rPr>
        <w:t xml:space="preserve"> investments come in the extractive and consumer goods and services sectors. And this can have positive consequences for these sectors: improving the level of technology and living standards of the population living in the regions of investment development. However, significant repatriation of profits is one of the main negative consequences of FDI for Kazakhstan.</w:t>
      </w:r>
    </w:p>
    <w:p w:rsidR="00AB5129" w:rsidRPr="0029112A" w:rsidRDefault="0029112A" w:rsidP="0029112A">
      <w:pPr>
        <w:spacing w:before="120" w:after="60" w:line="240" w:lineRule="auto"/>
        <w:jc w:val="both"/>
        <w:rPr>
          <w:rFonts w:ascii="Arial" w:hAnsi="Arial" w:cs="Arial"/>
          <w:b/>
          <w:sz w:val="24"/>
          <w:szCs w:val="24"/>
        </w:rPr>
      </w:pPr>
      <w:r w:rsidRPr="00AA44FC">
        <w:rPr>
          <w:rFonts w:ascii="Arial" w:hAnsi="Arial" w:cs="Arial"/>
          <w:b/>
          <w:sz w:val="24"/>
          <w:szCs w:val="24"/>
        </w:rPr>
        <w:t xml:space="preserve">4 </w:t>
      </w:r>
      <w:r w:rsidR="00AB5129" w:rsidRPr="0029112A">
        <w:rPr>
          <w:rFonts w:ascii="Arial" w:hAnsi="Arial" w:cs="Arial"/>
          <w:b/>
          <w:sz w:val="24"/>
          <w:szCs w:val="24"/>
        </w:rPr>
        <w:t>R</w:t>
      </w:r>
      <w:r w:rsidR="00AB5129" w:rsidRPr="0029112A">
        <w:rPr>
          <w:rFonts w:ascii="Arial" w:hAnsi="Arial" w:cs="Arial"/>
          <w:b/>
          <w:sz w:val="24"/>
          <w:szCs w:val="24"/>
        </w:rPr>
        <w:t>esults</w:t>
      </w:r>
    </w:p>
    <w:p w:rsidR="00AB5129" w:rsidRPr="00AB5129" w:rsidRDefault="00AB5129" w:rsidP="00F23E7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Analyzing the relationship between</w:t>
      </w:r>
      <w:r w:rsidR="00AA44FC">
        <w:rPr>
          <w:rFonts w:ascii="Times New Roman" w:hAnsi="Times New Roman" w:cs="Times New Roman"/>
          <w:sz w:val="20"/>
          <w:szCs w:val="20"/>
        </w:rPr>
        <w:t xml:space="preserve"> FDI flows and GDP by country, </w:t>
      </w:r>
      <w:r w:rsidRPr="00AB5129">
        <w:rPr>
          <w:rFonts w:ascii="Times New Roman" w:hAnsi="Times New Roman" w:cs="Times New Roman"/>
          <w:sz w:val="20"/>
          <w:szCs w:val="20"/>
        </w:rPr>
        <w:t xml:space="preserve">authors found that in 2018, the United States and China were undoubtedly world leaders in both indicators. For example, in the </w:t>
      </w:r>
      <w:r w:rsidR="00AA44FC">
        <w:rPr>
          <w:rFonts w:ascii="Times New Roman" w:hAnsi="Times New Roman" w:cs="Times New Roman"/>
          <w:sz w:val="20"/>
          <w:szCs w:val="20"/>
        </w:rPr>
        <w:t>USA</w:t>
      </w:r>
      <w:r w:rsidRPr="00AB5129">
        <w:rPr>
          <w:rFonts w:ascii="Times New Roman" w:hAnsi="Times New Roman" w:cs="Times New Roman"/>
          <w:sz w:val="20"/>
          <w:szCs w:val="20"/>
        </w:rPr>
        <w:t>, FDI amounted to 354 billion US dollars (1</w:t>
      </w:r>
      <w:r w:rsidRPr="00AA44FC">
        <w:rPr>
          <w:rFonts w:ascii="Times New Roman" w:hAnsi="Times New Roman" w:cs="Times New Roman"/>
          <w:sz w:val="20"/>
          <w:szCs w:val="20"/>
          <w:vertAlign w:val="superscript"/>
        </w:rPr>
        <w:t xml:space="preserve">st </w:t>
      </w:r>
      <w:r w:rsidRPr="00AB5129">
        <w:rPr>
          <w:rFonts w:ascii="Times New Roman" w:hAnsi="Times New Roman" w:cs="Times New Roman"/>
          <w:sz w:val="20"/>
          <w:szCs w:val="20"/>
        </w:rPr>
        <w:t>place in the world) and GDP amounted to 20</w:t>
      </w:r>
      <w:r w:rsidR="00AA44FC">
        <w:rPr>
          <w:rFonts w:ascii="Times New Roman" w:hAnsi="Times New Roman" w:cs="Times New Roman"/>
          <w:sz w:val="20"/>
          <w:szCs w:val="20"/>
        </w:rPr>
        <w:t xml:space="preserve"> </w:t>
      </w:r>
      <w:r w:rsidRPr="00AB5129">
        <w:rPr>
          <w:rFonts w:ascii="Times New Roman" w:hAnsi="Times New Roman" w:cs="Times New Roman"/>
          <w:sz w:val="20"/>
          <w:szCs w:val="20"/>
        </w:rPr>
        <w:t>513 billion US dollars (1</w:t>
      </w:r>
      <w:r w:rsidRPr="00AA44FC">
        <w:rPr>
          <w:rFonts w:ascii="Times New Roman" w:hAnsi="Times New Roman" w:cs="Times New Roman"/>
          <w:sz w:val="20"/>
          <w:szCs w:val="20"/>
          <w:vertAlign w:val="superscript"/>
        </w:rPr>
        <w:t>st</w:t>
      </w:r>
      <w:r w:rsidRPr="00AB5129">
        <w:rPr>
          <w:rFonts w:ascii="Times New Roman" w:hAnsi="Times New Roman" w:cs="Times New Roman"/>
          <w:sz w:val="20"/>
          <w:szCs w:val="20"/>
        </w:rPr>
        <w:t xml:space="preserve"> place in the world). China, as a leading developing country, invested </w:t>
      </w:r>
      <w:r w:rsidR="00AA44FC" w:rsidRPr="00AB5129">
        <w:rPr>
          <w:rFonts w:ascii="Times New Roman" w:hAnsi="Times New Roman" w:cs="Times New Roman"/>
          <w:sz w:val="20"/>
          <w:szCs w:val="20"/>
        </w:rPr>
        <w:t>168</w:t>
      </w:r>
      <w:r w:rsidR="00AA44FC">
        <w:rPr>
          <w:rFonts w:ascii="Times New Roman" w:hAnsi="Times New Roman" w:cs="Times New Roman"/>
          <w:sz w:val="20"/>
          <w:szCs w:val="20"/>
        </w:rPr>
        <w:t xml:space="preserve"> </w:t>
      </w:r>
      <w:r w:rsidR="00AA44FC" w:rsidRPr="00AB5129">
        <w:rPr>
          <w:rFonts w:ascii="Times New Roman" w:hAnsi="Times New Roman" w:cs="Times New Roman"/>
          <w:sz w:val="20"/>
          <w:szCs w:val="20"/>
        </w:rPr>
        <w:t xml:space="preserve">billion US dollars </w:t>
      </w:r>
      <w:r w:rsidR="00AA44FC">
        <w:rPr>
          <w:rFonts w:ascii="Times New Roman" w:hAnsi="Times New Roman" w:cs="Times New Roman"/>
          <w:sz w:val="20"/>
          <w:szCs w:val="20"/>
        </w:rPr>
        <w:t xml:space="preserve">of </w:t>
      </w:r>
      <w:r w:rsidRPr="00AB5129">
        <w:rPr>
          <w:rFonts w:ascii="Times New Roman" w:hAnsi="Times New Roman" w:cs="Times New Roman"/>
          <w:sz w:val="20"/>
          <w:szCs w:val="20"/>
        </w:rPr>
        <w:t>FDI (3</w:t>
      </w:r>
      <w:r w:rsidRPr="00AA44FC">
        <w:rPr>
          <w:rFonts w:ascii="Times New Roman" w:hAnsi="Times New Roman" w:cs="Times New Roman"/>
          <w:sz w:val="20"/>
          <w:szCs w:val="20"/>
          <w:vertAlign w:val="superscript"/>
        </w:rPr>
        <w:t>rd</w:t>
      </w:r>
      <w:r w:rsidRPr="00AB5129">
        <w:rPr>
          <w:rFonts w:ascii="Times New Roman" w:hAnsi="Times New Roman" w:cs="Times New Roman"/>
          <w:sz w:val="20"/>
          <w:szCs w:val="20"/>
        </w:rPr>
        <w:t xml:space="preserve"> place) and produced </w:t>
      </w:r>
      <w:r w:rsidR="00AA44FC" w:rsidRPr="00AB5129">
        <w:rPr>
          <w:rFonts w:ascii="Times New Roman" w:hAnsi="Times New Roman" w:cs="Times New Roman"/>
          <w:sz w:val="20"/>
          <w:szCs w:val="20"/>
        </w:rPr>
        <w:t>13</w:t>
      </w:r>
      <w:r w:rsidR="00AA44FC">
        <w:rPr>
          <w:rFonts w:ascii="Times New Roman" w:hAnsi="Times New Roman" w:cs="Times New Roman"/>
          <w:sz w:val="20"/>
          <w:szCs w:val="20"/>
        </w:rPr>
        <w:t> </w:t>
      </w:r>
      <w:r w:rsidR="00AA44FC" w:rsidRPr="00AB5129">
        <w:rPr>
          <w:rFonts w:ascii="Times New Roman" w:hAnsi="Times New Roman" w:cs="Times New Roman"/>
          <w:sz w:val="20"/>
          <w:szCs w:val="20"/>
        </w:rPr>
        <w:t>457</w:t>
      </w:r>
      <w:r w:rsidR="00AA44FC">
        <w:rPr>
          <w:rFonts w:ascii="Times New Roman" w:hAnsi="Times New Roman" w:cs="Times New Roman"/>
          <w:sz w:val="20"/>
          <w:szCs w:val="20"/>
        </w:rPr>
        <w:t xml:space="preserve"> </w:t>
      </w:r>
      <w:r w:rsidR="00AA44FC" w:rsidRPr="00AB5129">
        <w:rPr>
          <w:rFonts w:ascii="Times New Roman" w:hAnsi="Times New Roman" w:cs="Times New Roman"/>
          <w:sz w:val="20"/>
          <w:szCs w:val="20"/>
        </w:rPr>
        <w:t>billion US dollars</w:t>
      </w:r>
      <w:r w:rsidR="00AA44FC">
        <w:rPr>
          <w:rFonts w:ascii="Times New Roman" w:hAnsi="Times New Roman" w:cs="Times New Roman"/>
          <w:sz w:val="20"/>
          <w:szCs w:val="20"/>
        </w:rPr>
        <w:t xml:space="preserve"> of</w:t>
      </w:r>
      <w:r w:rsidR="00AA44FC" w:rsidRPr="00AB5129">
        <w:rPr>
          <w:rFonts w:ascii="Times New Roman" w:hAnsi="Times New Roman" w:cs="Times New Roman"/>
          <w:sz w:val="20"/>
          <w:szCs w:val="20"/>
        </w:rPr>
        <w:t xml:space="preserve"> </w:t>
      </w:r>
      <w:r w:rsidRPr="00AB5129">
        <w:rPr>
          <w:rFonts w:ascii="Times New Roman" w:hAnsi="Times New Roman" w:cs="Times New Roman"/>
          <w:sz w:val="20"/>
          <w:szCs w:val="20"/>
        </w:rPr>
        <w:t>GDP (2</w:t>
      </w:r>
      <w:r w:rsidRPr="00AA44FC">
        <w:rPr>
          <w:rFonts w:ascii="Times New Roman" w:hAnsi="Times New Roman" w:cs="Times New Roman"/>
          <w:sz w:val="20"/>
          <w:szCs w:val="20"/>
          <w:vertAlign w:val="superscript"/>
        </w:rPr>
        <w:t>nd</w:t>
      </w:r>
      <w:r w:rsidRPr="00AB5129">
        <w:rPr>
          <w:rFonts w:ascii="Times New Roman" w:hAnsi="Times New Roman" w:cs="Times New Roman"/>
          <w:sz w:val="20"/>
          <w:szCs w:val="20"/>
        </w:rPr>
        <w:t xml:space="preserve"> place). EU leaders such as Germany, UK and France also show a strong correlation between GDP and FDI: Germany - 5</w:t>
      </w:r>
      <w:r w:rsidRPr="00AA44FC">
        <w:rPr>
          <w:rFonts w:ascii="Times New Roman" w:hAnsi="Times New Roman" w:cs="Times New Roman"/>
          <w:sz w:val="20"/>
          <w:szCs w:val="20"/>
          <w:vertAlign w:val="superscript"/>
        </w:rPr>
        <w:t>th</w:t>
      </w:r>
      <w:r w:rsidRPr="00AB5129">
        <w:rPr>
          <w:rFonts w:ascii="Times New Roman" w:hAnsi="Times New Roman" w:cs="Times New Roman"/>
          <w:sz w:val="20"/>
          <w:szCs w:val="20"/>
        </w:rPr>
        <w:t xml:space="preserve"> in FDI and 4</w:t>
      </w:r>
      <w:r w:rsidRPr="00AA44FC">
        <w:rPr>
          <w:rFonts w:ascii="Times New Roman" w:hAnsi="Times New Roman" w:cs="Times New Roman"/>
          <w:sz w:val="20"/>
          <w:szCs w:val="20"/>
          <w:vertAlign w:val="superscript"/>
        </w:rPr>
        <w:t>th</w:t>
      </w:r>
      <w:r w:rsidRPr="00AB5129">
        <w:rPr>
          <w:rFonts w:ascii="Times New Roman" w:hAnsi="Times New Roman" w:cs="Times New Roman"/>
          <w:sz w:val="20"/>
          <w:szCs w:val="20"/>
        </w:rPr>
        <w:t xml:space="preserve"> in GDP, UK - 7</w:t>
      </w:r>
      <w:r w:rsidRPr="00AA44FC">
        <w:rPr>
          <w:rFonts w:ascii="Times New Roman" w:hAnsi="Times New Roman" w:cs="Times New Roman"/>
          <w:sz w:val="20"/>
          <w:szCs w:val="20"/>
          <w:vertAlign w:val="superscript"/>
        </w:rPr>
        <w:t>th</w:t>
      </w:r>
      <w:r w:rsidRPr="00AB5129">
        <w:rPr>
          <w:rFonts w:ascii="Times New Roman" w:hAnsi="Times New Roman" w:cs="Times New Roman"/>
          <w:sz w:val="20"/>
          <w:szCs w:val="20"/>
        </w:rPr>
        <w:t xml:space="preserve"> in FDI and 5</w:t>
      </w:r>
      <w:r w:rsidRPr="00AA44FC">
        <w:rPr>
          <w:rFonts w:ascii="Times New Roman" w:hAnsi="Times New Roman" w:cs="Times New Roman"/>
          <w:sz w:val="20"/>
          <w:szCs w:val="20"/>
          <w:vertAlign w:val="superscript"/>
        </w:rPr>
        <w:t>th</w:t>
      </w:r>
      <w:r w:rsidRPr="00AB5129">
        <w:rPr>
          <w:rFonts w:ascii="Times New Roman" w:hAnsi="Times New Roman" w:cs="Times New Roman"/>
          <w:sz w:val="20"/>
          <w:szCs w:val="20"/>
        </w:rPr>
        <w:t xml:space="preserve"> </w:t>
      </w:r>
      <w:r w:rsidR="00AA44FC">
        <w:rPr>
          <w:rFonts w:ascii="Times New Roman" w:hAnsi="Times New Roman" w:cs="Times New Roman"/>
          <w:sz w:val="20"/>
          <w:szCs w:val="20"/>
        </w:rPr>
        <w:t>in</w:t>
      </w:r>
      <w:r w:rsidRPr="00AB5129">
        <w:rPr>
          <w:rFonts w:ascii="Times New Roman" w:hAnsi="Times New Roman" w:cs="Times New Roman"/>
          <w:sz w:val="20"/>
          <w:szCs w:val="20"/>
        </w:rPr>
        <w:t xml:space="preserve"> GDP, France - 9</w:t>
      </w:r>
      <w:r w:rsidRPr="00AA44FC">
        <w:rPr>
          <w:rFonts w:ascii="Times New Roman" w:hAnsi="Times New Roman" w:cs="Times New Roman"/>
          <w:sz w:val="20"/>
          <w:szCs w:val="20"/>
          <w:vertAlign w:val="superscript"/>
        </w:rPr>
        <w:t>th</w:t>
      </w:r>
      <w:r w:rsidRPr="00AB5129">
        <w:rPr>
          <w:rFonts w:ascii="Times New Roman" w:hAnsi="Times New Roman" w:cs="Times New Roman"/>
          <w:sz w:val="20"/>
          <w:szCs w:val="20"/>
        </w:rPr>
        <w:t xml:space="preserve"> place in FDI and 6</w:t>
      </w:r>
      <w:r w:rsidRPr="00AA44FC">
        <w:rPr>
          <w:rFonts w:ascii="Times New Roman" w:hAnsi="Times New Roman" w:cs="Times New Roman"/>
          <w:sz w:val="20"/>
          <w:szCs w:val="20"/>
          <w:vertAlign w:val="superscript"/>
        </w:rPr>
        <w:t>th</w:t>
      </w:r>
      <w:r w:rsidRPr="00AB5129">
        <w:rPr>
          <w:rFonts w:ascii="Times New Roman" w:hAnsi="Times New Roman" w:cs="Times New Roman"/>
          <w:sz w:val="20"/>
          <w:szCs w:val="20"/>
        </w:rPr>
        <w:t xml:space="preserve"> place in GDP. The developing economy of Brazil isn</w:t>
      </w:r>
      <w:r w:rsidR="00AA44FC">
        <w:rPr>
          <w:rFonts w:ascii="Times New Roman" w:hAnsi="Times New Roman" w:cs="Times New Roman"/>
          <w:sz w:val="20"/>
          <w:szCs w:val="20"/>
        </w:rPr>
        <w:t>’</w:t>
      </w:r>
      <w:r w:rsidRPr="00AB5129">
        <w:rPr>
          <w:rFonts w:ascii="Times New Roman" w:hAnsi="Times New Roman" w:cs="Times New Roman"/>
          <w:sz w:val="20"/>
          <w:szCs w:val="20"/>
        </w:rPr>
        <w:t>t far behind them, which ranks 6</w:t>
      </w:r>
      <w:r w:rsidRPr="00AA44FC">
        <w:rPr>
          <w:rFonts w:ascii="Times New Roman" w:hAnsi="Times New Roman" w:cs="Times New Roman"/>
          <w:sz w:val="20"/>
          <w:szCs w:val="20"/>
          <w:vertAlign w:val="superscript"/>
        </w:rPr>
        <w:t>th</w:t>
      </w:r>
      <w:r w:rsidRPr="00AB5129">
        <w:rPr>
          <w:rFonts w:ascii="Times New Roman" w:hAnsi="Times New Roman" w:cs="Times New Roman"/>
          <w:sz w:val="20"/>
          <w:szCs w:val="20"/>
        </w:rPr>
        <w:t xml:space="preserve"> in FDI and 9</w:t>
      </w:r>
      <w:r w:rsidRPr="00AA44FC">
        <w:rPr>
          <w:rFonts w:ascii="Times New Roman" w:hAnsi="Times New Roman" w:cs="Times New Roman"/>
          <w:sz w:val="20"/>
          <w:szCs w:val="20"/>
          <w:vertAlign w:val="superscript"/>
        </w:rPr>
        <w:t>th</w:t>
      </w:r>
      <w:r w:rsidRPr="00AB5129">
        <w:rPr>
          <w:rFonts w:ascii="Times New Roman" w:hAnsi="Times New Roman" w:cs="Times New Roman"/>
          <w:sz w:val="20"/>
          <w:szCs w:val="20"/>
        </w:rPr>
        <w:t xml:space="preserve"> in GDP [18, 19]. These countries show good examples of a positive correlation between their FDI </w:t>
      </w:r>
      <w:r w:rsidR="00AA44FC">
        <w:rPr>
          <w:rFonts w:ascii="Times New Roman" w:hAnsi="Times New Roman" w:cs="Times New Roman"/>
          <w:sz w:val="20"/>
          <w:szCs w:val="20"/>
        </w:rPr>
        <w:t xml:space="preserve">flows </w:t>
      </w:r>
      <w:r w:rsidRPr="00AB5129">
        <w:rPr>
          <w:rFonts w:ascii="Times New Roman" w:hAnsi="Times New Roman" w:cs="Times New Roman"/>
          <w:sz w:val="20"/>
          <w:szCs w:val="20"/>
        </w:rPr>
        <w:t xml:space="preserve">and </w:t>
      </w:r>
      <w:r w:rsidR="00AA44FC">
        <w:rPr>
          <w:rFonts w:ascii="Times New Roman" w:hAnsi="Times New Roman" w:cs="Times New Roman"/>
          <w:sz w:val="20"/>
          <w:szCs w:val="20"/>
        </w:rPr>
        <w:t xml:space="preserve">their </w:t>
      </w:r>
      <w:r w:rsidRPr="00AB5129">
        <w:rPr>
          <w:rFonts w:ascii="Times New Roman" w:hAnsi="Times New Roman" w:cs="Times New Roman"/>
          <w:sz w:val="20"/>
          <w:szCs w:val="20"/>
        </w:rPr>
        <w:t xml:space="preserve">GDP </w:t>
      </w:r>
      <w:r w:rsidR="00AA44FC">
        <w:rPr>
          <w:rFonts w:ascii="Times New Roman" w:hAnsi="Times New Roman" w:cs="Times New Roman"/>
          <w:sz w:val="20"/>
          <w:szCs w:val="20"/>
        </w:rPr>
        <w:t xml:space="preserve">of the </w:t>
      </w:r>
      <w:r w:rsidRPr="00AB5129">
        <w:rPr>
          <w:rFonts w:ascii="Times New Roman" w:hAnsi="Times New Roman" w:cs="Times New Roman"/>
          <w:sz w:val="20"/>
          <w:szCs w:val="20"/>
        </w:rPr>
        <w:t>country.</w:t>
      </w:r>
    </w:p>
    <w:p w:rsidR="008F35DA"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The main objective of this </w:t>
      </w:r>
      <w:r w:rsidR="00AA44FC">
        <w:rPr>
          <w:rFonts w:ascii="Times New Roman" w:hAnsi="Times New Roman" w:cs="Times New Roman"/>
          <w:sz w:val="20"/>
          <w:szCs w:val="20"/>
        </w:rPr>
        <w:t>research</w:t>
      </w:r>
      <w:r w:rsidRPr="00AB5129">
        <w:rPr>
          <w:rFonts w:ascii="Times New Roman" w:hAnsi="Times New Roman" w:cs="Times New Roman"/>
          <w:sz w:val="20"/>
          <w:szCs w:val="20"/>
        </w:rPr>
        <w:t xml:space="preserve"> is to study the impact of FDI on Kazakhstan's economic growth. The quantitative research method was applied using secondary data, which cover the dynamics of FDI over the period from 2000 to 2017. The data were obtained from the OECD database [18], and are reliable, according to the authors for the study. The following variables were used for modeling: real GDP of Kazakhstan</w:t>
      </w:r>
      <w:r w:rsidR="00B166B0">
        <w:rPr>
          <w:rFonts w:ascii="Times New Roman" w:hAnsi="Times New Roman" w:cs="Times New Roman"/>
          <w:sz w:val="20"/>
          <w:szCs w:val="20"/>
        </w:rPr>
        <w:t xml:space="preserve"> </w:t>
      </w:r>
      <w:r w:rsidR="00B166B0" w:rsidRPr="00AB5129">
        <w:rPr>
          <w:rFonts w:ascii="Times New Roman" w:hAnsi="Times New Roman" w:cs="Times New Roman"/>
          <w:sz w:val="20"/>
          <w:szCs w:val="20"/>
        </w:rPr>
        <w:t>(Fig</w:t>
      </w:r>
      <w:r w:rsidR="00B166B0">
        <w:rPr>
          <w:rFonts w:ascii="Times New Roman" w:hAnsi="Times New Roman" w:cs="Times New Roman"/>
          <w:sz w:val="20"/>
          <w:szCs w:val="20"/>
        </w:rPr>
        <w:t>.</w:t>
      </w:r>
      <w:r w:rsidR="00B166B0" w:rsidRPr="00AB5129">
        <w:rPr>
          <w:rFonts w:ascii="Times New Roman" w:hAnsi="Times New Roman" w:cs="Times New Roman"/>
          <w:sz w:val="20"/>
          <w:szCs w:val="20"/>
        </w:rPr>
        <w:t xml:space="preserve"> 2)</w:t>
      </w:r>
      <w:r w:rsidRPr="00AB5129">
        <w:rPr>
          <w:rFonts w:ascii="Times New Roman" w:hAnsi="Times New Roman" w:cs="Times New Roman"/>
          <w:sz w:val="20"/>
          <w:szCs w:val="20"/>
        </w:rPr>
        <w:t xml:space="preserve">, </w:t>
      </w:r>
      <w:r w:rsidR="00AA44FC">
        <w:rPr>
          <w:rFonts w:ascii="Times New Roman" w:hAnsi="Times New Roman" w:cs="Times New Roman"/>
          <w:sz w:val="20"/>
          <w:szCs w:val="20"/>
        </w:rPr>
        <w:t xml:space="preserve">gross </w:t>
      </w:r>
      <w:r w:rsidR="00AA44FC" w:rsidRPr="00AB5129">
        <w:rPr>
          <w:rFonts w:ascii="Times New Roman" w:hAnsi="Times New Roman" w:cs="Times New Roman"/>
          <w:sz w:val="20"/>
          <w:szCs w:val="20"/>
        </w:rPr>
        <w:t>inflow</w:t>
      </w:r>
      <w:r w:rsidR="00AA44FC" w:rsidRPr="00AB5129">
        <w:rPr>
          <w:rFonts w:ascii="Times New Roman" w:hAnsi="Times New Roman" w:cs="Times New Roman"/>
          <w:sz w:val="20"/>
          <w:szCs w:val="20"/>
        </w:rPr>
        <w:t xml:space="preserve"> </w:t>
      </w:r>
      <w:r w:rsidR="00AA44FC">
        <w:rPr>
          <w:rFonts w:ascii="Times New Roman" w:hAnsi="Times New Roman" w:cs="Times New Roman"/>
          <w:sz w:val="20"/>
          <w:szCs w:val="20"/>
        </w:rPr>
        <w:t xml:space="preserve">of </w:t>
      </w:r>
      <w:r w:rsidRPr="00AB5129">
        <w:rPr>
          <w:rFonts w:ascii="Times New Roman" w:hAnsi="Times New Roman" w:cs="Times New Roman"/>
          <w:sz w:val="20"/>
          <w:szCs w:val="20"/>
        </w:rPr>
        <w:t xml:space="preserve">FDI to Kazakhstan and inflation rate. </w:t>
      </w:r>
    </w:p>
    <w:p w:rsidR="00B166B0" w:rsidRPr="00AB5129" w:rsidRDefault="00B166B0" w:rsidP="00F23E78">
      <w:pPr>
        <w:spacing w:after="0" w:line="240" w:lineRule="auto"/>
        <w:ind w:firstLine="284"/>
        <w:jc w:val="both"/>
        <w:rPr>
          <w:rFonts w:ascii="Times New Roman" w:hAnsi="Times New Roman" w:cs="Times New Roman"/>
          <w:sz w:val="20"/>
          <w:szCs w:val="20"/>
        </w:rPr>
      </w:pPr>
    </w:p>
    <w:p w:rsidR="00AB5129" w:rsidRPr="00AB5129" w:rsidRDefault="00AB5129" w:rsidP="00ED0AD7">
      <w:pPr>
        <w:spacing w:after="0" w:line="240" w:lineRule="auto"/>
        <w:jc w:val="both"/>
        <w:rPr>
          <w:rFonts w:ascii="Times New Roman" w:hAnsi="Times New Roman" w:cs="Times New Roman"/>
          <w:sz w:val="20"/>
          <w:szCs w:val="20"/>
        </w:rPr>
      </w:pPr>
      <w:r w:rsidRPr="00AB5129">
        <w:rPr>
          <w:rFonts w:ascii="Times New Roman" w:hAnsi="Times New Roman" w:cs="Times New Roman"/>
          <w:noProof/>
          <w:sz w:val="20"/>
          <w:szCs w:val="20"/>
        </w:rPr>
        <w:drawing>
          <wp:inline distT="0" distB="0" distL="0" distR="0" wp14:anchorId="72F3E25B" wp14:editId="113FA74F">
            <wp:extent cx="4657061" cy="3593804"/>
            <wp:effectExtent l="0" t="0" r="10795" b="260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166B0" w:rsidRDefault="00B166B0" w:rsidP="00B166B0">
      <w:pPr>
        <w:spacing w:after="0" w:line="240" w:lineRule="auto"/>
        <w:rPr>
          <w:rFonts w:ascii="Times New Roman" w:hAnsi="Times New Roman" w:cs="Times New Roman"/>
          <w:sz w:val="18"/>
          <w:szCs w:val="18"/>
        </w:rPr>
      </w:pPr>
    </w:p>
    <w:p w:rsidR="00AB5129" w:rsidRDefault="00AB5129" w:rsidP="00B166B0">
      <w:pPr>
        <w:spacing w:after="0" w:line="240" w:lineRule="auto"/>
        <w:rPr>
          <w:rFonts w:ascii="Times New Roman" w:hAnsi="Times New Roman" w:cs="Times New Roman"/>
          <w:sz w:val="18"/>
          <w:szCs w:val="18"/>
        </w:rPr>
      </w:pPr>
      <w:proofErr w:type="gramStart"/>
      <w:r w:rsidRPr="00B166B0">
        <w:rPr>
          <w:rFonts w:ascii="Times New Roman" w:hAnsi="Times New Roman" w:cs="Times New Roman"/>
          <w:b/>
          <w:sz w:val="18"/>
          <w:szCs w:val="18"/>
        </w:rPr>
        <w:t>Fig</w:t>
      </w:r>
      <w:r w:rsidR="00B166B0" w:rsidRPr="00B166B0">
        <w:rPr>
          <w:rFonts w:ascii="Times New Roman" w:hAnsi="Times New Roman" w:cs="Times New Roman"/>
          <w:b/>
          <w:sz w:val="18"/>
          <w:szCs w:val="18"/>
        </w:rPr>
        <w:t>.</w:t>
      </w:r>
      <w:r w:rsidRPr="00B166B0">
        <w:rPr>
          <w:rFonts w:ascii="Times New Roman" w:hAnsi="Times New Roman" w:cs="Times New Roman"/>
          <w:b/>
          <w:sz w:val="18"/>
          <w:szCs w:val="18"/>
        </w:rPr>
        <w:t xml:space="preserve"> 2</w:t>
      </w:r>
      <w:r w:rsidR="00B166B0" w:rsidRPr="00B166B0">
        <w:rPr>
          <w:rFonts w:ascii="Times New Roman" w:hAnsi="Times New Roman" w:cs="Times New Roman"/>
          <w:b/>
          <w:sz w:val="18"/>
          <w:szCs w:val="18"/>
        </w:rPr>
        <w:t>.</w:t>
      </w:r>
      <w:proofErr w:type="gramEnd"/>
      <w:r w:rsidRPr="00B166B0">
        <w:rPr>
          <w:rFonts w:ascii="Times New Roman" w:hAnsi="Times New Roman" w:cs="Times New Roman"/>
          <w:sz w:val="18"/>
          <w:szCs w:val="18"/>
        </w:rPr>
        <w:t xml:space="preserve"> Dynamics of Kazakhstan's</w:t>
      </w:r>
      <w:r w:rsidR="00B85B44" w:rsidRPr="00B166B0">
        <w:rPr>
          <w:rFonts w:ascii="Times New Roman" w:hAnsi="Times New Roman" w:cs="Times New Roman"/>
          <w:sz w:val="18"/>
          <w:szCs w:val="18"/>
        </w:rPr>
        <w:t xml:space="preserve"> GDP for the period </w:t>
      </w:r>
      <w:r w:rsidR="00B166B0">
        <w:rPr>
          <w:rFonts w:ascii="Times New Roman" w:hAnsi="Times New Roman" w:cs="Times New Roman"/>
          <w:sz w:val="18"/>
          <w:szCs w:val="18"/>
        </w:rPr>
        <w:t xml:space="preserve">from </w:t>
      </w:r>
      <w:r w:rsidR="00B85B44" w:rsidRPr="00B166B0">
        <w:rPr>
          <w:rFonts w:ascii="Times New Roman" w:hAnsi="Times New Roman" w:cs="Times New Roman"/>
          <w:sz w:val="18"/>
          <w:szCs w:val="18"/>
        </w:rPr>
        <w:t>1993</w:t>
      </w:r>
      <w:r w:rsidR="00B166B0">
        <w:rPr>
          <w:rFonts w:ascii="Times New Roman" w:hAnsi="Times New Roman" w:cs="Times New Roman"/>
          <w:sz w:val="18"/>
          <w:szCs w:val="18"/>
        </w:rPr>
        <w:t xml:space="preserve"> to </w:t>
      </w:r>
      <w:r w:rsidR="00B85B44" w:rsidRPr="00B166B0">
        <w:rPr>
          <w:rFonts w:ascii="Times New Roman" w:hAnsi="Times New Roman" w:cs="Times New Roman"/>
          <w:sz w:val="18"/>
          <w:szCs w:val="18"/>
        </w:rPr>
        <w:t>2017</w:t>
      </w:r>
      <w:r w:rsidR="00B166B0">
        <w:rPr>
          <w:rFonts w:ascii="Times New Roman" w:hAnsi="Times New Roman" w:cs="Times New Roman"/>
          <w:sz w:val="18"/>
          <w:szCs w:val="18"/>
        </w:rPr>
        <w:t>,</w:t>
      </w:r>
      <w:r w:rsidR="00B166B0" w:rsidRPr="00B166B0">
        <w:rPr>
          <w:rFonts w:ascii="Times New Roman" w:hAnsi="Times New Roman" w:cs="Times New Roman"/>
          <w:sz w:val="18"/>
          <w:szCs w:val="18"/>
        </w:rPr>
        <w:t xml:space="preserve"> </w:t>
      </w:r>
      <w:r w:rsidR="00B166B0" w:rsidRPr="00B166B0">
        <w:rPr>
          <w:rFonts w:ascii="Times New Roman" w:hAnsi="Times New Roman" w:cs="Times New Roman"/>
          <w:sz w:val="18"/>
          <w:szCs w:val="18"/>
        </w:rPr>
        <w:t xml:space="preserve">billion US dollars </w:t>
      </w:r>
      <w:r w:rsidRPr="00B166B0">
        <w:rPr>
          <w:rFonts w:ascii="Times New Roman" w:hAnsi="Times New Roman" w:cs="Times New Roman"/>
          <w:sz w:val="18"/>
          <w:szCs w:val="18"/>
        </w:rPr>
        <w:t>[20]</w:t>
      </w:r>
    </w:p>
    <w:p w:rsidR="00B166B0" w:rsidRDefault="00B166B0" w:rsidP="00B166B0">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lastRenderedPageBreak/>
        <w:t xml:space="preserve">According to a </w:t>
      </w:r>
      <w:r>
        <w:rPr>
          <w:rFonts w:ascii="Times New Roman" w:hAnsi="Times New Roman" w:cs="Times New Roman"/>
          <w:sz w:val="20"/>
          <w:szCs w:val="20"/>
        </w:rPr>
        <w:t>research</w:t>
      </w:r>
      <w:r w:rsidRPr="00AB5129">
        <w:rPr>
          <w:rFonts w:ascii="Times New Roman" w:hAnsi="Times New Roman" w:cs="Times New Roman"/>
          <w:sz w:val="20"/>
          <w:szCs w:val="20"/>
        </w:rPr>
        <w:t xml:space="preserve"> conducted by the authors, the indicator of FDI inflows into the </w:t>
      </w:r>
      <w:r>
        <w:rPr>
          <w:rFonts w:ascii="Times New Roman" w:hAnsi="Times New Roman" w:cs="Times New Roman"/>
          <w:sz w:val="20"/>
          <w:szCs w:val="20"/>
        </w:rPr>
        <w:t>country</w:t>
      </w:r>
      <w:r w:rsidRPr="00AB5129">
        <w:rPr>
          <w:rFonts w:ascii="Times New Roman" w:hAnsi="Times New Roman" w:cs="Times New Roman"/>
          <w:sz w:val="20"/>
          <w:szCs w:val="20"/>
        </w:rPr>
        <w:t xml:space="preserve"> characterizes the favorable conditions for their functioning in Kazakhstan. However, despite this, the influx of FDI into Kazakhstan has not yet reached pre-crisis levels and continues its “recovery” after the global </w:t>
      </w:r>
      <w:proofErr w:type="spellStart"/>
      <w:r w:rsidRPr="00AB5129">
        <w:rPr>
          <w:rFonts w:ascii="Times New Roman" w:hAnsi="Times New Roman" w:cs="Times New Roman"/>
          <w:sz w:val="20"/>
          <w:szCs w:val="20"/>
        </w:rPr>
        <w:t>global</w:t>
      </w:r>
      <w:proofErr w:type="spellEnd"/>
      <w:r w:rsidRPr="00AB5129">
        <w:rPr>
          <w:rFonts w:ascii="Times New Roman" w:hAnsi="Times New Roman" w:cs="Times New Roman"/>
          <w:sz w:val="20"/>
          <w:szCs w:val="20"/>
        </w:rPr>
        <w:t xml:space="preserve"> financial crisis, which is reflected in Fig</w:t>
      </w:r>
      <w:r>
        <w:rPr>
          <w:rFonts w:ascii="Times New Roman" w:hAnsi="Times New Roman" w:cs="Times New Roman"/>
          <w:sz w:val="20"/>
          <w:szCs w:val="20"/>
        </w:rPr>
        <w:t>.</w:t>
      </w:r>
      <w:r w:rsidRPr="00AB5129">
        <w:rPr>
          <w:rFonts w:ascii="Times New Roman" w:hAnsi="Times New Roman" w:cs="Times New Roman"/>
          <w:sz w:val="20"/>
          <w:szCs w:val="20"/>
        </w:rPr>
        <w:t xml:space="preserve"> 3.</w:t>
      </w:r>
    </w:p>
    <w:p w:rsidR="00AB5129" w:rsidRPr="00AB5129" w:rsidRDefault="00AB5129" w:rsidP="00F23E78">
      <w:pPr>
        <w:spacing w:after="0" w:line="240" w:lineRule="auto"/>
        <w:ind w:firstLine="284"/>
        <w:jc w:val="both"/>
        <w:rPr>
          <w:rFonts w:ascii="Times New Roman" w:hAnsi="Times New Roman" w:cs="Times New Roman"/>
          <w:sz w:val="20"/>
          <w:szCs w:val="20"/>
        </w:rPr>
      </w:pPr>
    </w:p>
    <w:p w:rsidR="00AB5129" w:rsidRPr="00AB5129" w:rsidRDefault="00AB5129" w:rsidP="00B166B0">
      <w:pPr>
        <w:spacing w:after="0" w:line="240" w:lineRule="auto"/>
        <w:jc w:val="both"/>
        <w:rPr>
          <w:rFonts w:ascii="Times New Roman" w:hAnsi="Times New Roman" w:cs="Times New Roman"/>
          <w:sz w:val="20"/>
          <w:szCs w:val="20"/>
        </w:rPr>
      </w:pPr>
      <w:r w:rsidRPr="00AB5129">
        <w:rPr>
          <w:rFonts w:ascii="Times New Roman" w:hAnsi="Times New Roman" w:cs="Times New Roman"/>
          <w:noProof/>
          <w:sz w:val="20"/>
          <w:szCs w:val="20"/>
        </w:rPr>
        <w:drawing>
          <wp:inline distT="0" distB="0" distL="0" distR="0" wp14:anchorId="52024AE7" wp14:editId="3D006B84">
            <wp:extent cx="4657060" cy="2977116"/>
            <wp:effectExtent l="0" t="0" r="10795" b="1397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B5129" w:rsidRDefault="00AB5129" w:rsidP="00F23E78">
      <w:pPr>
        <w:spacing w:after="0" w:line="240" w:lineRule="auto"/>
        <w:ind w:firstLine="284"/>
        <w:jc w:val="both"/>
        <w:rPr>
          <w:rFonts w:ascii="Times New Roman" w:hAnsi="Times New Roman" w:cs="Times New Roman"/>
          <w:sz w:val="20"/>
          <w:szCs w:val="20"/>
        </w:rPr>
      </w:pPr>
    </w:p>
    <w:p w:rsidR="00AB5129" w:rsidRPr="00B166B0" w:rsidRDefault="00AB5129" w:rsidP="00B166B0">
      <w:pPr>
        <w:spacing w:after="0" w:line="240" w:lineRule="auto"/>
        <w:rPr>
          <w:rFonts w:ascii="Times New Roman" w:hAnsi="Times New Roman" w:cs="Times New Roman"/>
          <w:sz w:val="18"/>
          <w:szCs w:val="18"/>
        </w:rPr>
      </w:pPr>
      <w:proofErr w:type="gramStart"/>
      <w:r w:rsidRPr="00B166B0">
        <w:rPr>
          <w:rFonts w:ascii="Times New Roman" w:hAnsi="Times New Roman" w:cs="Times New Roman"/>
          <w:b/>
          <w:sz w:val="18"/>
          <w:szCs w:val="18"/>
        </w:rPr>
        <w:t>Fig</w:t>
      </w:r>
      <w:r w:rsidR="00B166B0" w:rsidRPr="00B166B0">
        <w:rPr>
          <w:rFonts w:ascii="Times New Roman" w:hAnsi="Times New Roman" w:cs="Times New Roman"/>
          <w:b/>
          <w:sz w:val="18"/>
          <w:szCs w:val="18"/>
        </w:rPr>
        <w:t>.</w:t>
      </w:r>
      <w:r w:rsidRPr="00B166B0">
        <w:rPr>
          <w:rFonts w:ascii="Times New Roman" w:hAnsi="Times New Roman" w:cs="Times New Roman"/>
          <w:b/>
          <w:sz w:val="18"/>
          <w:szCs w:val="18"/>
        </w:rPr>
        <w:t xml:space="preserve"> 3</w:t>
      </w:r>
      <w:r w:rsidR="00B166B0">
        <w:rPr>
          <w:rFonts w:ascii="Times New Roman" w:hAnsi="Times New Roman" w:cs="Times New Roman"/>
          <w:b/>
          <w:sz w:val="18"/>
          <w:szCs w:val="18"/>
        </w:rPr>
        <w:t>.</w:t>
      </w:r>
      <w:proofErr w:type="gramEnd"/>
      <w:r w:rsidRPr="00B166B0">
        <w:rPr>
          <w:rFonts w:ascii="Times New Roman" w:hAnsi="Times New Roman" w:cs="Times New Roman"/>
          <w:sz w:val="18"/>
          <w:szCs w:val="18"/>
        </w:rPr>
        <w:t xml:space="preserve"> Gross inflow of </w:t>
      </w:r>
      <w:r w:rsidR="008F35DA" w:rsidRPr="00B166B0">
        <w:rPr>
          <w:rFonts w:ascii="Times New Roman" w:hAnsi="Times New Roman" w:cs="Times New Roman"/>
          <w:sz w:val="18"/>
          <w:szCs w:val="18"/>
        </w:rPr>
        <w:t>FDI</w:t>
      </w:r>
      <w:r w:rsidRPr="00B166B0">
        <w:rPr>
          <w:rFonts w:ascii="Times New Roman" w:hAnsi="Times New Roman" w:cs="Times New Roman"/>
          <w:sz w:val="18"/>
          <w:szCs w:val="18"/>
        </w:rPr>
        <w:t xml:space="preserve"> into Kazakhstan, 1993-2017 years, </w:t>
      </w:r>
      <w:r w:rsidR="00B166B0" w:rsidRPr="00B166B0">
        <w:rPr>
          <w:rFonts w:ascii="Times New Roman" w:hAnsi="Times New Roman" w:cs="Times New Roman"/>
          <w:sz w:val="18"/>
          <w:szCs w:val="18"/>
        </w:rPr>
        <w:t>billion US dollars</w:t>
      </w:r>
      <w:r w:rsidR="00B166B0">
        <w:rPr>
          <w:rFonts w:ascii="Times New Roman" w:hAnsi="Times New Roman" w:cs="Times New Roman"/>
          <w:sz w:val="18"/>
          <w:szCs w:val="18"/>
        </w:rPr>
        <w:t xml:space="preserve"> [21]</w:t>
      </w:r>
    </w:p>
    <w:p w:rsidR="00021CA9" w:rsidRDefault="00021CA9" w:rsidP="00F23E78">
      <w:pPr>
        <w:spacing w:after="0" w:line="240" w:lineRule="auto"/>
        <w:ind w:firstLine="284"/>
        <w:jc w:val="both"/>
        <w:rPr>
          <w:rFonts w:ascii="Times New Roman" w:hAnsi="Times New Roman" w:cs="Times New Roman"/>
          <w:sz w:val="20"/>
          <w:szCs w:val="20"/>
        </w:rPr>
      </w:pPr>
    </w:p>
    <w:p w:rsid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Based on the method of multiple regression analysis, the regression equation in the study is presented in the form:</w:t>
      </w:r>
    </w:p>
    <w:p w:rsidR="00AB5129" w:rsidRPr="00AB5129" w:rsidRDefault="00AB5129" w:rsidP="009446F4">
      <w:pPr>
        <w:tabs>
          <w:tab w:val="left" w:pos="709"/>
          <w:tab w:val="center" w:pos="4111"/>
          <w:tab w:val="right" w:pos="6379"/>
        </w:tabs>
        <w:spacing w:after="0" w:line="240" w:lineRule="auto"/>
        <w:ind w:firstLine="993"/>
        <w:jc w:val="center"/>
        <w:rPr>
          <w:rFonts w:ascii="Times New Roman" w:eastAsia="Times New Roman" w:hAnsi="Times New Roman" w:cs="Times New Roman"/>
          <w:sz w:val="20"/>
          <w:szCs w:val="20"/>
        </w:rPr>
      </w:pPr>
      <m:oMath>
        <m:r>
          <w:rPr>
            <w:rFonts w:ascii="Cambria Math" w:eastAsia="Times New Roman" w:hAnsi="Cambria Math" w:cs="Times New Roman"/>
            <w:sz w:val="20"/>
            <w:szCs w:val="20"/>
            <w:lang w:val="ru-RU"/>
          </w:rPr>
          <m:t>Y</m:t>
        </m:r>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lang w:val="ru-RU"/>
              </w:rPr>
            </m:ctrlPr>
          </m:sSubPr>
          <m:e>
            <m:r>
              <w:rPr>
                <w:rFonts w:ascii="Cambria Math" w:eastAsia="Times New Roman" w:hAnsi="Cambria Math" w:cs="Times New Roman"/>
                <w:sz w:val="20"/>
                <w:szCs w:val="20"/>
                <w:lang w:val="ru-RU"/>
              </w:rPr>
              <m:t>β</m:t>
            </m:r>
          </m:e>
          <m:sub>
            <m:r>
              <w:rPr>
                <w:rFonts w:ascii="Cambria Math" w:eastAsia="Times New Roman" w:hAnsi="Cambria Math" w:cs="Times New Roman"/>
                <w:sz w:val="20"/>
                <w:szCs w:val="20"/>
              </w:rPr>
              <m:t>0</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lang w:val="ru-RU"/>
              </w:rPr>
            </m:ctrlPr>
          </m:sSubPr>
          <m:e>
            <m:r>
              <w:rPr>
                <w:rFonts w:ascii="Cambria Math" w:eastAsia="Times New Roman" w:hAnsi="Cambria Math" w:cs="Times New Roman"/>
                <w:sz w:val="20"/>
                <w:szCs w:val="20"/>
                <w:lang w:val="ru-RU"/>
              </w:rPr>
              <m:t>β</m:t>
            </m:r>
          </m:e>
          <m:sub>
            <m:r>
              <w:rPr>
                <w:rFonts w:ascii="Cambria Math" w:eastAsia="Times New Roman" w:hAnsi="Cambria Math" w:cs="Times New Roman"/>
                <w:sz w:val="20"/>
                <w:szCs w:val="20"/>
              </w:rPr>
              <m:t>1</m:t>
            </m:r>
          </m:sub>
        </m:sSub>
        <m:r>
          <w:rPr>
            <w:rFonts w:ascii="Cambria Math" w:eastAsia="Times New Roman" w:hAnsi="Cambria Math" w:cs="Times New Roman"/>
            <w:sz w:val="20"/>
            <w:szCs w:val="20"/>
          </w:rPr>
          <m:t>FDI+</m:t>
        </m:r>
        <m:sSub>
          <m:sSubPr>
            <m:ctrlPr>
              <w:rPr>
                <w:rFonts w:ascii="Cambria Math" w:eastAsia="Times New Roman" w:hAnsi="Cambria Math" w:cs="Times New Roman"/>
                <w:i/>
                <w:sz w:val="20"/>
                <w:szCs w:val="20"/>
                <w:lang w:val="ru-RU"/>
              </w:rPr>
            </m:ctrlPr>
          </m:sSubPr>
          <m:e>
            <m:r>
              <w:rPr>
                <w:rFonts w:ascii="Cambria Math" w:eastAsia="Times New Roman" w:hAnsi="Cambria Math" w:cs="Times New Roman"/>
                <w:sz w:val="20"/>
                <w:szCs w:val="20"/>
                <w:lang w:val="ru-RU"/>
              </w:rPr>
              <m:t>β</m:t>
            </m:r>
          </m:e>
          <m:sub>
            <m:r>
              <w:rPr>
                <w:rFonts w:ascii="Cambria Math" w:eastAsia="Times New Roman" w:hAnsi="Cambria Math" w:cs="Times New Roman"/>
                <w:sz w:val="20"/>
                <w:szCs w:val="20"/>
              </w:rPr>
              <m:t>2</m:t>
            </m:r>
          </m:sub>
        </m:sSub>
        <m:r>
          <w:rPr>
            <w:rFonts w:ascii="Cambria Math" w:eastAsia="Times New Roman" w:hAnsi="Cambria Math" w:cs="Times New Roman"/>
            <w:sz w:val="20"/>
            <w:szCs w:val="20"/>
          </w:rPr>
          <m:t>INF+e</m:t>
        </m:r>
      </m:oMath>
      <w:r w:rsidR="00B166B0">
        <w:rPr>
          <w:rFonts w:ascii="Times New Roman" w:eastAsia="Times New Roman" w:hAnsi="Times New Roman" w:cs="Times New Roman"/>
          <w:sz w:val="20"/>
          <w:szCs w:val="20"/>
        </w:rPr>
        <w:t xml:space="preserve"> </w:t>
      </w:r>
      <w:r w:rsidR="009446F4">
        <w:rPr>
          <w:rFonts w:ascii="Times New Roman" w:eastAsia="Times New Roman" w:hAnsi="Times New Roman" w:cs="Times New Roman"/>
          <w:sz w:val="20"/>
          <w:szCs w:val="20"/>
        </w:rPr>
        <w:t xml:space="preserve">                                                                    </w:t>
      </w:r>
      <w:r w:rsidR="00B166B0">
        <w:rPr>
          <w:rFonts w:ascii="Times New Roman" w:eastAsia="Times New Roman" w:hAnsi="Times New Roman" w:cs="Times New Roman"/>
          <w:sz w:val="20"/>
          <w:szCs w:val="20"/>
        </w:rPr>
        <w:t>(1)</w:t>
      </w:r>
    </w:p>
    <w:p w:rsidR="00AB5129" w:rsidRPr="009446F4" w:rsidRDefault="00AB5129" w:rsidP="009446F4">
      <w:pPr>
        <w:spacing w:after="0" w:line="240" w:lineRule="auto"/>
        <w:jc w:val="both"/>
        <w:rPr>
          <w:rFonts w:ascii="Times New Roman" w:hAnsi="Times New Roman" w:cs="Times New Roman"/>
          <w:sz w:val="18"/>
          <w:szCs w:val="18"/>
        </w:rPr>
      </w:pPr>
      <w:proofErr w:type="gramStart"/>
      <w:r w:rsidRPr="009446F4">
        <w:rPr>
          <w:rFonts w:ascii="Times New Roman" w:hAnsi="Times New Roman" w:cs="Times New Roman"/>
          <w:sz w:val="18"/>
          <w:szCs w:val="18"/>
        </w:rPr>
        <w:t>where</w:t>
      </w:r>
      <w:proofErr w:type="gramEnd"/>
      <w:r w:rsidRPr="009446F4">
        <w:rPr>
          <w:rFonts w:ascii="Times New Roman" w:hAnsi="Times New Roman" w:cs="Times New Roman"/>
          <w:sz w:val="18"/>
          <w:szCs w:val="18"/>
        </w:rPr>
        <w:t>:</w:t>
      </w:r>
      <w:r w:rsidRPr="009446F4">
        <w:rPr>
          <w:rFonts w:ascii="Times New Roman" w:hAnsi="Times New Roman" w:cs="Times New Roman"/>
          <w:sz w:val="18"/>
          <w:szCs w:val="18"/>
        </w:rPr>
        <w:t xml:space="preserve"> </w:t>
      </w:r>
      <w:r w:rsidRPr="009446F4">
        <w:rPr>
          <w:rFonts w:ascii="Times New Roman" w:hAnsi="Times New Roman" w:cs="Times New Roman"/>
          <w:i/>
          <w:sz w:val="18"/>
          <w:szCs w:val="18"/>
        </w:rPr>
        <w:t>Y</w:t>
      </w:r>
      <w:r w:rsidRPr="009446F4">
        <w:rPr>
          <w:rFonts w:ascii="Times New Roman" w:hAnsi="Times New Roman" w:cs="Times New Roman"/>
          <w:sz w:val="18"/>
          <w:szCs w:val="18"/>
        </w:rPr>
        <w:t xml:space="preserve"> </w:t>
      </w:r>
      <w:r w:rsidR="009446F4" w:rsidRPr="009446F4">
        <w:rPr>
          <w:rFonts w:ascii="Times New Roman" w:hAnsi="Times New Roman" w:cs="Times New Roman"/>
          <w:sz w:val="18"/>
          <w:szCs w:val="18"/>
        </w:rPr>
        <w:t>-</w:t>
      </w:r>
      <w:r w:rsidRPr="009446F4">
        <w:rPr>
          <w:rFonts w:ascii="Times New Roman" w:hAnsi="Times New Roman" w:cs="Times New Roman"/>
          <w:sz w:val="18"/>
          <w:szCs w:val="18"/>
        </w:rPr>
        <w:t xml:space="preserve"> real GDP;</w:t>
      </w:r>
    </w:p>
    <w:p w:rsidR="00AB5129" w:rsidRPr="009446F4" w:rsidRDefault="00AB5129" w:rsidP="009446F4">
      <w:pPr>
        <w:spacing w:after="0" w:line="240" w:lineRule="auto"/>
        <w:jc w:val="both"/>
        <w:rPr>
          <w:rFonts w:ascii="Times New Roman" w:hAnsi="Times New Roman" w:cs="Times New Roman"/>
          <w:sz w:val="18"/>
          <w:szCs w:val="18"/>
        </w:rPr>
      </w:pPr>
      <w:r w:rsidRPr="009446F4">
        <w:rPr>
          <w:rFonts w:ascii="Times New Roman" w:hAnsi="Times New Roman" w:cs="Times New Roman"/>
          <w:i/>
          <w:sz w:val="18"/>
          <w:szCs w:val="18"/>
        </w:rPr>
        <w:t>β</w:t>
      </w:r>
      <w:r w:rsidRPr="009446F4">
        <w:rPr>
          <w:rFonts w:ascii="Times New Roman" w:hAnsi="Times New Roman" w:cs="Times New Roman"/>
          <w:i/>
          <w:sz w:val="18"/>
          <w:szCs w:val="18"/>
          <w:vertAlign w:val="subscript"/>
        </w:rPr>
        <w:t>0</w:t>
      </w:r>
      <w:r w:rsidRPr="009446F4">
        <w:rPr>
          <w:rFonts w:ascii="Times New Roman" w:hAnsi="Times New Roman" w:cs="Times New Roman"/>
          <w:sz w:val="18"/>
          <w:szCs w:val="18"/>
        </w:rPr>
        <w:t xml:space="preserve"> </w:t>
      </w:r>
      <w:r w:rsidR="009446F4" w:rsidRPr="009446F4">
        <w:rPr>
          <w:rFonts w:ascii="Times New Roman" w:hAnsi="Times New Roman" w:cs="Times New Roman"/>
          <w:sz w:val="18"/>
          <w:szCs w:val="18"/>
        </w:rPr>
        <w:t>–</w:t>
      </w:r>
      <w:r w:rsidRPr="009446F4">
        <w:rPr>
          <w:rFonts w:ascii="Times New Roman" w:hAnsi="Times New Roman" w:cs="Times New Roman"/>
          <w:sz w:val="18"/>
          <w:szCs w:val="18"/>
        </w:rPr>
        <w:t xml:space="preserve"> </w:t>
      </w:r>
      <w:r w:rsidR="009446F4" w:rsidRPr="009446F4">
        <w:rPr>
          <w:rFonts w:ascii="Times New Roman" w:hAnsi="Times New Roman" w:cs="Times New Roman"/>
          <w:sz w:val="18"/>
          <w:szCs w:val="18"/>
        </w:rPr>
        <w:t xml:space="preserve">the </w:t>
      </w:r>
      <w:r w:rsidRPr="009446F4">
        <w:rPr>
          <w:rFonts w:ascii="Times New Roman" w:hAnsi="Times New Roman" w:cs="Times New Roman"/>
          <w:sz w:val="18"/>
          <w:szCs w:val="18"/>
        </w:rPr>
        <w:t xml:space="preserve">intersection of the regression line with the </w:t>
      </w:r>
      <w:r w:rsidRPr="009446F4">
        <w:rPr>
          <w:rFonts w:ascii="Times New Roman" w:hAnsi="Times New Roman" w:cs="Times New Roman"/>
          <w:i/>
          <w:sz w:val="18"/>
          <w:szCs w:val="18"/>
        </w:rPr>
        <w:t>Y</w:t>
      </w:r>
      <w:r w:rsidRPr="009446F4">
        <w:rPr>
          <w:rFonts w:ascii="Times New Roman" w:hAnsi="Times New Roman" w:cs="Times New Roman"/>
          <w:sz w:val="18"/>
          <w:szCs w:val="18"/>
        </w:rPr>
        <w:t xml:space="preserve"> axis, denoting the value of </w:t>
      </w:r>
      <w:r w:rsidRPr="009446F4">
        <w:rPr>
          <w:rFonts w:ascii="Times New Roman" w:hAnsi="Times New Roman" w:cs="Times New Roman"/>
          <w:i/>
          <w:sz w:val="18"/>
          <w:szCs w:val="18"/>
        </w:rPr>
        <w:t>Y</w:t>
      </w:r>
      <w:r w:rsidRPr="009446F4">
        <w:rPr>
          <w:rFonts w:ascii="Times New Roman" w:hAnsi="Times New Roman" w:cs="Times New Roman"/>
          <w:sz w:val="18"/>
          <w:szCs w:val="18"/>
        </w:rPr>
        <w:t xml:space="preserve">, when the values ​​of </w:t>
      </w:r>
      <w:r w:rsidRPr="009446F4">
        <w:rPr>
          <w:rFonts w:ascii="Times New Roman" w:hAnsi="Times New Roman" w:cs="Times New Roman"/>
          <w:i/>
          <w:sz w:val="18"/>
          <w:szCs w:val="18"/>
        </w:rPr>
        <w:t>X</w:t>
      </w:r>
      <w:r w:rsidRPr="009446F4">
        <w:rPr>
          <w:rFonts w:ascii="Times New Roman" w:hAnsi="Times New Roman" w:cs="Times New Roman"/>
          <w:sz w:val="18"/>
          <w:szCs w:val="18"/>
        </w:rPr>
        <w:t xml:space="preserve"> </w:t>
      </w:r>
      <w:r w:rsidR="009446F4" w:rsidRPr="009446F4">
        <w:rPr>
          <w:rFonts w:ascii="Times New Roman" w:hAnsi="Times New Roman" w:cs="Times New Roman"/>
          <w:sz w:val="18"/>
          <w:szCs w:val="18"/>
        </w:rPr>
        <w:t>are equal</w:t>
      </w:r>
      <w:r w:rsidRPr="009446F4">
        <w:rPr>
          <w:rFonts w:ascii="Times New Roman" w:hAnsi="Times New Roman" w:cs="Times New Roman"/>
          <w:sz w:val="18"/>
          <w:szCs w:val="18"/>
        </w:rPr>
        <w:t xml:space="preserve"> 0;</w:t>
      </w:r>
    </w:p>
    <w:p w:rsidR="00AB5129" w:rsidRPr="009446F4" w:rsidRDefault="00AB5129" w:rsidP="009446F4">
      <w:pPr>
        <w:spacing w:after="0" w:line="240" w:lineRule="auto"/>
        <w:jc w:val="both"/>
        <w:rPr>
          <w:rFonts w:ascii="Times New Roman" w:hAnsi="Times New Roman" w:cs="Times New Roman"/>
          <w:sz w:val="18"/>
          <w:szCs w:val="18"/>
        </w:rPr>
      </w:pPr>
      <w:r w:rsidRPr="009446F4">
        <w:rPr>
          <w:rFonts w:ascii="Times New Roman" w:hAnsi="Times New Roman" w:cs="Times New Roman"/>
          <w:i/>
          <w:sz w:val="18"/>
          <w:szCs w:val="18"/>
        </w:rPr>
        <w:t>β</w:t>
      </w:r>
      <w:r w:rsidRPr="009446F4">
        <w:rPr>
          <w:rFonts w:ascii="Times New Roman" w:hAnsi="Times New Roman" w:cs="Times New Roman"/>
          <w:i/>
          <w:sz w:val="18"/>
          <w:szCs w:val="18"/>
          <w:vertAlign w:val="subscript"/>
        </w:rPr>
        <w:t>1</w:t>
      </w:r>
      <w:r w:rsidRPr="009446F4">
        <w:rPr>
          <w:rFonts w:ascii="Times New Roman" w:hAnsi="Times New Roman" w:cs="Times New Roman"/>
          <w:i/>
          <w:sz w:val="18"/>
          <w:szCs w:val="18"/>
        </w:rPr>
        <w:t>FDI</w:t>
      </w:r>
      <w:r w:rsidRPr="009446F4">
        <w:rPr>
          <w:rFonts w:ascii="Times New Roman" w:hAnsi="Times New Roman" w:cs="Times New Roman"/>
          <w:sz w:val="18"/>
          <w:szCs w:val="18"/>
        </w:rPr>
        <w:t xml:space="preserve"> - FDI inflow to the host country;</w:t>
      </w:r>
    </w:p>
    <w:p w:rsidR="00AB5129" w:rsidRPr="009446F4" w:rsidRDefault="00AB5129" w:rsidP="009446F4">
      <w:pPr>
        <w:spacing w:after="0" w:line="240" w:lineRule="auto"/>
        <w:jc w:val="both"/>
        <w:rPr>
          <w:rFonts w:ascii="Times New Roman" w:hAnsi="Times New Roman" w:cs="Times New Roman"/>
          <w:sz w:val="18"/>
          <w:szCs w:val="18"/>
        </w:rPr>
      </w:pPr>
      <w:r w:rsidRPr="009446F4">
        <w:rPr>
          <w:rFonts w:ascii="Times New Roman" w:hAnsi="Times New Roman" w:cs="Times New Roman"/>
          <w:i/>
          <w:sz w:val="18"/>
          <w:szCs w:val="18"/>
        </w:rPr>
        <w:t>Β</w:t>
      </w:r>
      <w:r w:rsidRPr="009446F4">
        <w:rPr>
          <w:rFonts w:ascii="Times New Roman" w:hAnsi="Times New Roman" w:cs="Times New Roman"/>
          <w:i/>
          <w:sz w:val="18"/>
          <w:szCs w:val="18"/>
          <w:vertAlign w:val="subscript"/>
        </w:rPr>
        <w:t>2</w:t>
      </w:r>
      <w:r w:rsidRPr="009446F4">
        <w:rPr>
          <w:rFonts w:ascii="Times New Roman" w:hAnsi="Times New Roman" w:cs="Times New Roman"/>
          <w:i/>
          <w:sz w:val="18"/>
          <w:szCs w:val="18"/>
        </w:rPr>
        <w:t xml:space="preserve">INF </w:t>
      </w:r>
      <w:r w:rsidRPr="009446F4">
        <w:rPr>
          <w:rFonts w:ascii="Times New Roman" w:hAnsi="Times New Roman" w:cs="Times New Roman"/>
          <w:sz w:val="18"/>
          <w:szCs w:val="18"/>
        </w:rPr>
        <w:t>- inflation rate in Kazakhstan;</w:t>
      </w:r>
    </w:p>
    <w:p w:rsidR="00AB5129" w:rsidRPr="009446F4" w:rsidRDefault="00AB5129" w:rsidP="009446F4">
      <w:pPr>
        <w:spacing w:after="0" w:line="240" w:lineRule="auto"/>
        <w:jc w:val="both"/>
        <w:rPr>
          <w:rFonts w:ascii="Times New Roman" w:hAnsi="Times New Roman" w:cs="Times New Roman"/>
          <w:sz w:val="18"/>
          <w:szCs w:val="18"/>
        </w:rPr>
      </w:pPr>
      <w:r w:rsidRPr="009446F4">
        <w:rPr>
          <w:rFonts w:ascii="Times New Roman" w:hAnsi="Times New Roman" w:cs="Times New Roman"/>
          <w:i/>
          <w:sz w:val="18"/>
          <w:szCs w:val="18"/>
        </w:rPr>
        <w:t>e</w:t>
      </w:r>
      <w:r w:rsidRPr="009446F4">
        <w:rPr>
          <w:rFonts w:ascii="Times New Roman" w:hAnsi="Times New Roman" w:cs="Times New Roman"/>
          <w:sz w:val="18"/>
          <w:szCs w:val="18"/>
        </w:rPr>
        <w:t xml:space="preserve"> </w:t>
      </w:r>
      <w:r w:rsidR="00B85B44" w:rsidRPr="009446F4">
        <w:rPr>
          <w:rFonts w:ascii="Times New Roman" w:hAnsi="Times New Roman" w:cs="Times New Roman"/>
          <w:sz w:val="18"/>
          <w:szCs w:val="18"/>
        </w:rPr>
        <w:t>-</w:t>
      </w:r>
      <w:r w:rsidRPr="009446F4">
        <w:rPr>
          <w:rFonts w:ascii="Times New Roman" w:hAnsi="Times New Roman" w:cs="Times New Roman"/>
          <w:sz w:val="18"/>
          <w:szCs w:val="18"/>
        </w:rPr>
        <w:t xml:space="preserve"> </w:t>
      </w:r>
      <w:proofErr w:type="gramStart"/>
      <w:r w:rsidRPr="009446F4">
        <w:rPr>
          <w:rFonts w:ascii="Times New Roman" w:hAnsi="Times New Roman" w:cs="Times New Roman"/>
          <w:sz w:val="18"/>
          <w:szCs w:val="18"/>
        </w:rPr>
        <w:t>a</w:t>
      </w:r>
      <w:proofErr w:type="gramEnd"/>
      <w:r w:rsidRPr="009446F4">
        <w:rPr>
          <w:rFonts w:ascii="Times New Roman" w:hAnsi="Times New Roman" w:cs="Times New Roman"/>
          <w:sz w:val="18"/>
          <w:szCs w:val="18"/>
        </w:rPr>
        <w:t xml:space="preserve"> variable characterizing a random error.</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In the framework of this study, two hypotheses were put forward and tested </w:t>
      </w:r>
      <w:r w:rsidR="009446F4">
        <w:rPr>
          <w:rFonts w:ascii="Times New Roman" w:hAnsi="Times New Roman" w:cs="Times New Roman"/>
          <w:sz w:val="20"/>
          <w:szCs w:val="20"/>
        </w:rPr>
        <w:t>–</w:t>
      </w:r>
      <w:r w:rsidRPr="00AB5129">
        <w:rPr>
          <w:rFonts w:ascii="Times New Roman" w:hAnsi="Times New Roman" w:cs="Times New Roman"/>
          <w:sz w:val="20"/>
          <w:szCs w:val="20"/>
        </w:rPr>
        <w:t xml:space="preserve"> the effect or not the influence of FDI inflows on GDP growth in Kazakhstan. When modeling, statistical tests for significance were used. To test the variables at the significance level, a T</w:t>
      </w:r>
      <w:r w:rsidR="00A45D04">
        <w:rPr>
          <w:rFonts w:ascii="Times New Roman" w:hAnsi="Times New Roman" w:cs="Times New Roman"/>
          <w:sz w:val="20"/>
          <w:szCs w:val="20"/>
        </w:rPr>
        <w:t>-</w:t>
      </w:r>
      <w:r w:rsidRPr="00AB5129">
        <w:rPr>
          <w:rFonts w:ascii="Times New Roman" w:hAnsi="Times New Roman" w:cs="Times New Roman"/>
          <w:sz w:val="20"/>
          <w:szCs w:val="20"/>
        </w:rPr>
        <w:t xml:space="preserve">test, </w:t>
      </w:r>
      <w:r w:rsidR="00A45D04">
        <w:rPr>
          <w:rFonts w:ascii="Times New Roman" w:hAnsi="Times New Roman" w:cs="Times New Roman"/>
          <w:sz w:val="20"/>
          <w:szCs w:val="20"/>
        </w:rPr>
        <w:t>the</w:t>
      </w:r>
      <w:r w:rsidRPr="00AB5129">
        <w:rPr>
          <w:rFonts w:ascii="Times New Roman" w:hAnsi="Times New Roman" w:cs="Times New Roman"/>
          <w:sz w:val="20"/>
          <w:szCs w:val="20"/>
        </w:rPr>
        <w:t xml:space="preserve"> F</w:t>
      </w:r>
      <w:r w:rsidR="00A45D04">
        <w:rPr>
          <w:rFonts w:ascii="Times New Roman" w:hAnsi="Times New Roman" w:cs="Times New Roman"/>
          <w:sz w:val="20"/>
          <w:szCs w:val="20"/>
        </w:rPr>
        <w:t>-</w:t>
      </w:r>
      <w:r w:rsidRPr="00AB5129">
        <w:rPr>
          <w:rFonts w:ascii="Times New Roman" w:hAnsi="Times New Roman" w:cs="Times New Roman"/>
          <w:sz w:val="20"/>
          <w:szCs w:val="20"/>
        </w:rPr>
        <w:t xml:space="preserve">test, and </w:t>
      </w:r>
      <w:r w:rsidR="00A45D04">
        <w:rPr>
          <w:rFonts w:ascii="Times New Roman" w:hAnsi="Times New Roman" w:cs="Times New Roman"/>
          <w:sz w:val="20"/>
          <w:szCs w:val="20"/>
        </w:rPr>
        <w:t>the</w:t>
      </w:r>
      <w:r w:rsidRPr="00AB5129">
        <w:rPr>
          <w:rFonts w:ascii="Times New Roman" w:hAnsi="Times New Roman" w:cs="Times New Roman"/>
          <w:sz w:val="20"/>
          <w:szCs w:val="20"/>
        </w:rPr>
        <w:t xml:space="preserve"> D</w:t>
      </w:r>
      <w:r w:rsidR="00A45D04">
        <w:rPr>
          <w:rFonts w:ascii="Times New Roman" w:hAnsi="Times New Roman" w:cs="Times New Roman"/>
          <w:sz w:val="20"/>
          <w:szCs w:val="20"/>
        </w:rPr>
        <w:t>u</w:t>
      </w:r>
      <w:r w:rsidRPr="00AB5129">
        <w:rPr>
          <w:rFonts w:ascii="Times New Roman" w:hAnsi="Times New Roman" w:cs="Times New Roman"/>
          <w:sz w:val="20"/>
          <w:szCs w:val="20"/>
        </w:rPr>
        <w:t>rbin-Watson test were performed. To check the mutual influence of the variables, a vector inflation matrix was formed, which showed the absence of the multicollinearity problem between the variables included in the equation. To identify the strength of the relationship between the variables, a correlation matrix was compiled. In addition to the tests performed, the variables were checked using the Granger</w:t>
      </w:r>
      <w:r w:rsidR="00A45D04">
        <w:rPr>
          <w:rFonts w:ascii="Times New Roman" w:hAnsi="Times New Roman" w:cs="Times New Roman"/>
          <w:sz w:val="20"/>
          <w:szCs w:val="20"/>
        </w:rPr>
        <w:t xml:space="preserve"> causality</w:t>
      </w:r>
      <w:r w:rsidRPr="00AB5129">
        <w:rPr>
          <w:rFonts w:ascii="Times New Roman" w:hAnsi="Times New Roman" w:cs="Times New Roman"/>
          <w:sz w:val="20"/>
          <w:szCs w:val="20"/>
        </w:rPr>
        <w:t xml:space="preserve"> test, which can determine which variable changes cause fluctuations in other variables. In </w:t>
      </w:r>
      <w:r w:rsidR="00ED0AD7">
        <w:rPr>
          <w:rFonts w:ascii="Times New Roman" w:hAnsi="Times New Roman" w:cs="Times New Roman"/>
          <w:sz w:val="20"/>
          <w:szCs w:val="20"/>
        </w:rPr>
        <w:t>given</w:t>
      </w:r>
      <w:r w:rsidRPr="00AB5129">
        <w:rPr>
          <w:rFonts w:ascii="Times New Roman" w:hAnsi="Times New Roman" w:cs="Times New Roman"/>
          <w:sz w:val="20"/>
          <w:szCs w:val="20"/>
        </w:rPr>
        <w:t xml:space="preserve"> case, is a change in GDP the cause of an i</w:t>
      </w:r>
      <w:r w:rsidR="00ED0AD7">
        <w:rPr>
          <w:rFonts w:ascii="Times New Roman" w:hAnsi="Times New Roman" w:cs="Times New Roman"/>
          <w:sz w:val="20"/>
          <w:szCs w:val="20"/>
        </w:rPr>
        <w:t>ncrease or decrease in the inflows</w:t>
      </w:r>
      <w:r w:rsidRPr="00AB5129">
        <w:rPr>
          <w:rFonts w:ascii="Times New Roman" w:hAnsi="Times New Roman" w:cs="Times New Roman"/>
          <w:sz w:val="20"/>
          <w:szCs w:val="20"/>
        </w:rPr>
        <w:t xml:space="preserve"> of FDI into the economy of Kazakhstan, or vice versa, a change in FDI inflows leads to a change in GDP.</w:t>
      </w:r>
    </w:p>
    <w:p w:rsid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lastRenderedPageBreak/>
        <w:t>Thus, authors attempted to test the main hypothesis of this study to find out if there is any influence of FDI inflows on the economic growth of Kazakhstan. The resulting regression equation for Kazakhstan is as follows:</w:t>
      </w:r>
    </w:p>
    <w:p w:rsidR="00AB5129" w:rsidRDefault="00AB5129" w:rsidP="00F23E78">
      <w:pPr>
        <w:tabs>
          <w:tab w:val="left" w:pos="709"/>
        </w:tabs>
        <w:spacing w:after="0" w:line="240" w:lineRule="auto"/>
        <w:ind w:firstLine="284"/>
        <w:jc w:val="center"/>
        <w:rPr>
          <w:rFonts w:ascii="Times New Roman" w:eastAsia="Times New Roman" w:hAnsi="Times New Roman" w:cs="Times New Roman"/>
          <w:sz w:val="20"/>
          <w:szCs w:val="20"/>
        </w:rPr>
      </w:pPr>
      <m:oMath>
        <m:r>
          <w:rPr>
            <w:rFonts w:ascii="Cambria Math" w:eastAsia="Times New Roman" w:hAnsi="Cambria Math" w:cs="Times New Roman"/>
            <w:sz w:val="20"/>
            <w:szCs w:val="20"/>
            <w:lang w:val="ru-RU"/>
          </w:rPr>
          <m:t>LGDP</m:t>
        </m:r>
        <m:r>
          <w:rPr>
            <w:rFonts w:ascii="Cambria Math" w:eastAsia="Times New Roman" w:hAnsi="Cambria Math" w:cs="Times New Roman"/>
            <w:sz w:val="20"/>
            <w:szCs w:val="20"/>
          </w:rPr>
          <m:t>=-25.71+0.12∙</m:t>
        </m:r>
        <m:r>
          <w:rPr>
            <w:rFonts w:ascii="Cambria Math" w:eastAsia="Times New Roman" w:hAnsi="Cambria Math" w:cs="Times New Roman"/>
            <w:sz w:val="20"/>
            <w:szCs w:val="20"/>
            <w:lang w:val="ru-RU"/>
          </w:rPr>
          <m:t>LFDI</m:t>
        </m:r>
        <m:r>
          <w:rPr>
            <w:rFonts w:ascii="Cambria Math" w:eastAsia="Times New Roman" w:hAnsi="Cambria Math" w:cs="Times New Roman"/>
            <w:sz w:val="20"/>
            <w:szCs w:val="20"/>
          </w:rPr>
          <m:t>+0.00053∙</m:t>
        </m:r>
        <m:r>
          <w:rPr>
            <w:rFonts w:ascii="Cambria Math" w:eastAsia="Times New Roman" w:hAnsi="Cambria Math" w:cs="Times New Roman"/>
            <w:sz w:val="20"/>
            <w:szCs w:val="20"/>
            <w:lang w:val="ru-RU"/>
          </w:rPr>
          <m:t>INFLATION</m:t>
        </m:r>
      </m:oMath>
      <w:r w:rsidRPr="00AB5129">
        <w:rPr>
          <w:rFonts w:ascii="Times New Roman" w:eastAsia="Times New Roman" w:hAnsi="Times New Roman" w:cs="Times New Roman"/>
          <w:sz w:val="20"/>
          <w:szCs w:val="20"/>
        </w:rPr>
        <w:t xml:space="preserve">,                   </w:t>
      </w:r>
      <w:r w:rsidR="00ED0AD7">
        <w:rPr>
          <w:rFonts w:ascii="Times New Roman" w:eastAsia="Times New Roman" w:hAnsi="Times New Roman" w:cs="Times New Roman"/>
          <w:sz w:val="20"/>
          <w:szCs w:val="20"/>
        </w:rPr>
        <w:t xml:space="preserve">            </w:t>
      </w:r>
      <w:r w:rsidRPr="00AB5129">
        <w:rPr>
          <w:rFonts w:ascii="Times New Roman" w:eastAsia="Times New Roman" w:hAnsi="Times New Roman" w:cs="Times New Roman"/>
          <w:sz w:val="20"/>
          <w:szCs w:val="20"/>
        </w:rPr>
        <w:t xml:space="preserve">         (2)</w:t>
      </w:r>
    </w:p>
    <w:p w:rsidR="00AB5129" w:rsidRPr="00ED0AD7" w:rsidRDefault="00AB5129" w:rsidP="00ED0AD7">
      <w:pPr>
        <w:spacing w:after="0" w:line="240" w:lineRule="auto"/>
        <w:jc w:val="both"/>
        <w:rPr>
          <w:rFonts w:ascii="Times New Roman" w:hAnsi="Times New Roman" w:cs="Times New Roman"/>
          <w:sz w:val="18"/>
          <w:szCs w:val="18"/>
        </w:rPr>
      </w:pPr>
      <w:proofErr w:type="gramStart"/>
      <w:r w:rsidRPr="00ED0AD7">
        <w:rPr>
          <w:rFonts w:ascii="Times New Roman" w:hAnsi="Times New Roman" w:cs="Times New Roman"/>
          <w:sz w:val="18"/>
          <w:szCs w:val="18"/>
        </w:rPr>
        <w:t>where</w:t>
      </w:r>
      <w:proofErr w:type="gramEnd"/>
      <w:r w:rsidRPr="00ED0AD7">
        <w:rPr>
          <w:rFonts w:ascii="Times New Roman" w:hAnsi="Times New Roman" w:cs="Times New Roman"/>
          <w:sz w:val="18"/>
          <w:szCs w:val="18"/>
        </w:rPr>
        <w:t xml:space="preserve">: </w:t>
      </w:r>
      <w:r w:rsidRPr="00ED0AD7">
        <w:rPr>
          <w:rFonts w:ascii="Times New Roman" w:hAnsi="Times New Roman" w:cs="Times New Roman"/>
          <w:i/>
          <w:sz w:val="18"/>
          <w:szCs w:val="18"/>
        </w:rPr>
        <w:t>LGDP</w:t>
      </w:r>
      <w:r w:rsidRPr="00ED0AD7">
        <w:rPr>
          <w:rFonts w:ascii="Times New Roman" w:hAnsi="Times New Roman" w:cs="Times New Roman"/>
          <w:sz w:val="18"/>
          <w:szCs w:val="18"/>
        </w:rPr>
        <w:t xml:space="preserve"> </w:t>
      </w:r>
      <w:r w:rsidR="00ED0AD7" w:rsidRPr="00ED0AD7">
        <w:rPr>
          <w:rFonts w:ascii="Times New Roman" w:hAnsi="Times New Roman" w:cs="Times New Roman"/>
          <w:sz w:val="18"/>
          <w:szCs w:val="18"/>
        </w:rPr>
        <w:t xml:space="preserve">- </w:t>
      </w:r>
      <w:r w:rsidRPr="00ED0AD7">
        <w:rPr>
          <w:rFonts w:ascii="Times New Roman" w:hAnsi="Times New Roman" w:cs="Times New Roman"/>
          <w:sz w:val="18"/>
          <w:szCs w:val="18"/>
        </w:rPr>
        <w:t>the logarithm of GDP,</w:t>
      </w:r>
    </w:p>
    <w:p w:rsidR="00AB5129" w:rsidRPr="00ED0AD7" w:rsidRDefault="00AB5129" w:rsidP="00ED0AD7">
      <w:pPr>
        <w:spacing w:after="0" w:line="240" w:lineRule="auto"/>
        <w:jc w:val="both"/>
        <w:rPr>
          <w:rFonts w:ascii="Times New Roman" w:hAnsi="Times New Roman" w:cs="Times New Roman"/>
          <w:sz w:val="18"/>
          <w:szCs w:val="18"/>
        </w:rPr>
      </w:pPr>
      <w:r w:rsidRPr="00ED0AD7">
        <w:rPr>
          <w:rFonts w:ascii="Times New Roman" w:hAnsi="Times New Roman" w:cs="Times New Roman"/>
          <w:i/>
          <w:sz w:val="18"/>
          <w:szCs w:val="18"/>
        </w:rPr>
        <w:t>LFDI</w:t>
      </w:r>
      <w:r w:rsidRPr="00ED0AD7">
        <w:rPr>
          <w:rFonts w:ascii="Times New Roman" w:hAnsi="Times New Roman" w:cs="Times New Roman"/>
          <w:sz w:val="18"/>
          <w:szCs w:val="18"/>
        </w:rPr>
        <w:t xml:space="preserve"> </w:t>
      </w:r>
      <w:r w:rsidR="00ED0AD7" w:rsidRPr="00ED0AD7">
        <w:rPr>
          <w:rFonts w:ascii="Times New Roman" w:hAnsi="Times New Roman" w:cs="Times New Roman"/>
          <w:sz w:val="18"/>
          <w:szCs w:val="18"/>
        </w:rPr>
        <w:t>-</w:t>
      </w:r>
      <w:r w:rsidRPr="00ED0AD7">
        <w:rPr>
          <w:rFonts w:ascii="Times New Roman" w:hAnsi="Times New Roman" w:cs="Times New Roman"/>
          <w:sz w:val="18"/>
          <w:szCs w:val="18"/>
        </w:rPr>
        <w:t xml:space="preserve"> the logarithm of FDI,</w:t>
      </w:r>
    </w:p>
    <w:p w:rsidR="00AB5129" w:rsidRPr="00AB5129" w:rsidRDefault="00AB5129" w:rsidP="00ED0AD7">
      <w:pPr>
        <w:spacing w:after="0" w:line="240" w:lineRule="auto"/>
        <w:jc w:val="both"/>
        <w:rPr>
          <w:rFonts w:ascii="Times New Roman" w:hAnsi="Times New Roman" w:cs="Times New Roman"/>
          <w:sz w:val="20"/>
          <w:szCs w:val="20"/>
        </w:rPr>
      </w:pPr>
      <w:proofErr w:type="gramStart"/>
      <w:r w:rsidRPr="00ED0AD7">
        <w:rPr>
          <w:rFonts w:ascii="Times New Roman" w:hAnsi="Times New Roman" w:cs="Times New Roman"/>
          <w:i/>
          <w:sz w:val="18"/>
          <w:szCs w:val="18"/>
        </w:rPr>
        <w:t>INF</w:t>
      </w:r>
      <w:r w:rsidRPr="00ED0AD7">
        <w:rPr>
          <w:rFonts w:ascii="Times New Roman" w:hAnsi="Times New Roman" w:cs="Times New Roman"/>
          <w:sz w:val="18"/>
          <w:szCs w:val="18"/>
        </w:rPr>
        <w:t xml:space="preserve"> - </w:t>
      </w:r>
      <w:r w:rsidR="00ED0AD7" w:rsidRPr="00ED0AD7">
        <w:rPr>
          <w:rFonts w:ascii="Times New Roman" w:hAnsi="Times New Roman" w:cs="Times New Roman"/>
          <w:sz w:val="18"/>
          <w:szCs w:val="18"/>
        </w:rPr>
        <w:t xml:space="preserve">an </w:t>
      </w:r>
      <w:r w:rsidRPr="00ED0AD7">
        <w:rPr>
          <w:rFonts w:ascii="Times New Roman" w:hAnsi="Times New Roman" w:cs="Times New Roman"/>
          <w:sz w:val="18"/>
          <w:szCs w:val="18"/>
        </w:rPr>
        <w:t xml:space="preserve">inflation </w:t>
      </w:r>
      <w:r w:rsidR="00ED0AD7" w:rsidRPr="00ED0AD7">
        <w:rPr>
          <w:rFonts w:ascii="Times New Roman" w:hAnsi="Times New Roman" w:cs="Times New Roman"/>
          <w:sz w:val="18"/>
          <w:szCs w:val="18"/>
        </w:rPr>
        <w:t xml:space="preserve">rate </w:t>
      </w:r>
      <w:r w:rsidRPr="00ED0AD7">
        <w:rPr>
          <w:rFonts w:ascii="Times New Roman" w:hAnsi="Times New Roman" w:cs="Times New Roman"/>
          <w:sz w:val="18"/>
          <w:szCs w:val="18"/>
        </w:rPr>
        <w:t>without a log</w:t>
      </w:r>
      <w:r w:rsidR="00ED0AD7" w:rsidRPr="00ED0AD7">
        <w:rPr>
          <w:rFonts w:ascii="Times New Roman" w:hAnsi="Times New Roman" w:cs="Times New Roman"/>
          <w:sz w:val="18"/>
          <w:szCs w:val="18"/>
        </w:rPr>
        <w:t>arithm.</w:t>
      </w:r>
      <w:proofErr w:type="gramEnd"/>
      <w:r w:rsidR="00ED0AD7">
        <w:rPr>
          <w:rFonts w:ascii="Times New Roman" w:hAnsi="Times New Roman" w:cs="Times New Roman"/>
          <w:sz w:val="20"/>
          <w:szCs w:val="20"/>
        </w:rPr>
        <w:t xml:space="preserve"> </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Based on the results of the estimated regression, the determination coefficient turned out to be 0.7112, which means that 71.12% of the change in GDP</w:t>
      </w:r>
      <w:r w:rsidR="00ED0AD7">
        <w:rPr>
          <w:rFonts w:ascii="Times New Roman" w:hAnsi="Times New Roman" w:cs="Times New Roman"/>
          <w:sz w:val="20"/>
          <w:szCs w:val="20"/>
        </w:rPr>
        <w:t xml:space="preserve"> of Kazakhstan</w:t>
      </w:r>
      <w:r w:rsidRPr="00AB5129">
        <w:rPr>
          <w:rFonts w:ascii="Times New Roman" w:hAnsi="Times New Roman" w:cs="Times New Roman"/>
          <w:sz w:val="20"/>
          <w:szCs w:val="20"/>
        </w:rPr>
        <w:t xml:space="preserve"> is explained by FDI and inflation. According to the regression equation above, there</w:t>
      </w:r>
      <w:r w:rsidR="00ED0AD7">
        <w:rPr>
          <w:rFonts w:ascii="Times New Roman" w:hAnsi="Times New Roman" w:cs="Times New Roman"/>
          <w:sz w:val="20"/>
          <w:szCs w:val="20"/>
        </w:rPr>
        <w:t>’</w:t>
      </w:r>
      <w:r w:rsidRPr="00AB5129">
        <w:rPr>
          <w:rFonts w:ascii="Times New Roman" w:hAnsi="Times New Roman" w:cs="Times New Roman"/>
          <w:sz w:val="20"/>
          <w:szCs w:val="20"/>
        </w:rPr>
        <w:t xml:space="preserve">s no negative effect of FDI on GDP, however this positive effect is insignificant, the same is observed with inflation. Interpretation of the equation shows that an increase in FDI inflow by 1% will lead to an increase in GDP by 0.12%, ceteris paribus. As for inflation, an increase of its level by 1% will lead to an increase in GDP by 0.00053%, provided that the other variables are constant. Accordingly, </w:t>
      </w:r>
      <w:r w:rsidR="00ED0AD7">
        <w:rPr>
          <w:rFonts w:ascii="Times New Roman" w:hAnsi="Times New Roman" w:cs="Times New Roman"/>
          <w:sz w:val="20"/>
          <w:szCs w:val="20"/>
        </w:rPr>
        <w:t>authors</w:t>
      </w:r>
      <w:r w:rsidRPr="00AB5129">
        <w:rPr>
          <w:rFonts w:ascii="Times New Roman" w:hAnsi="Times New Roman" w:cs="Times New Roman"/>
          <w:sz w:val="20"/>
          <w:szCs w:val="20"/>
        </w:rPr>
        <w:t xml:space="preserve"> can say that between the infl</w:t>
      </w:r>
      <w:r w:rsidR="00ED0AD7">
        <w:rPr>
          <w:rFonts w:ascii="Times New Roman" w:hAnsi="Times New Roman" w:cs="Times New Roman"/>
          <w:sz w:val="20"/>
          <w:szCs w:val="20"/>
        </w:rPr>
        <w:t>ows</w:t>
      </w:r>
      <w:r w:rsidRPr="00AB5129">
        <w:rPr>
          <w:rFonts w:ascii="Times New Roman" w:hAnsi="Times New Roman" w:cs="Times New Roman"/>
          <w:sz w:val="20"/>
          <w:szCs w:val="20"/>
        </w:rPr>
        <w:t xml:space="preserve"> of FDI and GDP growth in Kazakhstan, as well as between inflation and GDP ther</w:t>
      </w:r>
      <w:r w:rsidR="00ED0AD7">
        <w:rPr>
          <w:rFonts w:ascii="Times New Roman" w:hAnsi="Times New Roman" w:cs="Times New Roman"/>
          <w:sz w:val="20"/>
          <w:szCs w:val="20"/>
        </w:rPr>
        <w:t>e’</w:t>
      </w:r>
      <w:r w:rsidRPr="00AB5129">
        <w:rPr>
          <w:rFonts w:ascii="Times New Roman" w:hAnsi="Times New Roman" w:cs="Times New Roman"/>
          <w:sz w:val="20"/>
          <w:szCs w:val="20"/>
        </w:rPr>
        <w:t>s no significant connection for the period under review. In other words, according to the preliminary results of the model, neither the infl</w:t>
      </w:r>
      <w:r w:rsidR="00ED0AD7">
        <w:rPr>
          <w:rFonts w:ascii="Times New Roman" w:hAnsi="Times New Roman" w:cs="Times New Roman"/>
          <w:sz w:val="20"/>
          <w:szCs w:val="20"/>
        </w:rPr>
        <w:t>ows</w:t>
      </w:r>
      <w:r w:rsidRPr="00AB5129">
        <w:rPr>
          <w:rFonts w:ascii="Times New Roman" w:hAnsi="Times New Roman" w:cs="Times New Roman"/>
          <w:sz w:val="20"/>
          <w:szCs w:val="20"/>
        </w:rPr>
        <w:t xml:space="preserve"> of FDI into the country, nor the increase in prices have a significant impact on the growth of Kazakhstan's GDP.</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Further, authors continued testing hypotheses using the T-test and F-test, to confirm or refute the previously obtained results. The results of the T-test (T-stat) showed that the T-stat for LFDI and INF, which are equal to 0.5268 and 1.4089, respectively, is lower than the critical value of T (2.8784) at a significance level of 1%. Thus, the T-test confirmed that the LFDI and INF coefficients are not significant with a confidence of 99%. The F-test also determined that the F-statistic for GDP (14.7789) exceeds the critical tabular value F (5.0919) at a significance level of 1%. This was confirmed by the fact that the coefficients explaining the effects of FDI and inflation aren</w:t>
      </w:r>
      <w:r w:rsidR="00FC3301">
        <w:rPr>
          <w:rFonts w:ascii="Times New Roman" w:hAnsi="Times New Roman" w:cs="Times New Roman"/>
          <w:sz w:val="20"/>
          <w:szCs w:val="20"/>
        </w:rPr>
        <w:t>’</w:t>
      </w:r>
      <w:r w:rsidRPr="00AB5129">
        <w:rPr>
          <w:rFonts w:ascii="Times New Roman" w:hAnsi="Times New Roman" w:cs="Times New Roman"/>
          <w:sz w:val="20"/>
          <w:szCs w:val="20"/>
        </w:rPr>
        <w:t xml:space="preserve">t zero, and GDP is very high in </w:t>
      </w:r>
      <w:r w:rsidR="00FC3301" w:rsidRPr="00AB5129">
        <w:rPr>
          <w:rFonts w:ascii="Times New Roman" w:hAnsi="Times New Roman" w:cs="Times New Roman"/>
          <w:sz w:val="20"/>
          <w:szCs w:val="20"/>
        </w:rPr>
        <w:t>99%</w:t>
      </w:r>
      <w:r w:rsidR="00FC3301">
        <w:rPr>
          <w:rFonts w:ascii="Times New Roman" w:hAnsi="Times New Roman" w:cs="Times New Roman"/>
          <w:sz w:val="20"/>
          <w:szCs w:val="20"/>
        </w:rPr>
        <w:t xml:space="preserve"> </w:t>
      </w:r>
      <w:r w:rsidRPr="00AB5129">
        <w:rPr>
          <w:rFonts w:ascii="Times New Roman" w:hAnsi="Times New Roman" w:cs="Times New Roman"/>
          <w:sz w:val="20"/>
          <w:szCs w:val="20"/>
        </w:rPr>
        <w:t>significance range.</w:t>
      </w:r>
      <w:r w:rsidR="00FC3301">
        <w:rPr>
          <w:rFonts w:ascii="Times New Roman" w:hAnsi="Times New Roman" w:cs="Times New Roman"/>
          <w:sz w:val="20"/>
          <w:szCs w:val="20"/>
        </w:rPr>
        <w:t xml:space="preserve"> </w:t>
      </w:r>
      <w:r w:rsidRPr="00AB5129">
        <w:rPr>
          <w:rFonts w:ascii="Times New Roman" w:hAnsi="Times New Roman" w:cs="Times New Roman"/>
          <w:sz w:val="20"/>
          <w:szCs w:val="20"/>
        </w:rPr>
        <w:t>Verification using the D</w:t>
      </w:r>
      <w:r w:rsidR="00021CA9">
        <w:rPr>
          <w:rFonts w:ascii="Times New Roman" w:hAnsi="Times New Roman" w:cs="Times New Roman"/>
          <w:sz w:val="20"/>
          <w:szCs w:val="20"/>
        </w:rPr>
        <w:t>u</w:t>
      </w:r>
      <w:r w:rsidRPr="00AB5129">
        <w:rPr>
          <w:rFonts w:ascii="Times New Roman" w:hAnsi="Times New Roman" w:cs="Times New Roman"/>
          <w:sz w:val="20"/>
          <w:szCs w:val="20"/>
        </w:rPr>
        <w:t>rbin-Watson test revealed ambiguous autocorrelation for GDP for the period under review. Analysis of the correlation matrix showed a weak positive correlation between LGDP and LFDI, while a moderate negative correlation exists between LGDP and INF. Analysis of the vector inflation matrix didn</w:t>
      </w:r>
      <w:r w:rsidR="00FC3301">
        <w:rPr>
          <w:rFonts w:ascii="Times New Roman" w:hAnsi="Times New Roman" w:cs="Times New Roman"/>
          <w:sz w:val="20"/>
          <w:szCs w:val="20"/>
        </w:rPr>
        <w:t>’</w:t>
      </w:r>
      <w:r w:rsidRPr="00AB5129">
        <w:rPr>
          <w:rFonts w:ascii="Times New Roman" w:hAnsi="Times New Roman" w:cs="Times New Roman"/>
          <w:sz w:val="20"/>
          <w:szCs w:val="20"/>
        </w:rPr>
        <w:t>t reveal multicollinearity problems. Finally, authors tested unit roots in order to check whether the variables are constant or not, and also to verify the validity of the resulting regression. This was done in order to prove that the time series doesn</w:t>
      </w:r>
      <w:r w:rsidR="00FC3301">
        <w:rPr>
          <w:rFonts w:ascii="Times New Roman" w:hAnsi="Times New Roman" w:cs="Times New Roman"/>
          <w:sz w:val="20"/>
          <w:szCs w:val="20"/>
        </w:rPr>
        <w:t>’</w:t>
      </w:r>
      <w:r w:rsidRPr="00AB5129">
        <w:rPr>
          <w:rFonts w:ascii="Times New Roman" w:hAnsi="Times New Roman" w:cs="Times New Roman"/>
          <w:sz w:val="20"/>
          <w:szCs w:val="20"/>
        </w:rPr>
        <w:t>t affect the results of the regression, and that the analysis doesn</w:t>
      </w:r>
      <w:r w:rsidR="00FC3301">
        <w:rPr>
          <w:rFonts w:ascii="Times New Roman" w:hAnsi="Times New Roman" w:cs="Times New Roman"/>
          <w:sz w:val="20"/>
          <w:szCs w:val="20"/>
        </w:rPr>
        <w:t>’</w:t>
      </w:r>
      <w:r w:rsidRPr="00AB5129">
        <w:rPr>
          <w:rFonts w:ascii="Times New Roman" w:hAnsi="Times New Roman" w:cs="Times New Roman"/>
          <w:sz w:val="20"/>
          <w:szCs w:val="20"/>
        </w:rPr>
        <w:t xml:space="preserve">t have the influence of the time factor. </w:t>
      </w:r>
      <w:r w:rsidR="00FC3301">
        <w:rPr>
          <w:rFonts w:ascii="Times New Roman" w:hAnsi="Times New Roman" w:cs="Times New Roman"/>
          <w:sz w:val="20"/>
          <w:szCs w:val="20"/>
        </w:rPr>
        <w:t xml:space="preserve">As a result, </w:t>
      </w:r>
      <w:r w:rsidRPr="00AB5129">
        <w:rPr>
          <w:rFonts w:ascii="Times New Roman" w:hAnsi="Times New Roman" w:cs="Times New Roman"/>
          <w:sz w:val="20"/>
          <w:szCs w:val="20"/>
        </w:rPr>
        <w:t>analysis showed that GDP, FDI and inflation are stationary for this model and don</w:t>
      </w:r>
      <w:r w:rsidR="00FC3301">
        <w:rPr>
          <w:rFonts w:ascii="Times New Roman" w:hAnsi="Times New Roman" w:cs="Times New Roman"/>
          <w:sz w:val="20"/>
          <w:szCs w:val="20"/>
        </w:rPr>
        <w:t>’</w:t>
      </w:r>
      <w:r w:rsidRPr="00AB5129">
        <w:rPr>
          <w:rFonts w:ascii="Times New Roman" w:hAnsi="Times New Roman" w:cs="Times New Roman"/>
          <w:sz w:val="20"/>
          <w:szCs w:val="20"/>
        </w:rPr>
        <w:t>t have a single root.</w:t>
      </w:r>
      <w:r w:rsidR="00FC3301">
        <w:rPr>
          <w:rFonts w:ascii="Times New Roman" w:hAnsi="Times New Roman" w:cs="Times New Roman"/>
          <w:sz w:val="20"/>
          <w:szCs w:val="20"/>
        </w:rPr>
        <w:t xml:space="preserve"> </w:t>
      </w:r>
      <w:r w:rsidRPr="00AB5129">
        <w:rPr>
          <w:rFonts w:ascii="Times New Roman" w:hAnsi="Times New Roman" w:cs="Times New Roman"/>
          <w:sz w:val="20"/>
          <w:szCs w:val="20"/>
        </w:rPr>
        <w:t>Granger's causality test was conducted to determine the causal relationship between the regression variables. The analysis showed that the FDI variable is not the cause of the GDP variable at a 5% significance level, i.e. in 95% of cases. Inflation also doesn</w:t>
      </w:r>
      <w:r w:rsidR="00FC3301">
        <w:rPr>
          <w:rFonts w:ascii="Times New Roman" w:hAnsi="Times New Roman" w:cs="Times New Roman"/>
          <w:sz w:val="20"/>
          <w:szCs w:val="20"/>
        </w:rPr>
        <w:t>’</w:t>
      </w:r>
      <w:r w:rsidRPr="00AB5129">
        <w:rPr>
          <w:rFonts w:ascii="Times New Roman" w:hAnsi="Times New Roman" w:cs="Times New Roman"/>
          <w:sz w:val="20"/>
          <w:szCs w:val="20"/>
        </w:rPr>
        <w:t>t cause a change in GDP, and vice versa. However, there is a unidirectional causal relationship and long-term relationships between FDI variables and inflation, which allows the authors to believe that trends in FDI inflows into the country can be used to predict inflation in Kazakhstan.</w:t>
      </w:r>
    </w:p>
    <w:p w:rsidR="00AB5129" w:rsidRPr="0029112A" w:rsidRDefault="0029112A" w:rsidP="0029112A">
      <w:pPr>
        <w:spacing w:before="120" w:after="60" w:line="240" w:lineRule="auto"/>
        <w:jc w:val="both"/>
        <w:rPr>
          <w:rFonts w:ascii="Arial" w:hAnsi="Arial" w:cs="Arial"/>
          <w:b/>
          <w:sz w:val="24"/>
          <w:szCs w:val="24"/>
        </w:rPr>
      </w:pPr>
      <w:r w:rsidRPr="00CA2365">
        <w:rPr>
          <w:rFonts w:ascii="Arial" w:hAnsi="Arial" w:cs="Arial"/>
          <w:b/>
          <w:sz w:val="24"/>
          <w:szCs w:val="24"/>
        </w:rPr>
        <w:t xml:space="preserve">5 </w:t>
      </w:r>
      <w:proofErr w:type="gramStart"/>
      <w:r w:rsidR="00AB5129" w:rsidRPr="0029112A">
        <w:rPr>
          <w:rFonts w:ascii="Arial" w:hAnsi="Arial" w:cs="Arial"/>
          <w:b/>
          <w:sz w:val="24"/>
          <w:szCs w:val="24"/>
        </w:rPr>
        <w:t>Conclusion</w:t>
      </w:r>
      <w:proofErr w:type="gramEnd"/>
    </w:p>
    <w:p w:rsidR="00AB5129" w:rsidRPr="00AB5129" w:rsidRDefault="00AB5129" w:rsidP="0029112A">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In this work, </w:t>
      </w:r>
      <w:r w:rsidR="00CA2365">
        <w:rPr>
          <w:rFonts w:ascii="Times New Roman" w:hAnsi="Times New Roman" w:cs="Times New Roman"/>
          <w:sz w:val="20"/>
          <w:szCs w:val="20"/>
        </w:rPr>
        <w:t>authors study</w:t>
      </w:r>
      <w:r w:rsidRPr="00AB5129">
        <w:rPr>
          <w:rFonts w:ascii="Times New Roman" w:hAnsi="Times New Roman" w:cs="Times New Roman"/>
          <w:sz w:val="20"/>
          <w:szCs w:val="20"/>
        </w:rPr>
        <w:t xml:space="preserve"> the impact of FDI on the economic growth of Kazakhstan using annual data for the period from 2000 to 2017. </w:t>
      </w:r>
      <w:r w:rsidR="00CA2365">
        <w:rPr>
          <w:rFonts w:ascii="Times New Roman" w:hAnsi="Times New Roman" w:cs="Times New Roman"/>
          <w:sz w:val="20"/>
          <w:szCs w:val="20"/>
        </w:rPr>
        <w:t>A</w:t>
      </w:r>
      <w:r w:rsidRPr="00AB5129">
        <w:rPr>
          <w:rFonts w:ascii="Times New Roman" w:hAnsi="Times New Roman" w:cs="Times New Roman"/>
          <w:sz w:val="20"/>
          <w:szCs w:val="20"/>
        </w:rPr>
        <w:t>uthors came to the following conclusions:</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Firstly, as a result of modeling the influence of FDI inflows on GDP growth in Kazakhstan, authors obtained the multiple regression equation, which didn</w:t>
      </w:r>
      <w:r w:rsidR="00CA2365">
        <w:rPr>
          <w:rFonts w:ascii="Times New Roman" w:hAnsi="Times New Roman" w:cs="Times New Roman"/>
          <w:sz w:val="20"/>
          <w:szCs w:val="20"/>
        </w:rPr>
        <w:t>’</w:t>
      </w:r>
      <w:r w:rsidRPr="00AB5129">
        <w:rPr>
          <w:rFonts w:ascii="Times New Roman" w:hAnsi="Times New Roman" w:cs="Times New Roman"/>
          <w:sz w:val="20"/>
          <w:szCs w:val="20"/>
        </w:rPr>
        <w:t>t reveal the negative impact of FDI on economic growth in the country.</w:t>
      </w:r>
    </w:p>
    <w:p w:rsidR="00AB5129" w:rsidRPr="00AB5129" w:rsidRDefault="00AB5129" w:rsidP="00FF5D86">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Secondly, there is a positive but insignificant relationship between FDI and their impact on Kazakhstan's economic growth. The T-test and F-test confirmed the insignificance of the </w:t>
      </w:r>
      <w:r w:rsidRPr="00AB5129">
        <w:rPr>
          <w:rFonts w:ascii="Times New Roman" w:hAnsi="Times New Roman" w:cs="Times New Roman"/>
          <w:sz w:val="20"/>
          <w:szCs w:val="20"/>
        </w:rPr>
        <w:lastRenderedPageBreak/>
        <w:t xml:space="preserve">connection, while all the variables were tested for the absence of autocorrelation between them and </w:t>
      </w:r>
      <w:r w:rsidR="00CA2365" w:rsidRPr="00AB5129">
        <w:rPr>
          <w:rFonts w:ascii="Times New Roman" w:hAnsi="Times New Roman" w:cs="Times New Roman"/>
          <w:sz w:val="20"/>
          <w:szCs w:val="20"/>
        </w:rPr>
        <w:t>multicollinearity;</w:t>
      </w:r>
      <w:r w:rsidRPr="00AB5129">
        <w:rPr>
          <w:rFonts w:ascii="Times New Roman" w:hAnsi="Times New Roman" w:cs="Times New Roman"/>
          <w:sz w:val="20"/>
          <w:szCs w:val="20"/>
        </w:rPr>
        <w:t xml:space="preserve"> it was also proved that there is no causal relationship between FDI and GDP of Kazakhstan. Consequently, the impact of FDI remains unclear, since the study revealed that there was no significant relati</w:t>
      </w:r>
      <w:r w:rsidR="00FF5D86">
        <w:rPr>
          <w:rFonts w:ascii="Times New Roman" w:hAnsi="Times New Roman" w:cs="Times New Roman"/>
          <w:sz w:val="20"/>
          <w:szCs w:val="20"/>
        </w:rPr>
        <w:t xml:space="preserve">onship between them. </w:t>
      </w:r>
      <w:r w:rsidRPr="00AB5129">
        <w:rPr>
          <w:rFonts w:ascii="Times New Roman" w:hAnsi="Times New Roman" w:cs="Times New Roman"/>
          <w:sz w:val="20"/>
          <w:szCs w:val="20"/>
        </w:rPr>
        <w:t>An analysis of theories of the impact of FDI on economic development has shown that FDI generates growth in the country through other sectors of the economy, such as education or research and development. Consequently, the authors' inability to use these variables in this article may have given some limitations to determine the true impact of FDI on economic growth in Kazakhstan.</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Thirdly, authors believe that one of the possible reasons for the non-importance of FDI in Kazakhstan may be a problem associated with the lack of technological advances to the </w:t>
      </w:r>
      <w:r w:rsidR="00FF5D86">
        <w:rPr>
          <w:rFonts w:ascii="Times New Roman" w:hAnsi="Times New Roman" w:cs="Times New Roman"/>
          <w:sz w:val="20"/>
          <w:szCs w:val="20"/>
        </w:rPr>
        <w:t>country</w:t>
      </w:r>
      <w:r w:rsidRPr="00AB5129">
        <w:rPr>
          <w:rFonts w:ascii="Times New Roman" w:hAnsi="Times New Roman" w:cs="Times New Roman"/>
          <w:sz w:val="20"/>
          <w:szCs w:val="20"/>
        </w:rPr>
        <w:t xml:space="preserve">. In this regard, authors for future research recommend including important variables such as R&amp;D and education level, because, based on the theory of FDI growth, this may be important for determining the role of FDI in the </w:t>
      </w:r>
      <w:r w:rsidR="00FF5D86">
        <w:rPr>
          <w:rFonts w:ascii="Times New Roman" w:hAnsi="Times New Roman" w:cs="Times New Roman"/>
          <w:sz w:val="20"/>
          <w:szCs w:val="20"/>
        </w:rPr>
        <w:t xml:space="preserve">economic </w:t>
      </w:r>
      <w:r w:rsidRPr="00AB5129">
        <w:rPr>
          <w:rFonts w:ascii="Times New Roman" w:hAnsi="Times New Roman" w:cs="Times New Roman"/>
          <w:sz w:val="20"/>
          <w:szCs w:val="20"/>
        </w:rPr>
        <w:t>growth.</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Fourth, authors believe that the inclusion of a larger time series and the </w:t>
      </w:r>
      <w:r w:rsidR="00FF5D86">
        <w:rPr>
          <w:rFonts w:ascii="Times New Roman" w:hAnsi="Times New Roman" w:cs="Times New Roman"/>
          <w:sz w:val="20"/>
          <w:szCs w:val="20"/>
        </w:rPr>
        <w:t xml:space="preserve">most </w:t>
      </w:r>
      <w:r w:rsidRPr="00AB5129">
        <w:rPr>
          <w:rFonts w:ascii="Times New Roman" w:hAnsi="Times New Roman" w:cs="Times New Roman"/>
          <w:sz w:val="20"/>
          <w:szCs w:val="20"/>
        </w:rPr>
        <w:t>number of variables in the study would provide different results of the influence of FDI on the growth of the national economy. The limitation for modeling was the inaccessibility of data until 1991, due to the republic gaining independence only this year.</w:t>
      </w:r>
    </w:p>
    <w:p w:rsidR="00AB5129" w:rsidRPr="00AB5129" w:rsidRDefault="00AB5129" w:rsidP="00F23E78">
      <w:pPr>
        <w:spacing w:after="0" w:line="240" w:lineRule="auto"/>
        <w:ind w:firstLine="284"/>
        <w:jc w:val="both"/>
        <w:rPr>
          <w:rFonts w:ascii="Times New Roman" w:hAnsi="Times New Roman" w:cs="Times New Roman"/>
          <w:sz w:val="20"/>
          <w:szCs w:val="20"/>
        </w:rPr>
      </w:pPr>
      <w:r w:rsidRPr="00AB5129">
        <w:rPr>
          <w:rFonts w:ascii="Times New Roman" w:hAnsi="Times New Roman" w:cs="Times New Roman"/>
          <w:sz w:val="20"/>
          <w:szCs w:val="20"/>
        </w:rPr>
        <w:t xml:space="preserve">Thus, an analysis of foreign experience has shown that in many developing countries there has been a positive impact on economic growth, however, it is important to remember that this influence is long-term and causes various side effects that may be ambiguous for the host country. Ultimately, it will all depend on how the </w:t>
      </w:r>
      <w:r w:rsidR="00FF5D86" w:rsidRPr="00FF5D86">
        <w:rPr>
          <w:rFonts w:ascii="Times New Roman" w:hAnsi="Times New Roman" w:cs="Times New Roman"/>
          <w:sz w:val="20"/>
          <w:szCs w:val="20"/>
        </w:rPr>
        <w:t xml:space="preserve">regulatory authorities </w:t>
      </w:r>
      <w:r w:rsidRPr="00AB5129">
        <w:rPr>
          <w:rFonts w:ascii="Times New Roman" w:hAnsi="Times New Roman" w:cs="Times New Roman"/>
          <w:sz w:val="20"/>
          <w:szCs w:val="20"/>
        </w:rPr>
        <w:t>for attracting FDI to Kazakhstan follow national interests, how developed the institutional environment and legal support is for the mechanism for attracting and regulating FDI inflows, what is the state of the investment climate</w:t>
      </w:r>
      <w:r w:rsidR="00FF5D86">
        <w:rPr>
          <w:rFonts w:ascii="Times New Roman" w:hAnsi="Times New Roman" w:cs="Times New Roman"/>
          <w:sz w:val="20"/>
          <w:szCs w:val="20"/>
        </w:rPr>
        <w:t xml:space="preserve"> in Kazakhstan</w:t>
      </w:r>
      <w:r w:rsidRPr="00AB5129">
        <w:rPr>
          <w:rFonts w:ascii="Times New Roman" w:hAnsi="Times New Roman" w:cs="Times New Roman"/>
          <w:sz w:val="20"/>
          <w:szCs w:val="20"/>
        </w:rPr>
        <w:t>, the country's position in Doing Business ra</w:t>
      </w:r>
      <w:r w:rsidR="00FF5D86">
        <w:rPr>
          <w:rFonts w:ascii="Times New Roman" w:hAnsi="Times New Roman" w:cs="Times New Roman"/>
          <w:sz w:val="20"/>
          <w:szCs w:val="20"/>
        </w:rPr>
        <w:t>nki</w:t>
      </w:r>
      <w:r w:rsidRPr="00AB5129">
        <w:rPr>
          <w:rFonts w:ascii="Times New Roman" w:hAnsi="Times New Roman" w:cs="Times New Roman"/>
          <w:sz w:val="20"/>
          <w:szCs w:val="20"/>
        </w:rPr>
        <w:t xml:space="preserve">ng, etc. </w:t>
      </w:r>
      <w:r w:rsidR="00FF5D86">
        <w:rPr>
          <w:rFonts w:ascii="Times New Roman" w:hAnsi="Times New Roman" w:cs="Times New Roman"/>
          <w:sz w:val="20"/>
          <w:szCs w:val="20"/>
        </w:rPr>
        <w:t>N</w:t>
      </w:r>
      <w:r w:rsidRPr="00AB5129">
        <w:rPr>
          <w:rFonts w:ascii="Times New Roman" w:hAnsi="Times New Roman" w:cs="Times New Roman"/>
          <w:sz w:val="20"/>
          <w:szCs w:val="20"/>
        </w:rPr>
        <w:t xml:space="preserve">evertheless, the country's </w:t>
      </w:r>
      <w:r w:rsidR="00FF5D86" w:rsidRPr="00AB5129">
        <w:rPr>
          <w:rFonts w:ascii="Times New Roman" w:hAnsi="Times New Roman" w:cs="Times New Roman"/>
          <w:sz w:val="20"/>
          <w:szCs w:val="20"/>
        </w:rPr>
        <w:t>government is focused on attracting direct investors to the country and creates</w:t>
      </w:r>
      <w:r w:rsidRPr="00AB5129">
        <w:rPr>
          <w:rFonts w:ascii="Times New Roman" w:hAnsi="Times New Roman" w:cs="Times New Roman"/>
          <w:sz w:val="20"/>
          <w:szCs w:val="20"/>
        </w:rPr>
        <w:t xml:space="preserve"> all the conditions for this.</w:t>
      </w:r>
    </w:p>
    <w:p w:rsidR="00AB5129" w:rsidRPr="0029112A" w:rsidRDefault="00AB5129" w:rsidP="0029112A">
      <w:pPr>
        <w:spacing w:before="120" w:after="60" w:line="240" w:lineRule="auto"/>
        <w:jc w:val="both"/>
        <w:rPr>
          <w:rFonts w:ascii="Arial" w:hAnsi="Arial" w:cs="Arial"/>
          <w:b/>
          <w:sz w:val="24"/>
          <w:szCs w:val="24"/>
        </w:rPr>
      </w:pPr>
      <w:r w:rsidRPr="0029112A">
        <w:rPr>
          <w:rFonts w:ascii="Arial" w:hAnsi="Arial" w:cs="Arial"/>
          <w:b/>
          <w:sz w:val="24"/>
          <w:szCs w:val="24"/>
        </w:rPr>
        <w:t>References</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 </w:t>
      </w:r>
      <w:r w:rsidR="005A5BE3" w:rsidRPr="00AB5129">
        <w:rPr>
          <w:rFonts w:ascii="Times New Roman" w:hAnsi="Times New Roman" w:cs="Times New Roman"/>
          <w:sz w:val="20"/>
          <w:szCs w:val="20"/>
        </w:rPr>
        <w:t>P.</w:t>
      </w:r>
      <w:r w:rsidR="005A5BE3">
        <w:rPr>
          <w:rFonts w:ascii="Times New Roman" w:hAnsi="Times New Roman" w:cs="Times New Roman"/>
          <w:sz w:val="20"/>
          <w:szCs w:val="20"/>
        </w:rPr>
        <w:t xml:space="preserve"> </w:t>
      </w:r>
      <w:r w:rsidRPr="00AB5129">
        <w:rPr>
          <w:rFonts w:ascii="Times New Roman" w:hAnsi="Times New Roman" w:cs="Times New Roman"/>
          <w:sz w:val="20"/>
          <w:szCs w:val="20"/>
        </w:rPr>
        <w:t>Samuelson</w:t>
      </w:r>
      <w:r w:rsidR="005A5BE3">
        <w:rPr>
          <w:rFonts w:ascii="Times New Roman" w:hAnsi="Times New Roman" w:cs="Times New Roman"/>
          <w:sz w:val="20"/>
          <w:szCs w:val="20"/>
        </w:rPr>
        <w:t>,</w:t>
      </w:r>
      <w:r w:rsidRPr="00AB5129">
        <w:rPr>
          <w:rFonts w:ascii="Times New Roman" w:hAnsi="Times New Roman" w:cs="Times New Roman"/>
          <w:sz w:val="20"/>
          <w:szCs w:val="20"/>
        </w:rPr>
        <w:t xml:space="preserve"> </w:t>
      </w:r>
      <w:r w:rsidRPr="005A5BE3">
        <w:rPr>
          <w:rFonts w:ascii="Times New Roman" w:hAnsi="Times New Roman" w:cs="Times New Roman"/>
          <w:b/>
          <w:sz w:val="20"/>
          <w:szCs w:val="20"/>
        </w:rPr>
        <w:t>1</w:t>
      </w:r>
      <w:r w:rsidR="005A5BE3">
        <w:rPr>
          <w:rFonts w:ascii="Times New Roman" w:hAnsi="Times New Roman" w:cs="Times New Roman"/>
          <w:b/>
          <w:sz w:val="20"/>
          <w:szCs w:val="20"/>
        </w:rPr>
        <w:t>,</w:t>
      </w:r>
      <w:r w:rsidRPr="00AB5129">
        <w:rPr>
          <w:rFonts w:ascii="Times New Roman" w:hAnsi="Times New Roman" w:cs="Times New Roman"/>
          <w:sz w:val="20"/>
          <w:szCs w:val="20"/>
        </w:rPr>
        <w:t xml:space="preserve"> </w:t>
      </w:r>
      <w:r w:rsidR="005A5BE3">
        <w:rPr>
          <w:rFonts w:ascii="Times New Roman" w:hAnsi="Times New Roman" w:cs="Times New Roman"/>
          <w:sz w:val="20"/>
          <w:szCs w:val="20"/>
        </w:rPr>
        <w:t>224</w:t>
      </w:r>
      <w:r w:rsidR="005A5BE3" w:rsidRPr="005A5BE3">
        <w:rPr>
          <w:rFonts w:ascii="Times New Roman" w:hAnsi="Times New Roman" w:cs="Times New Roman"/>
          <w:sz w:val="20"/>
          <w:szCs w:val="20"/>
        </w:rPr>
        <w:t xml:space="preserve"> </w:t>
      </w:r>
      <w:r w:rsidR="005A5BE3">
        <w:rPr>
          <w:rFonts w:ascii="Times New Roman" w:hAnsi="Times New Roman" w:cs="Times New Roman"/>
          <w:sz w:val="20"/>
          <w:szCs w:val="20"/>
        </w:rPr>
        <w:t>(</w:t>
      </w:r>
      <w:r w:rsidR="005A5BE3" w:rsidRPr="00AB5129">
        <w:rPr>
          <w:rFonts w:ascii="Times New Roman" w:hAnsi="Times New Roman" w:cs="Times New Roman"/>
          <w:sz w:val="20"/>
          <w:szCs w:val="20"/>
        </w:rPr>
        <w:t>1993</w:t>
      </w:r>
      <w:r w:rsidR="005A5BE3">
        <w:rPr>
          <w:rFonts w:ascii="Times New Roman" w:hAnsi="Times New Roman" w:cs="Times New Roman"/>
          <w:sz w:val="20"/>
          <w:szCs w:val="20"/>
        </w:rPr>
        <w:t>)</w:t>
      </w:r>
    </w:p>
    <w:p w:rsidR="00AB5129" w:rsidRPr="00AB5129" w:rsidRDefault="00AB5129" w:rsidP="003256B8">
      <w:pPr>
        <w:spacing w:after="0" w:line="240" w:lineRule="auto"/>
        <w:jc w:val="both"/>
        <w:rPr>
          <w:rFonts w:ascii="Times New Roman" w:hAnsi="Times New Roman" w:cs="Times New Roman"/>
          <w:sz w:val="20"/>
          <w:szCs w:val="20"/>
        </w:rPr>
      </w:pPr>
      <w:proofErr w:type="gramStart"/>
      <w:r w:rsidRPr="00AB5129">
        <w:rPr>
          <w:rFonts w:ascii="Times New Roman" w:hAnsi="Times New Roman" w:cs="Times New Roman"/>
          <w:sz w:val="20"/>
          <w:szCs w:val="20"/>
        </w:rPr>
        <w:t xml:space="preserve">2. </w:t>
      </w:r>
      <w:r w:rsidR="00EF1609" w:rsidRPr="00AB5129">
        <w:rPr>
          <w:rFonts w:ascii="Times New Roman" w:hAnsi="Times New Roman" w:cs="Times New Roman"/>
          <w:sz w:val="20"/>
          <w:szCs w:val="20"/>
        </w:rPr>
        <w:t>J</w:t>
      </w:r>
      <w:r w:rsidR="00EF1609">
        <w:rPr>
          <w:rFonts w:ascii="Times New Roman" w:hAnsi="Times New Roman" w:cs="Times New Roman"/>
          <w:sz w:val="20"/>
          <w:szCs w:val="20"/>
        </w:rPr>
        <w:t>.</w:t>
      </w:r>
      <w:r w:rsidR="00EF1609" w:rsidRPr="00AB5129">
        <w:rPr>
          <w:rFonts w:ascii="Times New Roman" w:hAnsi="Times New Roman" w:cs="Times New Roman"/>
          <w:sz w:val="20"/>
          <w:szCs w:val="20"/>
        </w:rPr>
        <w:t>H</w:t>
      </w:r>
      <w:r w:rsidR="00EF1609">
        <w:rPr>
          <w:rFonts w:ascii="Times New Roman" w:hAnsi="Times New Roman" w:cs="Times New Roman"/>
          <w:sz w:val="20"/>
          <w:szCs w:val="20"/>
        </w:rPr>
        <w:t>.</w:t>
      </w:r>
      <w:r w:rsidR="005A5BE3">
        <w:rPr>
          <w:rFonts w:ascii="Times New Roman" w:hAnsi="Times New Roman" w:cs="Times New Roman"/>
          <w:sz w:val="20"/>
          <w:szCs w:val="20"/>
        </w:rPr>
        <w:t xml:space="preserve"> Dunning, </w:t>
      </w:r>
      <w:r w:rsidRPr="00AB5129">
        <w:rPr>
          <w:rFonts w:ascii="Times New Roman" w:hAnsi="Times New Roman" w:cs="Times New Roman"/>
          <w:sz w:val="20"/>
          <w:szCs w:val="20"/>
        </w:rPr>
        <w:t>R</w:t>
      </w:r>
      <w:r w:rsidR="00EF1609">
        <w:rPr>
          <w:rFonts w:ascii="Times New Roman" w:hAnsi="Times New Roman" w:cs="Times New Roman"/>
          <w:sz w:val="20"/>
          <w:szCs w:val="20"/>
        </w:rPr>
        <w:t>.</w:t>
      </w:r>
      <w:r w:rsidRPr="00AB5129">
        <w:rPr>
          <w:rFonts w:ascii="Times New Roman" w:hAnsi="Times New Roman" w:cs="Times New Roman"/>
          <w:sz w:val="20"/>
          <w:szCs w:val="20"/>
        </w:rPr>
        <w:t xml:space="preserve"> </w:t>
      </w:r>
      <w:proofErr w:type="spellStart"/>
      <w:r w:rsidRPr="00AB5129">
        <w:rPr>
          <w:rFonts w:ascii="Times New Roman" w:hAnsi="Times New Roman" w:cs="Times New Roman"/>
          <w:sz w:val="20"/>
          <w:szCs w:val="20"/>
        </w:rPr>
        <w:t>Narula</w:t>
      </w:r>
      <w:proofErr w:type="spellEnd"/>
      <w:r w:rsidR="005A5BE3">
        <w:rPr>
          <w:rFonts w:ascii="Times New Roman" w:hAnsi="Times New Roman" w:cs="Times New Roman"/>
          <w:sz w:val="20"/>
          <w:szCs w:val="20"/>
        </w:rPr>
        <w:t xml:space="preserve">, </w:t>
      </w:r>
      <w:r w:rsidR="005A5BE3" w:rsidRPr="00AB5129">
        <w:rPr>
          <w:rFonts w:ascii="Times New Roman" w:hAnsi="Times New Roman" w:cs="Times New Roman"/>
          <w:sz w:val="20"/>
          <w:szCs w:val="20"/>
        </w:rPr>
        <w:t>1-41</w:t>
      </w:r>
      <w:r w:rsidR="005A5BE3" w:rsidRPr="00AB5129">
        <w:rPr>
          <w:rFonts w:ascii="Times New Roman" w:hAnsi="Times New Roman" w:cs="Times New Roman"/>
          <w:sz w:val="20"/>
          <w:szCs w:val="20"/>
        </w:rPr>
        <w:t xml:space="preserve"> </w:t>
      </w:r>
      <w:r w:rsidR="005A5BE3" w:rsidRPr="00AB5129">
        <w:rPr>
          <w:rFonts w:ascii="Times New Roman" w:hAnsi="Times New Roman" w:cs="Times New Roman"/>
          <w:sz w:val="20"/>
          <w:szCs w:val="20"/>
        </w:rPr>
        <w:t>(1996</w:t>
      </w:r>
      <w:r w:rsidR="005A5BE3">
        <w:rPr>
          <w:rFonts w:ascii="Times New Roman" w:hAnsi="Times New Roman" w:cs="Times New Roman"/>
          <w:sz w:val="20"/>
          <w:szCs w:val="20"/>
        </w:rPr>
        <w:t xml:space="preserve">, e-book </w:t>
      </w:r>
      <w:r w:rsidRPr="00AB5129">
        <w:rPr>
          <w:rFonts w:ascii="Times New Roman" w:hAnsi="Times New Roman" w:cs="Times New Roman"/>
          <w:sz w:val="20"/>
          <w:szCs w:val="20"/>
        </w:rPr>
        <w:t>2000</w:t>
      </w:r>
      <w:r w:rsidR="005A5BE3">
        <w:rPr>
          <w:rFonts w:ascii="Times New Roman" w:hAnsi="Times New Roman" w:cs="Times New Roman"/>
          <w:sz w:val="20"/>
          <w:szCs w:val="20"/>
        </w:rPr>
        <w:t>)</w:t>
      </w:r>
      <w:r w:rsidRPr="00AB5129">
        <w:rPr>
          <w:rFonts w:ascii="Times New Roman" w:hAnsi="Times New Roman" w:cs="Times New Roman"/>
          <w:sz w:val="20"/>
          <w:szCs w:val="20"/>
        </w:rPr>
        <w:t>.</w:t>
      </w:r>
      <w:proofErr w:type="gramEnd"/>
      <w:r w:rsidRPr="00AB5129">
        <w:rPr>
          <w:rFonts w:ascii="Times New Roman" w:hAnsi="Times New Roman" w:cs="Times New Roman"/>
          <w:sz w:val="20"/>
          <w:szCs w:val="20"/>
        </w:rPr>
        <w:t xml:space="preserve"> </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3. </w:t>
      </w:r>
      <w:r w:rsidR="00EF1609" w:rsidRPr="00AB5129">
        <w:rPr>
          <w:rFonts w:ascii="Times New Roman" w:hAnsi="Times New Roman" w:cs="Times New Roman"/>
          <w:sz w:val="20"/>
          <w:szCs w:val="20"/>
        </w:rPr>
        <w:t>P</w:t>
      </w:r>
      <w:r w:rsidR="00EF1609">
        <w:rPr>
          <w:rFonts w:ascii="Times New Roman" w:hAnsi="Times New Roman" w:cs="Times New Roman"/>
          <w:sz w:val="20"/>
          <w:szCs w:val="20"/>
        </w:rPr>
        <w:t>.</w:t>
      </w:r>
      <w:r w:rsidR="00EF1609" w:rsidRPr="00AB5129">
        <w:rPr>
          <w:rFonts w:ascii="Times New Roman" w:hAnsi="Times New Roman" w:cs="Times New Roman"/>
          <w:sz w:val="20"/>
          <w:szCs w:val="20"/>
        </w:rPr>
        <w:t xml:space="preserve"> </w:t>
      </w:r>
      <w:proofErr w:type="spellStart"/>
      <w:r w:rsidRPr="00AB5129">
        <w:rPr>
          <w:rFonts w:ascii="Times New Roman" w:hAnsi="Times New Roman" w:cs="Times New Roman"/>
          <w:sz w:val="20"/>
          <w:szCs w:val="20"/>
        </w:rPr>
        <w:t>Enderwick</w:t>
      </w:r>
      <w:proofErr w:type="spellEnd"/>
      <w:r w:rsidRPr="00AB5129">
        <w:rPr>
          <w:rFonts w:ascii="Times New Roman" w:hAnsi="Times New Roman" w:cs="Times New Roman"/>
          <w:sz w:val="20"/>
          <w:szCs w:val="20"/>
        </w:rPr>
        <w:t xml:space="preserve">, </w:t>
      </w:r>
      <w:r w:rsidR="005A5BE3">
        <w:rPr>
          <w:rFonts w:ascii="Times New Roman" w:hAnsi="Times New Roman" w:cs="Times New Roman"/>
          <w:sz w:val="20"/>
          <w:szCs w:val="20"/>
        </w:rPr>
        <w:t>TC</w:t>
      </w:r>
      <w:r w:rsidRPr="00AB5129">
        <w:rPr>
          <w:rFonts w:ascii="Times New Roman" w:hAnsi="Times New Roman" w:cs="Times New Roman"/>
          <w:sz w:val="20"/>
          <w:szCs w:val="20"/>
        </w:rPr>
        <w:t xml:space="preserve">, </w:t>
      </w:r>
      <w:r w:rsidRPr="005A5BE3">
        <w:rPr>
          <w:rFonts w:ascii="Times New Roman" w:hAnsi="Times New Roman" w:cs="Times New Roman"/>
          <w:b/>
          <w:sz w:val="20"/>
          <w:szCs w:val="20"/>
        </w:rPr>
        <w:t>14</w:t>
      </w:r>
      <w:r w:rsidRPr="00AB5129">
        <w:rPr>
          <w:rFonts w:ascii="Times New Roman" w:hAnsi="Times New Roman" w:cs="Times New Roman"/>
          <w:sz w:val="20"/>
          <w:szCs w:val="20"/>
        </w:rPr>
        <w:t>, 9</w:t>
      </w:r>
      <w:r w:rsidR="005A5BE3">
        <w:rPr>
          <w:rFonts w:ascii="Times New Roman" w:hAnsi="Times New Roman" w:cs="Times New Roman"/>
          <w:sz w:val="20"/>
          <w:szCs w:val="20"/>
        </w:rPr>
        <w:t>3-119</w:t>
      </w:r>
      <w:r w:rsidR="00EF1609">
        <w:rPr>
          <w:rFonts w:ascii="Times New Roman" w:hAnsi="Times New Roman" w:cs="Times New Roman"/>
          <w:sz w:val="20"/>
          <w:szCs w:val="20"/>
        </w:rPr>
        <w:t xml:space="preserve"> </w:t>
      </w:r>
      <w:r w:rsidR="00EF1609" w:rsidRPr="00AB5129">
        <w:rPr>
          <w:rFonts w:ascii="Times New Roman" w:hAnsi="Times New Roman" w:cs="Times New Roman"/>
          <w:sz w:val="20"/>
          <w:szCs w:val="20"/>
        </w:rPr>
        <w:t>(2005)</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4. </w:t>
      </w:r>
      <w:r w:rsidR="005A5BE3" w:rsidRPr="00AB5129">
        <w:rPr>
          <w:rFonts w:ascii="Times New Roman" w:hAnsi="Times New Roman" w:cs="Times New Roman"/>
          <w:sz w:val="20"/>
          <w:szCs w:val="20"/>
        </w:rPr>
        <w:t>R</w:t>
      </w:r>
      <w:r w:rsidR="005A5BE3">
        <w:rPr>
          <w:rFonts w:ascii="Times New Roman" w:hAnsi="Times New Roman" w:cs="Times New Roman"/>
          <w:sz w:val="20"/>
          <w:szCs w:val="20"/>
        </w:rPr>
        <w:t>.</w:t>
      </w:r>
      <w:r w:rsidR="005A5BE3" w:rsidRPr="00AB5129">
        <w:rPr>
          <w:rFonts w:ascii="Times New Roman" w:hAnsi="Times New Roman" w:cs="Times New Roman"/>
          <w:sz w:val="20"/>
          <w:szCs w:val="20"/>
        </w:rPr>
        <w:t xml:space="preserve"> </w:t>
      </w:r>
      <w:r w:rsidRPr="00AB5129">
        <w:rPr>
          <w:rFonts w:ascii="Times New Roman" w:hAnsi="Times New Roman" w:cs="Times New Roman"/>
          <w:sz w:val="20"/>
          <w:szCs w:val="20"/>
        </w:rPr>
        <w:t xml:space="preserve">Solow, QJE, </w:t>
      </w:r>
      <w:r w:rsidRPr="005A5BE3">
        <w:rPr>
          <w:rFonts w:ascii="Times New Roman" w:hAnsi="Times New Roman" w:cs="Times New Roman"/>
          <w:b/>
          <w:sz w:val="20"/>
          <w:szCs w:val="20"/>
        </w:rPr>
        <w:t>70</w:t>
      </w:r>
      <w:r w:rsidRPr="00AB5129">
        <w:rPr>
          <w:rFonts w:ascii="Times New Roman" w:hAnsi="Times New Roman" w:cs="Times New Roman"/>
          <w:sz w:val="20"/>
          <w:szCs w:val="20"/>
        </w:rPr>
        <w:t>, 65-94</w:t>
      </w:r>
      <w:r w:rsidR="005A5BE3" w:rsidRPr="005A5BE3">
        <w:rPr>
          <w:rFonts w:ascii="Times New Roman" w:hAnsi="Times New Roman" w:cs="Times New Roman"/>
          <w:sz w:val="20"/>
          <w:szCs w:val="20"/>
        </w:rPr>
        <w:t xml:space="preserve"> </w:t>
      </w:r>
      <w:r w:rsidR="005A5BE3" w:rsidRPr="00AB5129">
        <w:rPr>
          <w:rFonts w:ascii="Times New Roman" w:hAnsi="Times New Roman" w:cs="Times New Roman"/>
          <w:sz w:val="20"/>
          <w:szCs w:val="20"/>
        </w:rPr>
        <w:t>(1956)</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5. </w:t>
      </w:r>
      <w:r w:rsidR="005A5BE3" w:rsidRPr="00AB5129">
        <w:rPr>
          <w:rFonts w:ascii="Times New Roman" w:hAnsi="Times New Roman" w:cs="Times New Roman"/>
          <w:sz w:val="20"/>
          <w:szCs w:val="20"/>
        </w:rPr>
        <w:t>W</w:t>
      </w:r>
      <w:r w:rsidR="005A5BE3">
        <w:rPr>
          <w:rFonts w:ascii="Times New Roman" w:hAnsi="Times New Roman" w:cs="Times New Roman"/>
          <w:sz w:val="20"/>
          <w:szCs w:val="20"/>
        </w:rPr>
        <w:t>.</w:t>
      </w:r>
      <w:r w:rsidR="005A5BE3" w:rsidRPr="00AB5129">
        <w:rPr>
          <w:rFonts w:ascii="Times New Roman" w:hAnsi="Times New Roman" w:cs="Times New Roman"/>
          <w:sz w:val="20"/>
          <w:szCs w:val="20"/>
        </w:rPr>
        <w:t xml:space="preserve"> </w:t>
      </w:r>
      <w:proofErr w:type="spellStart"/>
      <w:r w:rsidRPr="00AB5129">
        <w:rPr>
          <w:rFonts w:ascii="Times New Roman" w:hAnsi="Times New Roman" w:cs="Times New Roman"/>
          <w:sz w:val="20"/>
          <w:szCs w:val="20"/>
        </w:rPr>
        <w:t>Rostow</w:t>
      </w:r>
      <w:proofErr w:type="spellEnd"/>
      <w:r w:rsidRPr="00AB5129">
        <w:rPr>
          <w:rFonts w:ascii="Times New Roman" w:hAnsi="Times New Roman" w:cs="Times New Roman"/>
          <w:sz w:val="20"/>
          <w:szCs w:val="20"/>
        </w:rPr>
        <w:t xml:space="preserve">, EJ, </w:t>
      </w:r>
      <w:r w:rsidRPr="005A5BE3">
        <w:rPr>
          <w:rFonts w:ascii="Times New Roman" w:hAnsi="Times New Roman" w:cs="Times New Roman"/>
          <w:b/>
          <w:sz w:val="20"/>
          <w:szCs w:val="20"/>
        </w:rPr>
        <w:t>66</w:t>
      </w:r>
      <w:r w:rsidRPr="00AB5129">
        <w:rPr>
          <w:rFonts w:ascii="Times New Roman" w:hAnsi="Times New Roman" w:cs="Times New Roman"/>
          <w:sz w:val="20"/>
          <w:szCs w:val="20"/>
        </w:rPr>
        <w:t>, 25-48</w:t>
      </w:r>
      <w:r w:rsidR="005A5BE3" w:rsidRPr="005A5BE3">
        <w:rPr>
          <w:rFonts w:ascii="Times New Roman" w:hAnsi="Times New Roman" w:cs="Times New Roman"/>
          <w:sz w:val="20"/>
          <w:szCs w:val="20"/>
        </w:rPr>
        <w:t xml:space="preserve"> </w:t>
      </w:r>
      <w:r w:rsidR="005A5BE3" w:rsidRPr="00AB5129">
        <w:rPr>
          <w:rFonts w:ascii="Times New Roman" w:hAnsi="Times New Roman" w:cs="Times New Roman"/>
          <w:sz w:val="20"/>
          <w:szCs w:val="20"/>
        </w:rPr>
        <w:t>(1956)</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6. </w:t>
      </w:r>
      <w:r w:rsidR="005A5BE3" w:rsidRPr="00AB5129">
        <w:rPr>
          <w:rFonts w:ascii="Times New Roman" w:hAnsi="Times New Roman" w:cs="Times New Roman"/>
          <w:sz w:val="20"/>
          <w:szCs w:val="20"/>
        </w:rPr>
        <w:t>E.</w:t>
      </w:r>
      <w:r w:rsidR="005A5BE3">
        <w:rPr>
          <w:rFonts w:ascii="Times New Roman" w:hAnsi="Times New Roman" w:cs="Times New Roman"/>
          <w:sz w:val="20"/>
          <w:szCs w:val="20"/>
        </w:rPr>
        <w:t xml:space="preserve"> </w:t>
      </w:r>
      <w:proofErr w:type="spellStart"/>
      <w:r w:rsidRPr="00AB5129">
        <w:rPr>
          <w:rFonts w:ascii="Times New Roman" w:hAnsi="Times New Roman" w:cs="Times New Roman"/>
          <w:sz w:val="20"/>
          <w:szCs w:val="20"/>
        </w:rPr>
        <w:t>Borensztein</w:t>
      </w:r>
      <w:proofErr w:type="spellEnd"/>
      <w:r w:rsidRPr="00AB5129">
        <w:rPr>
          <w:rFonts w:ascii="Times New Roman" w:hAnsi="Times New Roman" w:cs="Times New Roman"/>
          <w:sz w:val="20"/>
          <w:szCs w:val="20"/>
        </w:rPr>
        <w:t xml:space="preserve">, </w:t>
      </w:r>
      <w:r w:rsidR="005A5BE3" w:rsidRPr="00AB5129">
        <w:rPr>
          <w:rFonts w:ascii="Times New Roman" w:hAnsi="Times New Roman" w:cs="Times New Roman"/>
          <w:sz w:val="20"/>
          <w:szCs w:val="20"/>
        </w:rPr>
        <w:t xml:space="preserve">J. </w:t>
      </w:r>
      <w:r w:rsidRPr="00AB5129">
        <w:rPr>
          <w:rFonts w:ascii="Times New Roman" w:hAnsi="Times New Roman" w:cs="Times New Roman"/>
          <w:sz w:val="20"/>
          <w:szCs w:val="20"/>
        </w:rPr>
        <w:t xml:space="preserve">De Gregorio, </w:t>
      </w:r>
      <w:r w:rsidR="005A5BE3">
        <w:rPr>
          <w:rFonts w:ascii="Times New Roman" w:hAnsi="Times New Roman" w:cs="Times New Roman"/>
          <w:sz w:val="20"/>
          <w:szCs w:val="20"/>
        </w:rPr>
        <w:t>J.</w:t>
      </w:r>
      <w:r w:rsidR="005A5BE3" w:rsidRPr="00AB5129">
        <w:rPr>
          <w:rFonts w:ascii="Times New Roman" w:hAnsi="Times New Roman" w:cs="Times New Roman"/>
          <w:sz w:val="20"/>
          <w:szCs w:val="20"/>
        </w:rPr>
        <w:t xml:space="preserve">W. </w:t>
      </w:r>
      <w:r w:rsidRPr="00AB5129">
        <w:rPr>
          <w:rFonts w:ascii="Times New Roman" w:hAnsi="Times New Roman" w:cs="Times New Roman"/>
          <w:sz w:val="20"/>
          <w:szCs w:val="20"/>
        </w:rPr>
        <w:t xml:space="preserve">Lee, JIE, </w:t>
      </w:r>
      <w:r w:rsidRPr="005A5BE3">
        <w:rPr>
          <w:rFonts w:ascii="Times New Roman" w:hAnsi="Times New Roman" w:cs="Times New Roman"/>
          <w:b/>
          <w:sz w:val="20"/>
          <w:szCs w:val="20"/>
        </w:rPr>
        <w:t>45</w:t>
      </w:r>
      <w:r w:rsidRPr="00AB5129">
        <w:rPr>
          <w:rFonts w:ascii="Times New Roman" w:hAnsi="Times New Roman" w:cs="Times New Roman"/>
          <w:sz w:val="20"/>
          <w:szCs w:val="20"/>
        </w:rPr>
        <w:t>, 115‐135</w:t>
      </w:r>
      <w:r w:rsidR="005A5BE3">
        <w:rPr>
          <w:rFonts w:ascii="Times New Roman" w:hAnsi="Times New Roman" w:cs="Times New Roman"/>
          <w:sz w:val="20"/>
          <w:szCs w:val="20"/>
        </w:rPr>
        <w:t xml:space="preserve"> </w:t>
      </w:r>
      <w:r w:rsidR="005A5BE3" w:rsidRPr="00AB5129">
        <w:rPr>
          <w:rFonts w:ascii="Times New Roman" w:hAnsi="Times New Roman" w:cs="Times New Roman"/>
          <w:sz w:val="20"/>
          <w:szCs w:val="20"/>
        </w:rPr>
        <w:t>(1998)</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7. </w:t>
      </w:r>
      <w:r w:rsidR="005A5BE3">
        <w:rPr>
          <w:rFonts w:ascii="Times New Roman" w:hAnsi="Times New Roman" w:cs="Times New Roman"/>
          <w:sz w:val="20"/>
          <w:szCs w:val="20"/>
        </w:rPr>
        <w:t>L.</w:t>
      </w:r>
      <w:r w:rsidR="005A5BE3" w:rsidRPr="00AB5129">
        <w:rPr>
          <w:rFonts w:ascii="Times New Roman" w:hAnsi="Times New Roman" w:cs="Times New Roman"/>
          <w:sz w:val="20"/>
          <w:szCs w:val="20"/>
        </w:rPr>
        <w:t xml:space="preserve">R. </w:t>
      </w:r>
      <w:r w:rsidRPr="00AB5129">
        <w:rPr>
          <w:rFonts w:ascii="Times New Roman" w:hAnsi="Times New Roman" w:cs="Times New Roman"/>
          <w:sz w:val="20"/>
          <w:szCs w:val="20"/>
        </w:rPr>
        <w:t xml:space="preserve">De Mello, JDS, </w:t>
      </w:r>
      <w:r w:rsidRPr="007D4EE4">
        <w:rPr>
          <w:rFonts w:ascii="Times New Roman" w:hAnsi="Times New Roman" w:cs="Times New Roman"/>
          <w:b/>
          <w:sz w:val="20"/>
          <w:szCs w:val="20"/>
        </w:rPr>
        <w:t>34 (1)</w:t>
      </w:r>
      <w:r w:rsidRPr="00AB5129">
        <w:rPr>
          <w:rFonts w:ascii="Times New Roman" w:hAnsi="Times New Roman" w:cs="Times New Roman"/>
          <w:sz w:val="20"/>
          <w:szCs w:val="20"/>
        </w:rPr>
        <w:t>, 1‐34</w:t>
      </w:r>
      <w:r w:rsidR="005A5BE3" w:rsidRPr="005A5BE3">
        <w:rPr>
          <w:rFonts w:ascii="Times New Roman" w:hAnsi="Times New Roman" w:cs="Times New Roman"/>
          <w:sz w:val="20"/>
          <w:szCs w:val="20"/>
        </w:rPr>
        <w:t xml:space="preserve"> </w:t>
      </w:r>
      <w:r w:rsidR="005A5BE3" w:rsidRPr="00AB5129">
        <w:rPr>
          <w:rFonts w:ascii="Times New Roman" w:hAnsi="Times New Roman" w:cs="Times New Roman"/>
          <w:sz w:val="20"/>
          <w:szCs w:val="20"/>
        </w:rPr>
        <w:t>(1997)</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8. </w:t>
      </w:r>
      <w:r w:rsidR="007D4EE4">
        <w:rPr>
          <w:rFonts w:ascii="Times New Roman" w:hAnsi="Times New Roman" w:cs="Times New Roman"/>
          <w:sz w:val="20"/>
          <w:szCs w:val="20"/>
        </w:rPr>
        <w:t>L.</w:t>
      </w:r>
      <w:r w:rsidR="007D4EE4" w:rsidRPr="00AB5129">
        <w:rPr>
          <w:rFonts w:ascii="Times New Roman" w:hAnsi="Times New Roman" w:cs="Times New Roman"/>
          <w:sz w:val="20"/>
          <w:szCs w:val="20"/>
        </w:rPr>
        <w:t xml:space="preserve">R. De Mello, </w:t>
      </w:r>
      <w:r w:rsidRPr="00AB5129">
        <w:rPr>
          <w:rFonts w:ascii="Times New Roman" w:hAnsi="Times New Roman" w:cs="Times New Roman"/>
          <w:sz w:val="20"/>
          <w:szCs w:val="20"/>
        </w:rPr>
        <w:t xml:space="preserve">OEP, </w:t>
      </w:r>
      <w:r w:rsidRPr="007D4EE4">
        <w:rPr>
          <w:rFonts w:ascii="Times New Roman" w:hAnsi="Times New Roman" w:cs="Times New Roman"/>
          <w:b/>
          <w:sz w:val="20"/>
          <w:szCs w:val="20"/>
        </w:rPr>
        <w:t>51</w:t>
      </w:r>
      <w:r w:rsidRPr="00AB5129">
        <w:rPr>
          <w:rFonts w:ascii="Times New Roman" w:hAnsi="Times New Roman" w:cs="Times New Roman"/>
          <w:sz w:val="20"/>
          <w:szCs w:val="20"/>
        </w:rPr>
        <w:t>, 133-151</w:t>
      </w:r>
      <w:r w:rsidR="007D4EE4" w:rsidRPr="007D4EE4">
        <w:rPr>
          <w:rFonts w:ascii="Times New Roman" w:hAnsi="Times New Roman" w:cs="Times New Roman"/>
          <w:sz w:val="20"/>
          <w:szCs w:val="20"/>
        </w:rPr>
        <w:t xml:space="preserve"> </w:t>
      </w:r>
      <w:r w:rsidR="007D4EE4" w:rsidRPr="00AB5129">
        <w:rPr>
          <w:rFonts w:ascii="Times New Roman" w:hAnsi="Times New Roman" w:cs="Times New Roman"/>
          <w:sz w:val="20"/>
          <w:szCs w:val="20"/>
        </w:rPr>
        <w:t>(1999)</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9. </w:t>
      </w:r>
      <w:r w:rsidR="007D4EE4">
        <w:rPr>
          <w:rFonts w:ascii="Times New Roman" w:hAnsi="Times New Roman" w:cs="Times New Roman"/>
          <w:sz w:val="20"/>
          <w:szCs w:val="20"/>
        </w:rPr>
        <w:t>M.</w:t>
      </w:r>
      <w:r w:rsidR="007D4EE4" w:rsidRPr="00AB5129">
        <w:rPr>
          <w:rFonts w:ascii="Times New Roman" w:hAnsi="Times New Roman" w:cs="Times New Roman"/>
          <w:sz w:val="20"/>
          <w:szCs w:val="20"/>
        </w:rPr>
        <w:t xml:space="preserve">W. </w:t>
      </w:r>
      <w:r w:rsidRPr="00AB5129">
        <w:rPr>
          <w:rFonts w:ascii="Times New Roman" w:hAnsi="Times New Roman" w:cs="Times New Roman"/>
          <w:sz w:val="20"/>
          <w:szCs w:val="20"/>
        </w:rPr>
        <w:t>Hansen</w:t>
      </w:r>
      <w:r w:rsidR="00907CEC">
        <w:rPr>
          <w:rFonts w:ascii="Times New Roman" w:hAnsi="Times New Roman" w:cs="Times New Roman"/>
          <w:sz w:val="20"/>
          <w:szCs w:val="20"/>
        </w:rPr>
        <w:t xml:space="preserve">, J. </w:t>
      </w:r>
      <w:proofErr w:type="spellStart"/>
      <w:r w:rsidR="00907CEC">
        <w:rPr>
          <w:rFonts w:ascii="Times New Roman" w:hAnsi="Times New Roman" w:cs="Times New Roman"/>
          <w:sz w:val="20"/>
          <w:szCs w:val="20"/>
        </w:rPr>
        <w:t>Kuada</w:t>
      </w:r>
      <w:proofErr w:type="spellEnd"/>
      <w:r w:rsidR="00907CEC">
        <w:rPr>
          <w:rFonts w:ascii="Times New Roman" w:hAnsi="Times New Roman" w:cs="Times New Roman"/>
          <w:sz w:val="20"/>
          <w:szCs w:val="20"/>
        </w:rPr>
        <w:t>,</w:t>
      </w:r>
      <w:r w:rsidRPr="00AB5129">
        <w:rPr>
          <w:rFonts w:ascii="Times New Roman" w:hAnsi="Times New Roman" w:cs="Times New Roman"/>
          <w:sz w:val="20"/>
          <w:szCs w:val="20"/>
        </w:rPr>
        <w:t xml:space="preserve"> CBS</w:t>
      </w:r>
      <w:r w:rsidR="00907CEC">
        <w:rPr>
          <w:rFonts w:ascii="Times New Roman" w:hAnsi="Times New Roman" w:cs="Times New Roman"/>
          <w:sz w:val="20"/>
          <w:szCs w:val="20"/>
        </w:rPr>
        <w:t>P</w:t>
      </w:r>
      <w:r w:rsidRPr="00AB5129">
        <w:rPr>
          <w:rFonts w:ascii="Times New Roman" w:hAnsi="Times New Roman" w:cs="Times New Roman"/>
          <w:sz w:val="20"/>
          <w:szCs w:val="20"/>
        </w:rPr>
        <w:t>, 29-57</w:t>
      </w:r>
      <w:r w:rsidR="00907CEC">
        <w:rPr>
          <w:rFonts w:ascii="Times New Roman" w:hAnsi="Times New Roman" w:cs="Times New Roman"/>
          <w:sz w:val="20"/>
          <w:szCs w:val="20"/>
        </w:rPr>
        <w:t xml:space="preserve"> </w:t>
      </w:r>
      <w:r w:rsidR="00907CEC" w:rsidRPr="00AB5129">
        <w:rPr>
          <w:rFonts w:ascii="Times New Roman" w:hAnsi="Times New Roman" w:cs="Times New Roman"/>
          <w:sz w:val="20"/>
          <w:szCs w:val="20"/>
        </w:rPr>
        <w:t>(2006)</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10. </w:t>
      </w:r>
      <w:r w:rsidR="007D4EE4" w:rsidRPr="00AB5129">
        <w:rPr>
          <w:rFonts w:ascii="Times New Roman" w:hAnsi="Times New Roman" w:cs="Times New Roman"/>
          <w:sz w:val="20"/>
          <w:szCs w:val="20"/>
        </w:rPr>
        <w:t>E.</w:t>
      </w:r>
      <w:r w:rsidR="007D4EE4">
        <w:rPr>
          <w:rFonts w:ascii="Times New Roman" w:hAnsi="Times New Roman" w:cs="Times New Roman"/>
          <w:sz w:val="20"/>
          <w:szCs w:val="20"/>
        </w:rPr>
        <w:t xml:space="preserve"> </w:t>
      </w:r>
      <w:proofErr w:type="spellStart"/>
      <w:r w:rsidRPr="00AB5129">
        <w:rPr>
          <w:rFonts w:ascii="Times New Roman" w:hAnsi="Times New Roman" w:cs="Times New Roman"/>
          <w:sz w:val="20"/>
          <w:szCs w:val="20"/>
        </w:rPr>
        <w:t>Rugraff</w:t>
      </w:r>
      <w:proofErr w:type="spellEnd"/>
      <w:r w:rsidR="007D4EE4">
        <w:rPr>
          <w:rFonts w:ascii="Times New Roman" w:hAnsi="Times New Roman" w:cs="Times New Roman"/>
          <w:sz w:val="20"/>
          <w:szCs w:val="20"/>
        </w:rPr>
        <w:t>,</w:t>
      </w:r>
      <w:r w:rsidRPr="00AB5129">
        <w:rPr>
          <w:rFonts w:ascii="Times New Roman" w:hAnsi="Times New Roman" w:cs="Times New Roman"/>
          <w:sz w:val="20"/>
          <w:szCs w:val="20"/>
        </w:rPr>
        <w:t xml:space="preserve"> </w:t>
      </w:r>
      <w:r w:rsidR="007D4EE4">
        <w:rPr>
          <w:rFonts w:ascii="Times New Roman" w:hAnsi="Times New Roman" w:cs="Times New Roman"/>
          <w:sz w:val="20"/>
          <w:szCs w:val="20"/>
        </w:rPr>
        <w:t>M.</w:t>
      </w:r>
      <w:r w:rsidR="007D4EE4" w:rsidRPr="00AB5129">
        <w:rPr>
          <w:rFonts w:ascii="Times New Roman" w:hAnsi="Times New Roman" w:cs="Times New Roman"/>
          <w:sz w:val="20"/>
          <w:szCs w:val="20"/>
        </w:rPr>
        <w:t>W</w:t>
      </w:r>
      <w:r w:rsidR="007D4EE4" w:rsidRPr="00AB5129">
        <w:rPr>
          <w:rFonts w:ascii="Times New Roman" w:hAnsi="Times New Roman" w:cs="Times New Roman"/>
          <w:sz w:val="20"/>
          <w:szCs w:val="20"/>
        </w:rPr>
        <w:t xml:space="preserve"> </w:t>
      </w:r>
      <w:r w:rsidRPr="00AB5129">
        <w:rPr>
          <w:rFonts w:ascii="Times New Roman" w:hAnsi="Times New Roman" w:cs="Times New Roman"/>
          <w:sz w:val="20"/>
          <w:szCs w:val="20"/>
        </w:rPr>
        <w:t>Hansen, AUP</w:t>
      </w:r>
      <w:r w:rsidR="007D4EE4">
        <w:rPr>
          <w:rFonts w:ascii="Times New Roman" w:hAnsi="Times New Roman" w:cs="Times New Roman"/>
          <w:sz w:val="20"/>
          <w:szCs w:val="20"/>
        </w:rPr>
        <w:t>,</w:t>
      </w:r>
      <w:r w:rsidRPr="00AB5129">
        <w:rPr>
          <w:rFonts w:ascii="Times New Roman" w:hAnsi="Times New Roman" w:cs="Times New Roman"/>
          <w:sz w:val="20"/>
          <w:szCs w:val="20"/>
        </w:rPr>
        <w:t xml:space="preserve"> </w:t>
      </w:r>
      <w:r w:rsidRPr="007D4EE4">
        <w:rPr>
          <w:rFonts w:ascii="Times New Roman" w:hAnsi="Times New Roman" w:cs="Times New Roman"/>
          <w:b/>
          <w:sz w:val="20"/>
          <w:szCs w:val="20"/>
        </w:rPr>
        <w:t>1</w:t>
      </w:r>
      <w:r w:rsidR="007D4EE4">
        <w:rPr>
          <w:rFonts w:ascii="Times New Roman" w:hAnsi="Times New Roman" w:cs="Times New Roman"/>
          <w:b/>
          <w:sz w:val="20"/>
          <w:szCs w:val="20"/>
        </w:rPr>
        <w:t>,</w:t>
      </w:r>
      <w:r w:rsidRPr="00AB5129">
        <w:rPr>
          <w:rFonts w:ascii="Times New Roman" w:hAnsi="Times New Roman" w:cs="Times New Roman"/>
          <w:sz w:val="20"/>
          <w:szCs w:val="20"/>
        </w:rPr>
        <w:t xml:space="preserve"> 13-47</w:t>
      </w:r>
      <w:r w:rsidR="007D4EE4">
        <w:rPr>
          <w:rFonts w:ascii="Times New Roman" w:hAnsi="Times New Roman" w:cs="Times New Roman"/>
          <w:sz w:val="20"/>
          <w:szCs w:val="20"/>
        </w:rPr>
        <w:t xml:space="preserve"> </w:t>
      </w:r>
      <w:r w:rsidR="007D4EE4" w:rsidRPr="00AB5129">
        <w:rPr>
          <w:rFonts w:ascii="Times New Roman" w:hAnsi="Times New Roman" w:cs="Times New Roman"/>
          <w:sz w:val="20"/>
          <w:szCs w:val="20"/>
        </w:rPr>
        <w:t>(2011)</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11. </w:t>
      </w:r>
      <w:r w:rsidR="007D4EE4" w:rsidRPr="00AB5129">
        <w:rPr>
          <w:rFonts w:ascii="Times New Roman" w:hAnsi="Times New Roman" w:cs="Times New Roman"/>
          <w:sz w:val="20"/>
          <w:szCs w:val="20"/>
        </w:rPr>
        <w:t xml:space="preserve">W.J. </w:t>
      </w:r>
      <w:r w:rsidRPr="00AB5129">
        <w:rPr>
          <w:rFonts w:ascii="Times New Roman" w:hAnsi="Times New Roman" w:cs="Times New Roman"/>
          <w:sz w:val="20"/>
          <w:szCs w:val="20"/>
        </w:rPr>
        <w:t xml:space="preserve">Dixon, </w:t>
      </w:r>
      <w:r w:rsidR="007D4EE4" w:rsidRPr="00AB5129">
        <w:rPr>
          <w:rFonts w:ascii="Times New Roman" w:hAnsi="Times New Roman" w:cs="Times New Roman"/>
          <w:sz w:val="20"/>
          <w:szCs w:val="20"/>
        </w:rPr>
        <w:t>T.</w:t>
      </w:r>
      <w:r w:rsidR="007D4EE4">
        <w:rPr>
          <w:rFonts w:ascii="Times New Roman" w:hAnsi="Times New Roman" w:cs="Times New Roman"/>
          <w:sz w:val="20"/>
          <w:szCs w:val="20"/>
        </w:rPr>
        <w:t xml:space="preserve"> </w:t>
      </w:r>
      <w:r w:rsidRPr="00AB5129">
        <w:rPr>
          <w:rFonts w:ascii="Times New Roman" w:hAnsi="Times New Roman" w:cs="Times New Roman"/>
          <w:sz w:val="20"/>
          <w:szCs w:val="20"/>
        </w:rPr>
        <w:t xml:space="preserve">Boswell, AJS, </w:t>
      </w:r>
      <w:r w:rsidRPr="007D4EE4">
        <w:rPr>
          <w:rFonts w:ascii="Times New Roman" w:hAnsi="Times New Roman" w:cs="Times New Roman"/>
          <w:b/>
          <w:sz w:val="20"/>
          <w:szCs w:val="20"/>
        </w:rPr>
        <w:t>102</w:t>
      </w:r>
      <w:r w:rsidRPr="00AB5129">
        <w:rPr>
          <w:rFonts w:ascii="Times New Roman" w:hAnsi="Times New Roman" w:cs="Times New Roman"/>
          <w:sz w:val="20"/>
          <w:szCs w:val="20"/>
        </w:rPr>
        <w:t>, 543-562</w:t>
      </w:r>
      <w:r w:rsidR="007D4EE4" w:rsidRPr="007D4EE4">
        <w:rPr>
          <w:rFonts w:ascii="Times New Roman" w:hAnsi="Times New Roman" w:cs="Times New Roman"/>
          <w:sz w:val="20"/>
          <w:szCs w:val="20"/>
        </w:rPr>
        <w:t xml:space="preserve"> </w:t>
      </w:r>
      <w:r w:rsidR="007D4EE4" w:rsidRPr="00AB5129">
        <w:rPr>
          <w:rFonts w:ascii="Times New Roman" w:hAnsi="Times New Roman" w:cs="Times New Roman"/>
          <w:sz w:val="20"/>
          <w:szCs w:val="20"/>
        </w:rPr>
        <w:t>(1996)</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12. </w:t>
      </w:r>
      <w:r w:rsidR="007D4EE4" w:rsidRPr="00AB5129">
        <w:rPr>
          <w:rFonts w:ascii="Times New Roman" w:hAnsi="Times New Roman" w:cs="Times New Roman"/>
          <w:sz w:val="20"/>
          <w:szCs w:val="20"/>
        </w:rPr>
        <w:t>T.</w:t>
      </w:r>
      <w:r w:rsidR="007D4EE4">
        <w:rPr>
          <w:rFonts w:ascii="Times New Roman" w:hAnsi="Times New Roman" w:cs="Times New Roman"/>
          <w:sz w:val="20"/>
          <w:szCs w:val="20"/>
        </w:rPr>
        <w:t xml:space="preserve"> </w:t>
      </w:r>
      <w:r w:rsidRPr="00AB5129">
        <w:rPr>
          <w:rFonts w:ascii="Times New Roman" w:hAnsi="Times New Roman" w:cs="Times New Roman"/>
          <w:sz w:val="20"/>
          <w:szCs w:val="20"/>
        </w:rPr>
        <w:t xml:space="preserve">Moran, IO, </w:t>
      </w:r>
      <w:r w:rsidRPr="007D4EE4">
        <w:rPr>
          <w:rFonts w:ascii="Times New Roman" w:hAnsi="Times New Roman" w:cs="Times New Roman"/>
          <w:b/>
          <w:sz w:val="20"/>
          <w:szCs w:val="20"/>
        </w:rPr>
        <w:t>32</w:t>
      </w:r>
      <w:r w:rsidRPr="00AB5129">
        <w:rPr>
          <w:rFonts w:ascii="Times New Roman" w:hAnsi="Times New Roman" w:cs="Times New Roman"/>
          <w:sz w:val="20"/>
          <w:szCs w:val="20"/>
        </w:rPr>
        <w:t>, 79-100</w:t>
      </w:r>
      <w:r w:rsidR="007D4EE4" w:rsidRPr="007D4EE4">
        <w:rPr>
          <w:rFonts w:ascii="Times New Roman" w:hAnsi="Times New Roman" w:cs="Times New Roman"/>
          <w:sz w:val="20"/>
          <w:szCs w:val="20"/>
        </w:rPr>
        <w:t xml:space="preserve"> </w:t>
      </w:r>
      <w:r w:rsidR="007D4EE4" w:rsidRPr="00AB5129">
        <w:rPr>
          <w:rFonts w:ascii="Times New Roman" w:hAnsi="Times New Roman" w:cs="Times New Roman"/>
          <w:sz w:val="20"/>
          <w:szCs w:val="20"/>
        </w:rPr>
        <w:t>(1978)</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13. </w:t>
      </w:r>
      <w:r w:rsidR="007D4EE4" w:rsidRPr="00AB5129">
        <w:rPr>
          <w:rFonts w:ascii="Times New Roman" w:hAnsi="Times New Roman" w:cs="Times New Roman"/>
          <w:sz w:val="20"/>
          <w:szCs w:val="20"/>
        </w:rPr>
        <w:t xml:space="preserve">L. </w:t>
      </w:r>
      <w:r w:rsidRPr="00AB5129">
        <w:rPr>
          <w:rFonts w:ascii="Times New Roman" w:hAnsi="Times New Roman" w:cs="Times New Roman"/>
          <w:sz w:val="20"/>
          <w:szCs w:val="20"/>
        </w:rPr>
        <w:t>Alfaro, HBS, 1-31</w:t>
      </w:r>
      <w:r w:rsidR="007D4EE4" w:rsidRPr="007D4EE4">
        <w:rPr>
          <w:rFonts w:ascii="Times New Roman" w:hAnsi="Times New Roman" w:cs="Times New Roman"/>
          <w:sz w:val="20"/>
          <w:szCs w:val="20"/>
        </w:rPr>
        <w:t xml:space="preserve"> </w:t>
      </w:r>
      <w:r w:rsidR="007D4EE4" w:rsidRPr="00AB5129">
        <w:rPr>
          <w:rFonts w:ascii="Times New Roman" w:hAnsi="Times New Roman" w:cs="Times New Roman"/>
          <w:sz w:val="20"/>
          <w:szCs w:val="20"/>
        </w:rPr>
        <w:t>(2003)</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14. </w:t>
      </w:r>
      <w:r w:rsidR="007D4EE4" w:rsidRPr="00AB5129">
        <w:rPr>
          <w:rFonts w:ascii="Times New Roman" w:hAnsi="Times New Roman" w:cs="Times New Roman"/>
          <w:sz w:val="20"/>
          <w:szCs w:val="20"/>
        </w:rPr>
        <w:t>J.</w:t>
      </w:r>
      <w:r w:rsidR="00907CEC">
        <w:rPr>
          <w:rFonts w:ascii="Times New Roman" w:hAnsi="Times New Roman" w:cs="Times New Roman"/>
          <w:sz w:val="20"/>
          <w:szCs w:val="20"/>
        </w:rPr>
        <w:t xml:space="preserve"> </w:t>
      </w:r>
      <w:proofErr w:type="spellStart"/>
      <w:r w:rsidRPr="00AB5129">
        <w:rPr>
          <w:rFonts w:ascii="Times New Roman" w:hAnsi="Times New Roman" w:cs="Times New Roman"/>
          <w:sz w:val="20"/>
          <w:szCs w:val="20"/>
        </w:rPr>
        <w:t>Kentor</w:t>
      </w:r>
      <w:proofErr w:type="spellEnd"/>
      <w:r w:rsidR="00907CEC">
        <w:rPr>
          <w:rFonts w:ascii="Times New Roman" w:hAnsi="Times New Roman" w:cs="Times New Roman"/>
          <w:sz w:val="20"/>
          <w:szCs w:val="20"/>
        </w:rPr>
        <w:t>,</w:t>
      </w:r>
      <w:r w:rsidRPr="00AB5129">
        <w:rPr>
          <w:rFonts w:ascii="Times New Roman" w:hAnsi="Times New Roman" w:cs="Times New Roman"/>
          <w:sz w:val="20"/>
          <w:szCs w:val="20"/>
        </w:rPr>
        <w:t xml:space="preserve"> </w:t>
      </w:r>
      <w:r w:rsidR="00907CEC" w:rsidRPr="00AB5129">
        <w:rPr>
          <w:rFonts w:ascii="Times New Roman" w:hAnsi="Times New Roman" w:cs="Times New Roman"/>
          <w:sz w:val="20"/>
          <w:szCs w:val="20"/>
        </w:rPr>
        <w:t>T.</w:t>
      </w:r>
      <w:r w:rsidR="00907CEC">
        <w:rPr>
          <w:rFonts w:ascii="Times New Roman" w:hAnsi="Times New Roman" w:cs="Times New Roman"/>
          <w:sz w:val="20"/>
          <w:szCs w:val="20"/>
        </w:rPr>
        <w:t xml:space="preserve"> </w:t>
      </w:r>
      <w:r w:rsidRPr="00AB5129">
        <w:rPr>
          <w:rFonts w:ascii="Times New Roman" w:hAnsi="Times New Roman" w:cs="Times New Roman"/>
          <w:sz w:val="20"/>
          <w:szCs w:val="20"/>
        </w:rPr>
        <w:t>Boswell</w:t>
      </w:r>
      <w:r w:rsidR="00907CEC">
        <w:rPr>
          <w:rFonts w:ascii="Times New Roman" w:hAnsi="Times New Roman" w:cs="Times New Roman"/>
          <w:sz w:val="20"/>
          <w:szCs w:val="20"/>
        </w:rPr>
        <w:t>,</w:t>
      </w:r>
      <w:r w:rsidRPr="00AB5129">
        <w:rPr>
          <w:rFonts w:ascii="Times New Roman" w:hAnsi="Times New Roman" w:cs="Times New Roman"/>
          <w:sz w:val="20"/>
          <w:szCs w:val="20"/>
        </w:rPr>
        <w:t xml:space="preserve"> ASR, </w:t>
      </w:r>
      <w:r w:rsidRPr="00907CEC">
        <w:rPr>
          <w:rFonts w:ascii="Times New Roman" w:hAnsi="Times New Roman" w:cs="Times New Roman"/>
          <w:b/>
          <w:sz w:val="20"/>
          <w:szCs w:val="20"/>
        </w:rPr>
        <w:t>68</w:t>
      </w:r>
      <w:r w:rsidRPr="00AB5129">
        <w:rPr>
          <w:rFonts w:ascii="Times New Roman" w:hAnsi="Times New Roman" w:cs="Times New Roman"/>
          <w:sz w:val="20"/>
          <w:szCs w:val="20"/>
        </w:rPr>
        <w:t>, 301-313</w:t>
      </w:r>
      <w:r w:rsidR="00907CEC">
        <w:rPr>
          <w:rFonts w:ascii="Times New Roman" w:hAnsi="Times New Roman" w:cs="Times New Roman"/>
          <w:sz w:val="20"/>
          <w:szCs w:val="20"/>
        </w:rPr>
        <w:t xml:space="preserve"> </w:t>
      </w:r>
      <w:r w:rsidR="00907CEC" w:rsidRPr="00AB5129">
        <w:rPr>
          <w:rFonts w:ascii="Times New Roman" w:hAnsi="Times New Roman" w:cs="Times New Roman"/>
          <w:sz w:val="20"/>
          <w:szCs w:val="20"/>
        </w:rPr>
        <w:t>(2003)</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15. </w:t>
      </w:r>
      <w:r w:rsidR="00907CEC" w:rsidRPr="00AB5129">
        <w:rPr>
          <w:rFonts w:ascii="Times New Roman" w:hAnsi="Times New Roman" w:cs="Times New Roman"/>
          <w:sz w:val="20"/>
          <w:szCs w:val="20"/>
        </w:rPr>
        <w:t>K.</w:t>
      </w:r>
      <w:r w:rsidR="00907CEC">
        <w:rPr>
          <w:rFonts w:ascii="Times New Roman" w:hAnsi="Times New Roman" w:cs="Times New Roman"/>
          <w:sz w:val="20"/>
          <w:szCs w:val="20"/>
        </w:rPr>
        <w:t xml:space="preserve"> </w:t>
      </w:r>
      <w:r w:rsidRPr="00AB5129">
        <w:rPr>
          <w:rFonts w:ascii="Times New Roman" w:hAnsi="Times New Roman" w:cs="Times New Roman"/>
          <w:sz w:val="20"/>
          <w:szCs w:val="20"/>
        </w:rPr>
        <w:t>Meyer, IESBS</w:t>
      </w:r>
      <w:r w:rsidR="00907CEC">
        <w:rPr>
          <w:rFonts w:ascii="Times New Roman" w:hAnsi="Times New Roman" w:cs="Times New Roman"/>
          <w:sz w:val="20"/>
          <w:szCs w:val="20"/>
        </w:rPr>
        <w:t>,</w:t>
      </w:r>
      <w:r w:rsidRPr="00AB5129">
        <w:rPr>
          <w:rFonts w:ascii="Times New Roman" w:hAnsi="Times New Roman" w:cs="Times New Roman"/>
          <w:sz w:val="20"/>
          <w:szCs w:val="20"/>
        </w:rPr>
        <w:t xml:space="preserve"> </w:t>
      </w:r>
      <w:proofErr w:type="gramStart"/>
      <w:r w:rsidRPr="00907CEC">
        <w:rPr>
          <w:rFonts w:ascii="Times New Roman" w:hAnsi="Times New Roman" w:cs="Times New Roman"/>
          <w:b/>
          <w:sz w:val="20"/>
          <w:szCs w:val="20"/>
        </w:rPr>
        <w:t>10.1016</w:t>
      </w:r>
      <w:r w:rsidRPr="00AB5129">
        <w:rPr>
          <w:rFonts w:ascii="Times New Roman" w:hAnsi="Times New Roman" w:cs="Times New Roman"/>
          <w:sz w:val="20"/>
          <w:szCs w:val="20"/>
        </w:rPr>
        <w:t xml:space="preserve"> </w:t>
      </w:r>
      <w:r w:rsidR="00907CEC" w:rsidRPr="00907CEC">
        <w:rPr>
          <w:rFonts w:ascii="Times New Roman" w:hAnsi="Times New Roman" w:cs="Times New Roman"/>
          <w:sz w:val="20"/>
          <w:szCs w:val="20"/>
        </w:rPr>
        <w:t xml:space="preserve"> </w:t>
      </w:r>
      <w:r w:rsidR="00907CEC" w:rsidRPr="00AB5129">
        <w:rPr>
          <w:rFonts w:ascii="Times New Roman" w:hAnsi="Times New Roman" w:cs="Times New Roman"/>
          <w:sz w:val="20"/>
          <w:szCs w:val="20"/>
        </w:rPr>
        <w:t>(</w:t>
      </w:r>
      <w:proofErr w:type="gramEnd"/>
      <w:r w:rsidR="00907CEC" w:rsidRPr="00AB5129">
        <w:rPr>
          <w:rFonts w:ascii="Times New Roman" w:hAnsi="Times New Roman" w:cs="Times New Roman"/>
          <w:sz w:val="20"/>
          <w:szCs w:val="20"/>
        </w:rPr>
        <w:t>2015)</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16. </w:t>
      </w:r>
      <w:r w:rsidR="00907CEC" w:rsidRPr="00AB5129">
        <w:rPr>
          <w:rFonts w:ascii="Times New Roman" w:hAnsi="Times New Roman" w:cs="Times New Roman"/>
          <w:sz w:val="20"/>
          <w:szCs w:val="20"/>
        </w:rPr>
        <w:t>D.</w:t>
      </w:r>
      <w:proofErr w:type="spellStart"/>
      <w:r w:rsidR="00907CEC" w:rsidRPr="00AB5129">
        <w:rPr>
          <w:rFonts w:ascii="Times New Roman" w:hAnsi="Times New Roman" w:cs="Times New Roman"/>
          <w:sz w:val="20"/>
          <w:szCs w:val="20"/>
        </w:rPr>
        <w:t>Zh</w:t>
      </w:r>
      <w:proofErr w:type="spellEnd"/>
      <w:r w:rsidR="00907CEC" w:rsidRPr="00AB5129">
        <w:rPr>
          <w:rFonts w:ascii="Times New Roman" w:hAnsi="Times New Roman" w:cs="Times New Roman"/>
          <w:sz w:val="20"/>
          <w:szCs w:val="20"/>
        </w:rPr>
        <w:t>.</w:t>
      </w:r>
      <w:proofErr w:type="gramStart"/>
      <w:r w:rsidR="00907CEC" w:rsidRPr="00AB5129">
        <w:rPr>
          <w:rFonts w:ascii="Times New Roman" w:hAnsi="Times New Roman" w:cs="Times New Roman"/>
          <w:sz w:val="20"/>
          <w:szCs w:val="20"/>
        </w:rPr>
        <w:t>,</w:t>
      </w:r>
      <w:proofErr w:type="spellStart"/>
      <w:r w:rsidRPr="00AB5129">
        <w:rPr>
          <w:rFonts w:ascii="Times New Roman" w:hAnsi="Times New Roman" w:cs="Times New Roman"/>
          <w:sz w:val="20"/>
          <w:szCs w:val="20"/>
        </w:rPr>
        <w:t>Rakhmatulla</w:t>
      </w:r>
      <w:r w:rsidRPr="00AB5129">
        <w:rPr>
          <w:rFonts w:ascii="Times New Roman" w:hAnsi="Times New Roman" w:cs="Times New Roman"/>
          <w:sz w:val="20"/>
          <w:szCs w:val="20"/>
        </w:rPr>
        <w:t>y</w:t>
      </w:r>
      <w:r w:rsidRPr="00AB5129">
        <w:rPr>
          <w:rFonts w:ascii="Times New Roman" w:hAnsi="Times New Roman" w:cs="Times New Roman"/>
          <w:sz w:val="20"/>
          <w:szCs w:val="20"/>
        </w:rPr>
        <w:t>eva</w:t>
      </w:r>
      <w:proofErr w:type="spellEnd"/>
      <w:proofErr w:type="gramEnd"/>
      <w:r w:rsidR="00907CEC">
        <w:rPr>
          <w:rFonts w:ascii="Times New Roman" w:hAnsi="Times New Roman" w:cs="Times New Roman"/>
          <w:sz w:val="20"/>
          <w:szCs w:val="20"/>
        </w:rPr>
        <w:t>,</w:t>
      </w:r>
      <w:r w:rsidRPr="00AB5129">
        <w:rPr>
          <w:rFonts w:ascii="Times New Roman" w:hAnsi="Times New Roman" w:cs="Times New Roman"/>
          <w:sz w:val="20"/>
          <w:szCs w:val="20"/>
        </w:rPr>
        <w:t xml:space="preserve"> V.N.</w:t>
      </w:r>
      <w:r w:rsidR="00907CEC" w:rsidRPr="00907CEC">
        <w:rPr>
          <w:rFonts w:ascii="Times New Roman" w:hAnsi="Times New Roman" w:cs="Times New Roman"/>
          <w:sz w:val="20"/>
          <w:szCs w:val="20"/>
        </w:rPr>
        <w:t xml:space="preserve"> </w:t>
      </w:r>
      <w:proofErr w:type="spellStart"/>
      <w:r w:rsidR="00907CEC" w:rsidRPr="00AB5129">
        <w:rPr>
          <w:rFonts w:ascii="Times New Roman" w:hAnsi="Times New Roman" w:cs="Times New Roman"/>
          <w:sz w:val="20"/>
          <w:szCs w:val="20"/>
        </w:rPr>
        <w:t>Bobkov</w:t>
      </w:r>
      <w:proofErr w:type="spellEnd"/>
      <w:r w:rsidRPr="00AB5129">
        <w:rPr>
          <w:rFonts w:ascii="Times New Roman" w:hAnsi="Times New Roman" w:cs="Times New Roman"/>
          <w:sz w:val="20"/>
          <w:szCs w:val="20"/>
        </w:rPr>
        <w:t xml:space="preserve">, E.B. </w:t>
      </w:r>
      <w:proofErr w:type="spellStart"/>
      <w:r w:rsidR="00907CEC" w:rsidRPr="00AB5129">
        <w:rPr>
          <w:rFonts w:ascii="Times New Roman" w:hAnsi="Times New Roman" w:cs="Times New Roman"/>
          <w:sz w:val="20"/>
          <w:szCs w:val="20"/>
        </w:rPr>
        <w:t>Zhatkanbayev</w:t>
      </w:r>
      <w:proofErr w:type="spellEnd"/>
      <w:r w:rsidR="00907CEC">
        <w:rPr>
          <w:rFonts w:ascii="Times New Roman" w:hAnsi="Times New Roman" w:cs="Times New Roman"/>
          <w:sz w:val="20"/>
          <w:szCs w:val="20"/>
        </w:rPr>
        <w:t>,</w:t>
      </w:r>
      <w:r w:rsidR="00907CEC" w:rsidRPr="00AB5129">
        <w:rPr>
          <w:rFonts w:ascii="Times New Roman" w:hAnsi="Times New Roman" w:cs="Times New Roman"/>
          <w:sz w:val="20"/>
          <w:szCs w:val="20"/>
        </w:rPr>
        <w:t xml:space="preserve"> </w:t>
      </w:r>
      <w:r w:rsidR="00907CEC">
        <w:rPr>
          <w:rFonts w:ascii="Times New Roman" w:hAnsi="Times New Roman" w:cs="Times New Roman"/>
          <w:sz w:val="20"/>
          <w:szCs w:val="20"/>
        </w:rPr>
        <w:t>E</w:t>
      </w:r>
      <w:r w:rsidRPr="00AB5129">
        <w:rPr>
          <w:rFonts w:ascii="Times New Roman" w:hAnsi="Times New Roman" w:cs="Times New Roman"/>
          <w:sz w:val="20"/>
          <w:szCs w:val="20"/>
        </w:rPr>
        <w:t>R</w:t>
      </w:r>
      <w:r w:rsidR="00907CEC">
        <w:rPr>
          <w:rFonts w:ascii="Times New Roman" w:hAnsi="Times New Roman" w:cs="Times New Roman"/>
          <w:sz w:val="20"/>
          <w:szCs w:val="20"/>
        </w:rPr>
        <w:t>,</w:t>
      </w:r>
      <w:r w:rsidRPr="00AB5129">
        <w:rPr>
          <w:rFonts w:ascii="Times New Roman" w:hAnsi="Times New Roman" w:cs="Times New Roman"/>
          <w:sz w:val="20"/>
          <w:szCs w:val="20"/>
        </w:rPr>
        <w:t xml:space="preserve"> </w:t>
      </w:r>
      <w:r w:rsidRPr="00295EA5">
        <w:rPr>
          <w:rFonts w:ascii="Times New Roman" w:hAnsi="Times New Roman" w:cs="Times New Roman"/>
          <w:b/>
          <w:sz w:val="20"/>
          <w:szCs w:val="20"/>
        </w:rPr>
        <w:t>2</w:t>
      </w:r>
      <w:r w:rsidRPr="00AB5129">
        <w:rPr>
          <w:rFonts w:ascii="Times New Roman" w:hAnsi="Times New Roman" w:cs="Times New Roman"/>
          <w:sz w:val="20"/>
          <w:szCs w:val="20"/>
        </w:rPr>
        <w:t xml:space="preserve">, </w:t>
      </w:r>
      <w:r w:rsidRPr="00AB5129">
        <w:rPr>
          <w:rFonts w:ascii="Times New Roman" w:hAnsi="Times New Roman" w:cs="Times New Roman"/>
          <w:sz w:val="20"/>
          <w:szCs w:val="20"/>
        </w:rPr>
        <w:t>285-300</w:t>
      </w:r>
      <w:r w:rsidR="00907CEC" w:rsidRPr="00907CEC">
        <w:rPr>
          <w:rFonts w:ascii="Times New Roman" w:hAnsi="Times New Roman" w:cs="Times New Roman"/>
          <w:sz w:val="20"/>
          <w:szCs w:val="20"/>
        </w:rPr>
        <w:t xml:space="preserve"> </w:t>
      </w:r>
      <w:r w:rsidR="00907CEC" w:rsidRPr="00AB5129">
        <w:rPr>
          <w:rFonts w:ascii="Times New Roman" w:hAnsi="Times New Roman" w:cs="Times New Roman"/>
          <w:sz w:val="20"/>
          <w:szCs w:val="20"/>
        </w:rPr>
        <w:t>( 2015)</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17. </w:t>
      </w:r>
      <w:proofErr w:type="spellStart"/>
      <w:r w:rsidR="00295EA5" w:rsidRPr="00AB5129">
        <w:rPr>
          <w:rFonts w:ascii="Times New Roman" w:hAnsi="Times New Roman" w:cs="Times New Roman"/>
          <w:sz w:val="20"/>
          <w:szCs w:val="20"/>
        </w:rPr>
        <w:t>Ye.Zh</w:t>
      </w:r>
      <w:proofErr w:type="spellEnd"/>
      <w:r w:rsidR="00295EA5" w:rsidRPr="00AB5129">
        <w:rPr>
          <w:rFonts w:ascii="Times New Roman" w:hAnsi="Times New Roman" w:cs="Times New Roman"/>
          <w:sz w:val="20"/>
          <w:szCs w:val="20"/>
        </w:rPr>
        <w:t xml:space="preserve">. </w:t>
      </w:r>
      <w:proofErr w:type="spellStart"/>
      <w:proofErr w:type="gramStart"/>
      <w:r w:rsidR="00295EA5" w:rsidRPr="00AB5129">
        <w:rPr>
          <w:rFonts w:ascii="Times New Roman" w:hAnsi="Times New Roman" w:cs="Times New Roman"/>
          <w:sz w:val="20"/>
          <w:szCs w:val="20"/>
        </w:rPr>
        <w:t>Akhmetzaki</w:t>
      </w:r>
      <w:proofErr w:type="spellEnd"/>
      <w:r w:rsidR="00295EA5">
        <w:rPr>
          <w:rFonts w:ascii="Times New Roman" w:hAnsi="Times New Roman" w:cs="Times New Roman"/>
          <w:sz w:val="20"/>
          <w:szCs w:val="20"/>
        </w:rPr>
        <w:t>,</w:t>
      </w:r>
      <w:r w:rsidR="00295EA5" w:rsidRPr="00AB5129">
        <w:rPr>
          <w:rFonts w:ascii="Times New Roman" w:hAnsi="Times New Roman" w:cs="Times New Roman"/>
          <w:sz w:val="20"/>
          <w:szCs w:val="20"/>
        </w:rPr>
        <w:t xml:space="preserve"> </w:t>
      </w:r>
      <w:r w:rsidRPr="00AB5129">
        <w:rPr>
          <w:rFonts w:ascii="Times New Roman" w:hAnsi="Times New Roman" w:cs="Times New Roman"/>
          <w:sz w:val="20"/>
          <w:szCs w:val="20"/>
        </w:rPr>
        <w:t xml:space="preserve">B.M. </w:t>
      </w:r>
      <w:proofErr w:type="spellStart"/>
      <w:r w:rsidR="00295EA5" w:rsidRPr="00AB5129">
        <w:rPr>
          <w:rFonts w:ascii="Times New Roman" w:hAnsi="Times New Roman" w:cs="Times New Roman"/>
          <w:sz w:val="20"/>
          <w:szCs w:val="20"/>
        </w:rPr>
        <w:t>Mukhamediyev</w:t>
      </w:r>
      <w:proofErr w:type="spellEnd"/>
      <w:r w:rsidR="00295EA5" w:rsidRPr="00AB5129">
        <w:rPr>
          <w:rFonts w:ascii="Times New Roman" w:hAnsi="Times New Roman" w:cs="Times New Roman"/>
          <w:sz w:val="20"/>
          <w:szCs w:val="20"/>
        </w:rPr>
        <w:t xml:space="preserve">, </w:t>
      </w:r>
      <w:r w:rsidRPr="00AB5129">
        <w:rPr>
          <w:rFonts w:ascii="Times New Roman" w:hAnsi="Times New Roman" w:cs="Times New Roman"/>
          <w:sz w:val="20"/>
          <w:szCs w:val="20"/>
        </w:rPr>
        <w:t xml:space="preserve">ER, </w:t>
      </w:r>
      <w:r w:rsidRPr="00295EA5">
        <w:rPr>
          <w:rFonts w:ascii="Times New Roman" w:hAnsi="Times New Roman" w:cs="Times New Roman"/>
          <w:b/>
          <w:sz w:val="20"/>
          <w:szCs w:val="20"/>
        </w:rPr>
        <w:t>13 (3),</w:t>
      </w:r>
      <w:r w:rsidRPr="00AB5129">
        <w:rPr>
          <w:rFonts w:ascii="Times New Roman" w:hAnsi="Times New Roman" w:cs="Times New Roman"/>
          <w:sz w:val="20"/>
          <w:szCs w:val="20"/>
        </w:rPr>
        <w:t xml:space="preserve"> 959-970</w:t>
      </w:r>
      <w:r w:rsidR="00295EA5">
        <w:rPr>
          <w:rFonts w:ascii="Times New Roman" w:hAnsi="Times New Roman" w:cs="Times New Roman"/>
          <w:sz w:val="20"/>
          <w:szCs w:val="20"/>
        </w:rPr>
        <w:t xml:space="preserve"> </w:t>
      </w:r>
      <w:r w:rsidR="00295EA5" w:rsidRPr="00AB5129">
        <w:rPr>
          <w:rFonts w:ascii="Times New Roman" w:hAnsi="Times New Roman" w:cs="Times New Roman"/>
          <w:sz w:val="20"/>
          <w:szCs w:val="20"/>
        </w:rPr>
        <w:t>(2017).</w:t>
      </w:r>
      <w:proofErr w:type="gramEnd"/>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18. OECD </w:t>
      </w:r>
      <w:proofErr w:type="spellStart"/>
      <w:r w:rsidRPr="00AB5129">
        <w:rPr>
          <w:rFonts w:ascii="Times New Roman" w:hAnsi="Times New Roman" w:cs="Times New Roman"/>
          <w:sz w:val="20"/>
          <w:szCs w:val="20"/>
        </w:rPr>
        <w:t>doi</w:t>
      </w:r>
      <w:proofErr w:type="spellEnd"/>
      <w:r w:rsidRPr="00AB5129">
        <w:rPr>
          <w:rFonts w:ascii="Times New Roman" w:hAnsi="Times New Roman" w:cs="Times New Roman"/>
          <w:sz w:val="20"/>
          <w:szCs w:val="20"/>
        </w:rPr>
        <w:t>: 10.1787 / 99f6e393-en</w:t>
      </w:r>
      <w:r w:rsidR="00295EA5">
        <w:rPr>
          <w:rFonts w:ascii="Times New Roman" w:hAnsi="Times New Roman" w:cs="Times New Roman"/>
          <w:sz w:val="20"/>
          <w:szCs w:val="20"/>
        </w:rPr>
        <w:t>,</w:t>
      </w:r>
      <w:r w:rsidRPr="00AB5129">
        <w:rPr>
          <w:rFonts w:ascii="Times New Roman" w:hAnsi="Times New Roman" w:cs="Times New Roman"/>
          <w:sz w:val="20"/>
          <w:szCs w:val="20"/>
        </w:rPr>
        <w:t xml:space="preserve"> </w:t>
      </w:r>
      <w:r w:rsidR="00295EA5" w:rsidRPr="00AB5129">
        <w:rPr>
          <w:rFonts w:ascii="Times New Roman" w:hAnsi="Times New Roman" w:cs="Times New Roman"/>
          <w:sz w:val="20"/>
          <w:szCs w:val="20"/>
        </w:rPr>
        <w:t>(2020</w:t>
      </w:r>
      <w:r w:rsidRPr="00AB5129">
        <w:rPr>
          <w:rFonts w:ascii="Times New Roman" w:hAnsi="Times New Roman" w:cs="Times New Roman"/>
          <w:sz w:val="20"/>
          <w:szCs w:val="20"/>
        </w:rPr>
        <w:t>)</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19. OECD </w:t>
      </w:r>
      <w:r w:rsidR="00295EA5" w:rsidRPr="00AB5129">
        <w:rPr>
          <w:rFonts w:ascii="Times New Roman" w:hAnsi="Times New Roman" w:cs="Times New Roman"/>
          <w:sz w:val="20"/>
          <w:szCs w:val="20"/>
        </w:rPr>
        <w:t>(2020)</w:t>
      </w:r>
      <w:r w:rsidR="00295EA5">
        <w:rPr>
          <w:rFonts w:ascii="Times New Roman" w:hAnsi="Times New Roman" w:cs="Times New Roman"/>
          <w:sz w:val="20"/>
          <w:szCs w:val="20"/>
        </w:rPr>
        <w:t xml:space="preserve"> </w:t>
      </w:r>
      <w:proofErr w:type="spellStart"/>
      <w:r w:rsidRPr="00AB5129">
        <w:rPr>
          <w:rFonts w:ascii="Times New Roman" w:hAnsi="Times New Roman" w:cs="Times New Roman"/>
          <w:sz w:val="20"/>
          <w:szCs w:val="20"/>
        </w:rPr>
        <w:t>doi</w:t>
      </w:r>
      <w:proofErr w:type="spellEnd"/>
      <w:r w:rsidRPr="00AB5129">
        <w:rPr>
          <w:rFonts w:ascii="Times New Roman" w:hAnsi="Times New Roman" w:cs="Times New Roman"/>
          <w:sz w:val="20"/>
          <w:szCs w:val="20"/>
        </w:rPr>
        <w:t>: 10.1787 / dc2f7aec-en</w:t>
      </w:r>
      <w:r w:rsidR="00295EA5">
        <w:rPr>
          <w:rFonts w:ascii="Times New Roman" w:hAnsi="Times New Roman" w:cs="Times New Roman"/>
          <w:sz w:val="20"/>
          <w:szCs w:val="20"/>
        </w:rPr>
        <w:t>,</w:t>
      </w:r>
      <w:r w:rsidRPr="00AB5129">
        <w:rPr>
          <w:rFonts w:ascii="Times New Roman" w:hAnsi="Times New Roman" w:cs="Times New Roman"/>
          <w:sz w:val="20"/>
          <w:szCs w:val="20"/>
        </w:rPr>
        <w:t xml:space="preserve"> </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20. </w:t>
      </w:r>
      <w:r w:rsidR="00295EA5">
        <w:rPr>
          <w:rFonts w:ascii="Times New Roman" w:hAnsi="Times New Roman" w:cs="Times New Roman"/>
          <w:sz w:val="20"/>
          <w:szCs w:val="20"/>
        </w:rPr>
        <w:t>MNE RK</w:t>
      </w:r>
      <w:r w:rsidRPr="00AB5129">
        <w:rPr>
          <w:rFonts w:ascii="Times New Roman" w:hAnsi="Times New Roman" w:cs="Times New Roman"/>
          <w:sz w:val="20"/>
          <w:szCs w:val="20"/>
        </w:rPr>
        <w:t>, S</w:t>
      </w:r>
      <w:r w:rsidR="00295EA5">
        <w:rPr>
          <w:rFonts w:ascii="Times New Roman" w:hAnsi="Times New Roman" w:cs="Times New Roman"/>
          <w:sz w:val="20"/>
          <w:szCs w:val="20"/>
        </w:rPr>
        <w:t>C</w:t>
      </w:r>
      <w:r w:rsidRPr="00AB5129">
        <w:rPr>
          <w:rFonts w:ascii="Times New Roman" w:hAnsi="Times New Roman" w:cs="Times New Roman"/>
          <w:sz w:val="20"/>
          <w:szCs w:val="20"/>
        </w:rPr>
        <w:t xml:space="preserve"> </w:t>
      </w:r>
      <w:r w:rsidR="00295EA5" w:rsidRPr="00AB5129">
        <w:rPr>
          <w:rFonts w:ascii="Times New Roman" w:hAnsi="Times New Roman" w:cs="Times New Roman"/>
          <w:sz w:val="20"/>
          <w:szCs w:val="20"/>
        </w:rPr>
        <w:t>(2020)</w:t>
      </w:r>
      <w:r w:rsidR="00295EA5">
        <w:rPr>
          <w:rFonts w:ascii="Times New Roman" w:hAnsi="Times New Roman" w:cs="Times New Roman"/>
          <w:sz w:val="20"/>
          <w:szCs w:val="20"/>
        </w:rPr>
        <w:t xml:space="preserve">, </w:t>
      </w:r>
      <w:r w:rsidRPr="00AB5129">
        <w:rPr>
          <w:rFonts w:ascii="Times New Roman" w:hAnsi="Times New Roman" w:cs="Times New Roman"/>
          <w:sz w:val="20"/>
          <w:szCs w:val="20"/>
        </w:rPr>
        <w:t xml:space="preserve">https://stat.gov.kz/official/dynamic </w:t>
      </w:r>
    </w:p>
    <w:p w:rsidR="00AB5129" w:rsidRPr="00AB5129" w:rsidRDefault="00AB5129" w:rsidP="003256B8">
      <w:pPr>
        <w:spacing w:after="0" w:line="240" w:lineRule="auto"/>
        <w:jc w:val="both"/>
        <w:rPr>
          <w:rFonts w:ascii="Times New Roman" w:hAnsi="Times New Roman" w:cs="Times New Roman"/>
          <w:sz w:val="20"/>
          <w:szCs w:val="20"/>
        </w:rPr>
      </w:pPr>
      <w:r w:rsidRPr="00AB5129">
        <w:rPr>
          <w:rFonts w:ascii="Times New Roman" w:hAnsi="Times New Roman" w:cs="Times New Roman"/>
          <w:sz w:val="20"/>
          <w:szCs w:val="20"/>
        </w:rPr>
        <w:t xml:space="preserve">21. </w:t>
      </w:r>
      <w:r w:rsidR="00295EA5">
        <w:rPr>
          <w:rFonts w:ascii="Times New Roman" w:hAnsi="Times New Roman" w:cs="Times New Roman"/>
          <w:sz w:val="20"/>
          <w:szCs w:val="20"/>
        </w:rPr>
        <w:t>NB</w:t>
      </w:r>
      <w:r w:rsidRPr="00AB5129">
        <w:rPr>
          <w:rFonts w:ascii="Times New Roman" w:hAnsi="Times New Roman" w:cs="Times New Roman"/>
          <w:sz w:val="20"/>
          <w:szCs w:val="20"/>
        </w:rPr>
        <w:t xml:space="preserve">K, </w:t>
      </w:r>
      <w:r w:rsidR="00295EA5" w:rsidRPr="00AB5129">
        <w:rPr>
          <w:rFonts w:ascii="Times New Roman" w:hAnsi="Times New Roman" w:cs="Times New Roman"/>
          <w:sz w:val="20"/>
          <w:szCs w:val="20"/>
        </w:rPr>
        <w:t>(2020)</w:t>
      </w:r>
      <w:r w:rsidR="00295EA5">
        <w:rPr>
          <w:rFonts w:ascii="Times New Roman" w:hAnsi="Times New Roman" w:cs="Times New Roman"/>
          <w:sz w:val="20"/>
          <w:szCs w:val="20"/>
        </w:rPr>
        <w:t xml:space="preserve"> </w:t>
      </w:r>
      <w:r w:rsidRPr="00AB5129">
        <w:rPr>
          <w:rFonts w:ascii="Times New Roman" w:hAnsi="Times New Roman" w:cs="Times New Roman"/>
          <w:sz w:val="20"/>
          <w:szCs w:val="20"/>
        </w:rPr>
        <w:t xml:space="preserve">https://nationalbank.kz/?docid=469&amp;switch=english </w:t>
      </w:r>
    </w:p>
    <w:sectPr w:rsidR="00AB5129" w:rsidRPr="00AB5129" w:rsidSect="00393063">
      <w:pgSz w:w="9639" w:h="14175" w:code="1"/>
      <w:pgMar w:top="136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129"/>
    <w:rsid w:val="00021CA9"/>
    <w:rsid w:val="000B1D40"/>
    <w:rsid w:val="000E6D15"/>
    <w:rsid w:val="00250E83"/>
    <w:rsid w:val="0029112A"/>
    <w:rsid w:val="00295EA5"/>
    <w:rsid w:val="003256B8"/>
    <w:rsid w:val="00393063"/>
    <w:rsid w:val="00446F1E"/>
    <w:rsid w:val="004A0DE2"/>
    <w:rsid w:val="005A5BE3"/>
    <w:rsid w:val="005D68BB"/>
    <w:rsid w:val="007D4EE4"/>
    <w:rsid w:val="008F1398"/>
    <w:rsid w:val="008F35DA"/>
    <w:rsid w:val="00907CEC"/>
    <w:rsid w:val="0092192E"/>
    <w:rsid w:val="009446F4"/>
    <w:rsid w:val="00A45D04"/>
    <w:rsid w:val="00AA44FC"/>
    <w:rsid w:val="00AB5129"/>
    <w:rsid w:val="00B166B0"/>
    <w:rsid w:val="00B60BE6"/>
    <w:rsid w:val="00B85B44"/>
    <w:rsid w:val="00C54E5B"/>
    <w:rsid w:val="00C56BC2"/>
    <w:rsid w:val="00CA05D4"/>
    <w:rsid w:val="00CA2365"/>
    <w:rsid w:val="00D92037"/>
    <w:rsid w:val="00E800B7"/>
    <w:rsid w:val="00EA1D4C"/>
    <w:rsid w:val="00ED0AD7"/>
    <w:rsid w:val="00EF1609"/>
    <w:rsid w:val="00F23E78"/>
    <w:rsid w:val="00F405AF"/>
    <w:rsid w:val="00FC3301"/>
    <w:rsid w:val="00FF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1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129"/>
    <w:rPr>
      <w:rFonts w:ascii="Tahoma" w:hAnsi="Tahoma" w:cs="Tahoma"/>
      <w:sz w:val="16"/>
      <w:szCs w:val="16"/>
    </w:rPr>
  </w:style>
  <w:style w:type="character" w:styleId="a5">
    <w:name w:val="Emphasis"/>
    <w:basedOn w:val="a0"/>
    <w:uiPriority w:val="20"/>
    <w:qFormat/>
    <w:rsid w:val="00A45D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1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129"/>
    <w:rPr>
      <w:rFonts w:ascii="Tahoma" w:hAnsi="Tahoma" w:cs="Tahoma"/>
      <w:sz w:val="16"/>
      <w:szCs w:val="16"/>
    </w:rPr>
  </w:style>
  <w:style w:type="character" w:styleId="a5">
    <w:name w:val="Emphasis"/>
    <w:basedOn w:val="a0"/>
    <w:uiPriority w:val="20"/>
    <w:qFormat/>
    <w:rsid w:val="00A45D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chart" Target="charts/chart2.xml"/><Relationship Id="rId5" Type="http://schemas.openxmlformats.org/officeDocument/2006/relationships/diagramData" Target="diagrams/data1.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diagramDrawing" Target="diagrams/drawing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inara\Desktop\&#1087;&#1088;&#1077;&#1079;&#1077;&#1085;&#1090;&#1072;&#1094;&#1080;&#1080;\&#1052;&#1042;&#1040;\&#1057;&#1069;&#1056;%20&#1056;&#1050;%201991-2019%20(&#1088;&#1091;&#1089;)%2014%2001%202020.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
          <c:y val="2.6724746880150696E-2"/>
          <c:w val="1"/>
          <c:h val="0.95199802524154931"/>
        </c:manualLayout>
      </c:layout>
      <c:barChart>
        <c:barDir val="bar"/>
        <c:grouping val="clustered"/>
        <c:varyColors val="0"/>
        <c:ser>
          <c:idx val="0"/>
          <c:order val="0"/>
          <c:tx>
            <c:strRef>
              <c:f>Лист1!$A$18</c:f>
              <c:strCache>
                <c:ptCount val="1"/>
                <c:pt idx="0">
                  <c:v>GDP, bln. dollars USA</c:v>
                </c:pt>
              </c:strCache>
            </c:strRef>
          </c:tx>
          <c:invertIfNegative val="0"/>
          <c:cat>
            <c:numRef>
              <c:f>Лист1!$B$17:$Z$17</c:f>
              <c:numCache>
                <c:formatCode>General</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Лист1!$B$18:$Z$18</c:f>
              <c:numCache>
                <c:formatCode>#,##0.0</c:formatCode>
                <c:ptCount val="25"/>
                <c:pt idx="0">
                  <c:v>11404.3</c:v>
                </c:pt>
                <c:pt idx="1">
                  <c:v>11881.8</c:v>
                </c:pt>
                <c:pt idx="2">
                  <c:v>16639.7</c:v>
                </c:pt>
                <c:pt idx="3">
                  <c:v>21036.400000000001</c:v>
                </c:pt>
                <c:pt idx="4">
                  <c:v>22165.200000000001</c:v>
                </c:pt>
                <c:pt idx="5">
                  <c:v>22136.2</c:v>
                </c:pt>
                <c:pt idx="6">
                  <c:v>16871.3</c:v>
                </c:pt>
                <c:pt idx="7">
                  <c:v>18292.400000000001</c:v>
                </c:pt>
                <c:pt idx="8">
                  <c:v>22152.1</c:v>
                </c:pt>
                <c:pt idx="9">
                  <c:v>24636.5</c:v>
                </c:pt>
                <c:pt idx="10">
                  <c:v>30832.799999999999</c:v>
                </c:pt>
                <c:pt idx="11">
                  <c:v>43150.1</c:v>
                </c:pt>
                <c:pt idx="12">
                  <c:v>57123.7</c:v>
                </c:pt>
                <c:pt idx="13">
                  <c:v>81003.5</c:v>
                </c:pt>
                <c:pt idx="14">
                  <c:v>104853.5</c:v>
                </c:pt>
                <c:pt idx="15">
                  <c:v>133440.70000000001</c:v>
                </c:pt>
                <c:pt idx="16">
                  <c:v>115306.1</c:v>
                </c:pt>
                <c:pt idx="17">
                  <c:v>148052.4</c:v>
                </c:pt>
                <c:pt idx="18">
                  <c:v>192627.6</c:v>
                </c:pt>
                <c:pt idx="19">
                  <c:v>208002.1</c:v>
                </c:pt>
                <c:pt idx="20">
                  <c:v>236633.3</c:v>
                </c:pt>
                <c:pt idx="21">
                  <c:v>221417.7</c:v>
                </c:pt>
                <c:pt idx="22">
                  <c:v>184387</c:v>
                </c:pt>
                <c:pt idx="23" formatCode="General">
                  <c:v>137278.29999999999</c:v>
                </c:pt>
                <c:pt idx="24">
                  <c:v>166806.29999999999</c:v>
                </c:pt>
              </c:numCache>
            </c:numRef>
          </c:val>
        </c:ser>
        <c:dLbls>
          <c:showLegendKey val="0"/>
          <c:showVal val="1"/>
          <c:showCatName val="0"/>
          <c:showSerName val="0"/>
          <c:showPercent val="0"/>
          <c:showBubbleSize val="0"/>
        </c:dLbls>
        <c:gapWidth val="402"/>
        <c:overlap val="64"/>
        <c:axId val="404396288"/>
        <c:axId val="405701760"/>
      </c:barChart>
      <c:catAx>
        <c:axId val="404396288"/>
        <c:scaling>
          <c:orientation val="minMax"/>
        </c:scaling>
        <c:delete val="0"/>
        <c:axPos val="l"/>
        <c:numFmt formatCode="General" sourceLinked="1"/>
        <c:majorTickMark val="none"/>
        <c:minorTickMark val="none"/>
        <c:tickLblPos val="nextTo"/>
        <c:crossAx val="405701760"/>
        <c:crosses val="autoZero"/>
        <c:auto val="1"/>
        <c:lblAlgn val="ctr"/>
        <c:lblOffset val="100"/>
        <c:noMultiLvlLbl val="0"/>
      </c:catAx>
      <c:valAx>
        <c:axId val="405701760"/>
        <c:scaling>
          <c:orientation val="minMax"/>
        </c:scaling>
        <c:delete val="1"/>
        <c:axPos val="b"/>
        <c:numFmt formatCode="#,##0.0" sourceLinked="1"/>
        <c:majorTickMark val="none"/>
        <c:minorTickMark val="none"/>
        <c:tickLblPos val="nextTo"/>
        <c:crossAx val="404396288"/>
        <c:crosses val="autoZero"/>
        <c:crossBetween val="between"/>
      </c:valAx>
    </c:plotArea>
    <c:plotVisOnly val="1"/>
    <c:dispBlanksAs val="gap"/>
    <c:showDLblsOverMax val="0"/>
  </c:chart>
  <c:txPr>
    <a:bodyPr/>
    <a:lstStyle/>
    <a:p>
      <a:pPr>
        <a:defRPr sz="9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Лист1!$B$1</c:f>
              <c:strCache>
                <c:ptCount val="1"/>
                <c:pt idx="0">
                  <c:v>валовый приток прямых иностранных инвестиций</c:v>
                </c:pt>
              </c:strCache>
            </c:strRef>
          </c:tx>
          <c:invertIfNegative val="0"/>
          <c:dLbls>
            <c:dLbl>
              <c:idx val="0"/>
              <c:layout>
                <c:manualLayout>
                  <c:x val="0"/>
                  <c:y val="1.984126984126986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975-4C0D-9BB3-994B1290DB49}"/>
                </c:ext>
              </c:extLst>
            </c:dLbl>
            <c:dLbl>
              <c:idx val="1"/>
              <c:layout>
                <c:manualLayout>
                  <c:x val="2.6367857863920695E-3"/>
                  <c:y val="-3.767731280780925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0975-4C0D-9BB3-994B1290DB49}"/>
                </c:ext>
              </c:extLst>
            </c:dLbl>
            <c:dLbl>
              <c:idx val="2"/>
              <c:layout>
                <c:manualLayout>
                  <c:x val="-5.5799921561529419E-3"/>
                  <c:y val="1.388873265841772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0975-4C0D-9BB3-994B1290DB49}"/>
                </c:ext>
              </c:extLst>
            </c:dLbl>
            <c:dLbl>
              <c:idx val="3"/>
              <c:layout>
                <c:manualLayout>
                  <c:x val="6.5681444991789817E-3"/>
                  <c:y val="2.380952380952381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975-4C0D-9BB3-994B1290DB49}"/>
                </c:ext>
              </c:extLst>
            </c:dLbl>
            <c:dLbl>
              <c:idx val="6"/>
              <c:layout>
                <c:manualLayout>
                  <c:x val="4.3716466701891506E-3"/>
                  <c:y val="1.98413400572118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975-4C0D-9BB3-994B1290DB49}"/>
                </c:ext>
              </c:extLst>
            </c:dLbl>
            <c:dLbl>
              <c:idx val="8"/>
              <c:layout>
                <c:manualLayout>
                  <c:x val="-6.5680583030569483E-3"/>
                  <c:y val="-1.190476190476198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0975-4C0D-9BB3-994B1290DB49}"/>
                </c:ext>
              </c:extLst>
            </c:dLbl>
            <c:dLbl>
              <c:idx val="10"/>
              <c:layout>
                <c:manualLayout>
                  <c:x val="6.5681444991789019E-3"/>
                  <c:y val="-7.936507936507941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0975-4C0D-9BB3-994B1290DB49}"/>
                </c:ext>
              </c:extLst>
            </c:dLbl>
            <c:dLbl>
              <c:idx val="11"/>
              <c:layout>
                <c:manualLayout>
                  <c:x val="-1.5325670498084388E-2"/>
                  <c:y val="-7.2750482331543288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0975-4C0D-9BB3-994B1290DB49}"/>
                </c:ext>
              </c:extLst>
            </c:dLbl>
            <c:dLbl>
              <c:idx val="14"/>
              <c:layout>
                <c:manualLayout>
                  <c:x val="-2.1621621621621651E-2"/>
                  <c:y val="3.968253968253936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0975-4C0D-9BB3-994B1290DB49}"/>
                </c:ext>
              </c:extLst>
            </c:dLbl>
            <c:dLbl>
              <c:idx val="15"/>
              <c:layout>
                <c:manualLayout>
                  <c:x val="-4.8048048048048063E-3"/>
                  <c:y val="1.587301587301583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0975-4C0D-9BB3-994B1290DB49}"/>
                </c:ext>
              </c:extLst>
            </c:dLbl>
            <c:dLbl>
              <c:idx val="16"/>
              <c:layout>
                <c:manualLayout>
                  <c:x val="7.2072072072071258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0975-4C0D-9BB3-994B1290DB49}"/>
                </c:ext>
              </c:extLst>
            </c:dLbl>
            <c:dLbl>
              <c:idx val="17"/>
              <c:layout>
                <c:manualLayout>
                  <c:x val="0"/>
                  <c:y val="-1.984126984126990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0975-4C0D-9BB3-994B1290DB49}"/>
                </c:ext>
              </c:extLst>
            </c:dLbl>
            <c:dLbl>
              <c:idx val="20"/>
              <c:layout>
                <c:manualLayout>
                  <c:x val="0"/>
                  <c:y val="-7.936507936507941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0975-4C0D-9BB3-994B1290DB49}"/>
                </c:ext>
              </c:extLst>
            </c:dLbl>
            <c:dLbl>
              <c:idx val="21"/>
              <c:layout>
                <c:manualLayout>
                  <c:x val="2.1621621621621651E-2"/>
                  <c:y val="-3.637524116577165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0975-4C0D-9BB3-994B1290DB49}"/>
                </c:ext>
              </c:extLst>
            </c:dLbl>
            <c:dLbl>
              <c:idx val="22"/>
              <c:layout>
                <c:manualLayout>
                  <c:x val="2.6226099806262392E-3"/>
                  <c:y val="7.312119692903471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0975-4C0D-9BB3-994B1290DB49}"/>
                </c:ext>
              </c:extLst>
            </c:dLbl>
            <c:dLbl>
              <c:idx val="23"/>
              <c:layout>
                <c:manualLayout>
                  <c:x val="-9.6096096096096283E-3"/>
                  <c:y val="1.190476190476194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0975-4C0D-9BB3-994B1290DB49}"/>
                </c:ext>
              </c:extLst>
            </c:dLbl>
            <c:dLbl>
              <c:idx val="24"/>
              <c:layout>
                <c:manualLayout>
                  <c:x val="1.5615615615615632E-2"/>
                  <c:y val="1.190476190476188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1-0975-4C0D-9BB3-994B1290DB49}"/>
                </c:ext>
              </c:extLst>
            </c:dLbl>
            <c:txPr>
              <a:bodyPr rot="0" vert="horz"/>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Лист1!$A$2:$A$26</c:f>
              <c:numCache>
                <c:formatCode>General</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Лист1!$B$2:$B$26</c:f>
              <c:numCache>
                <c:formatCode>General</c:formatCode>
                <c:ptCount val="25"/>
                <c:pt idx="0">
                  <c:v>1271</c:v>
                </c:pt>
                <c:pt idx="1">
                  <c:v>660</c:v>
                </c:pt>
                <c:pt idx="2">
                  <c:v>984</c:v>
                </c:pt>
                <c:pt idx="3">
                  <c:v>1674</c:v>
                </c:pt>
                <c:pt idx="4">
                  <c:v>2107</c:v>
                </c:pt>
                <c:pt idx="5">
                  <c:v>1233</c:v>
                </c:pt>
                <c:pt idx="6">
                  <c:v>1857</c:v>
                </c:pt>
                <c:pt idx="7">
                  <c:v>2781</c:v>
                </c:pt>
                <c:pt idx="8">
                  <c:v>4557</c:v>
                </c:pt>
                <c:pt idx="9">
                  <c:v>4106</c:v>
                </c:pt>
                <c:pt idx="10">
                  <c:v>4624</c:v>
                </c:pt>
                <c:pt idx="11">
                  <c:v>8317</c:v>
                </c:pt>
                <c:pt idx="12">
                  <c:v>7916</c:v>
                </c:pt>
                <c:pt idx="13">
                  <c:v>12066</c:v>
                </c:pt>
                <c:pt idx="14">
                  <c:v>19418</c:v>
                </c:pt>
                <c:pt idx="15">
                  <c:v>21301</c:v>
                </c:pt>
                <c:pt idx="16">
                  <c:v>21437</c:v>
                </c:pt>
                <c:pt idx="17">
                  <c:v>22246</c:v>
                </c:pt>
                <c:pt idx="18">
                  <c:v>26467</c:v>
                </c:pt>
                <c:pt idx="19">
                  <c:v>28885</c:v>
                </c:pt>
                <c:pt idx="20">
                  <c:v>24098</c:v>
                </c:pt>
                <c:pt idx="21">
                  <c:v>23726</c:v>
                </c:pt>
                <c:pt idx="22">
                  <c:v>15170</c:v>
                </c:pt>
                <c:pt idx="23">
                  <c:v>20949</c:v>
                </c:pt>
                <c:pt idx="24">
                  <c:v>20765</c:v>
                </c:pt>
              </c:numCache>
            </c:numRef>
          </c:val>
          <c:extLst xmlns:c16r2="http://schemas.microsoft.com/office/drawing/2015/06/chart">
            <c:ext xmlns:c16="http://schemas.microsoft.com/office/drawing/2014/chart" uri="{C3380CC4-5D6E-409C-BE32-E72D297353CC}">
              <c16:uniqueId val="{00000012-0975-4C0D-9BB3-994B1290DB49}"/>
            </c:ext>
          </c:extLst>
        </c:ser>
        <c:ser>
          <c:idx val="1"/>
          <c:order val="1"/>
          <c:tx>
            <c:strRef>
              <c:f>Лист1!$C$1</c:f>
              <c:strCache>
                <c:ptCount val="1"/>
                <c:pt idx="0">
                  <c:v>Столбец1</c:v>
                </c:pt>
              </c:strCache>
            </c:strRef>
          </c:tx>
          <c:invertIfNegative val="0"/>
          <c:cat>
            <c:numRef>
              <c:f>Лист1!$A$2:$A$26</c:f>
              <c:numCache>
                <c:formatCode>General</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Лист1!$C$2:$C$26</c:f>
              <c:numCache>
                <c:formatCode>General</c:formatCode>
                <c:ptCount val="25"/>
              </c:numCache>
            </c:numRef>
          </c:val>
          <c:extLst xmlns:c16r2="http://schemas.microsoft.com/office/drawing/2015/06/chart">
            <c:ext xmlns:c16="http://schemas.microsoft.com/office/drawing/2014/chart" uri="{C3380CC4-5D6E-409C-BE32-E72D297353CC}">
              <c16:uniqueId val="{00000013-0975-4C0D-9BB3-994B1290DB49}"/>
            </c:ext>
          </c:extLst>
        </c:ser>
        <c:dLbls>
          <c:showLegendKey val="0"/>
          <c:showVal val="0"/>
          <c:showCatName val="0"/>
          <c:showSerName val="0"/>
          <c:showPercent val="0"/>
          <c:showBubbleSize val="0"/>
        </c:dLbls>
        <c:gapWidth val="219"/>
        <c:axId val="436985856"/>
        <c:axId val="437184768"/>
      </c:barChart>
      <c:lineChart>
        <c:grouping val="standard"/>
        <c:varyColors val="0"/>
        <c:ser>
          <c:idx val="2"/>
          <c:order val="2"/>
          <c:tx>
            <c:strRef>
              <c:f>Лист1!$D$1</c:f>
              <c:strCache>
                <c:ptCount val="1"/>
                <c:pt idx="0">
                  <c:v>Столбец2</c:v>
                </c:pt>
              </c:strCache>
            </c:strRef>
          </c:tx>
          <c:marker>
            <c:symbol val="none"/>
          </c:marker>
          <c:cat>
            <c:numRef>
              <c:f>Лист1!$A$2:$A$26</c:f>
              <c:numCache>
                <c:formatCode>General</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Лист1!$D$2:$D$26</c:f>
              <c:numCache>
                <c:formatCode>General</c:formatCode>
                <c:ptCount val="25"/>
              </c:numCache>
            </c:numRef>
          </c:val>
          <c:smooth val="0"/>
          <c:extLst xmlns:c16r2="http://schemas.microsoft.com/office/drawing/2015/06/chart">
            <c:ext xmlns:c16="http://schemas.microsoft.com/office/drawing/2014/chart" uri="{C3380CC4-5D6E-409C-BE32-E72D297353CC}">
              <c16:uniqueId val="{00000014-0975-4C0D-9BB3-994B1290DB49}"/>
            </c:ext>
          </c:extLst>
        </c:ser>
        <c:ser>
          <c:idx val="3"/>
          <c:order val="3"/>
          <c:tx>
            <c:strRef>
              <c:f>Лист1!$E$1</c:f>
              <c:strCache>
                <c:ptCount val="1"/>
                <c:pt idx="0">
                  <c:v>Столбец3</c:v>
                </c:pt>
              </c:strCache>
            </c:strRef>
          </c:tx>
          <c:marker>
            <c:symbol val="none"/>
          </c:marker>
          <c:cat>
            <c:numRef>
              <c:f>Лист1!$A$2:$A$26</c:f>
              <c:numCache>
                <c:formatCode>General</c:formatCode>
                <c:ptCount val="25"/>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numCache>
            </c:numRef>
          </c:cat>
          <c:val>
            <c:numRef>
              <c:f>Лист1!$E$2:$E$26</c:f>
              <c:numCache>
                <c:formatCode>General</c:formatCode>
                <c:ptCount val="25"/>
                <c:pt idx="0">
                  <c:v>1.3</c:v>
                </c:pt>
                <c:pt idx="1">
                  <c:v>0.7</c:v>
                </c:pt>
                <c:pt idx="2">
                  <c:v>0.9</c:v>
                </c:pt>
                <c:pt idx="3">
                  <c:v>1.7</c:v>
                </c:pt>
                <c:pt idx="4">
                  <c:v>2.1</c:v>
                </c:pt>
                <c:pt idx="5">
                  <c:v>1.2</c:v>
                </c:pt>
                <c:pt idx="6">
                  <c:v>1.9</c:v>
                </c:pt>
                <c:pt idx="7">
                  <c:v>2.8</c:v>
                </c:pt>
                <c:pt idx="8">
                  <c:v>4.5999999999999996</c:v>
                </c:pt>
                <c:pt idx="9">
                  <c:v>4.0999999999999996</c:v>
                </c:pt>
                <c:pt idx="10">
                  <c:v>4.5999999999999996</c:v>
                </c:pt>
                <c:pt idx="11">
                  <c:v>8.3000000000000007</c:v>
                </c:pt>
                <c:pt idx="12">
                  <c:v>7.9</c:v>
                </c:pt>
                <c:pt idx="13">
                  <c:v>12.1</c:v>
                </c:pt>
                <c:pt idx="14">
                  <c:v>19.399999999999999</c:v>
                </c:pt>
                <c:pt idx="15">
                  <c:v>21.3</c:v>
                </c:pt>
                <c:pt idx="16">
                  <c:v>21.4</c:v>
                </c:pt>
                <c:pt idx="17">
                  <c:v>22.2</c:v>
                </c:pt>
                <c:pt idx="18">
                  <c:v>26.4</c:v>
                </c:pt>
                <c:pt idx="19">
                  <c:v>28.8</c:v>
                </c:pt>
                <c:pt idx="20">
                  <c:v>24.1</c:v>
                </c:pt>
                <c:pt idx="21">
                  <c:v>23.7</c:v>
                </c:pt>
                <c:pt idx="22">
                  <c:v>14.8</c:v>
                </c:pt>
                <c:pt idx="23">
                  <c:v>20.6</c:v>
                </c:pt>
                <c:pt idx="24">
                  <c:v>20.7</c:v>
                </c:pt>
              </c:numCache>
            </c:numRef>
          </c:val>
          <c:smooth val="0"/>
          <c:extLst xmlns:c16r2="http://schemas.microsoft.com/office/drawing/2015/06/chart">
            <c:ext xmlns:c16="http://schemas.microsoft.com/office/drawing/2014/chart" uri="{C3380CC4-5D6E-409C-BE32-E72D297353CC}">
              <c16:uniqueId val="{00000015-0975-4C0D-9BB3-994B1290DB49}"/>
            </c:ext>
          </c:extLst>
        </c:ser>
        <c:dLbls>
          <c:showLegendKey val="0"/>
          <c:showVal val="0"/>
          <c:showCatName val="0"/>
          <c:showSerName val="0"/>
          <c:showPercent val="0"/>
          <c:showBubbleSize val="0"/>
        </c:dLbls>
        <c:marker val="1"/>
        <c:smooth val="0"/>
        <c:axId val="436985856"/>
        <c:axId val="437184768"/>
      </c:lineChart>
      <c:catAx>
        <c:axId val="436985856"/>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437184768"/>
        <c:crosses val="autoZero"/>
        <c:auto val="1"/>
        <c:lblAlgn val="ctr"/>
        <c:lblOffset val="100"/>
        <c:noMultiLvlLbl val="0"/>
      </c:catAx>
      <c:valAx>
        <c:axId val="437184768"/>
        <c:scaling>
          <c:orientation val="minMax"/>
        </c:scaling>
        <c:delete val="1"/>
        <c:axPos val="l"/>
        <c:majorGridlines/>
        <c:numFmt formatCode="General" sourceLinked="1"/>
        <c:majorTickMark val="none"/>
        <c:minorTickMark val="none"/>
        <c:tickLblPos val="nextTo"/>
        <c:crossAx val="436985856"/>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AF2C8B-BAFD-4E5F-A90A-AD1193A0D7ED}" type="doc">
      <dgm:prSet loTypeId="urn:microsoft.com/office/officeart/2005/8/layout/arrow6" loCatId="process" qsTypeId="urn:microsoft.com/office/officeart/2005/8/quickstyle/3d7" qsCatId="3D" csTypeId="urn:microsoft.com/office/officeart/2005/8/colors/accent1_2" csCatId="accent1" phldr="1"/>
      <dgm:spPr/>
      <dgm:t>
        <a:bodyPr/>
        <a:lstStyle/>
        <a:p>
          <a:endParaRPr lang="en-US"/>
        </a:p>
      </dgm:t>
    </dgm:pt>
    <dgm:pt modelId="{77D73FAF-F86F-4C9F-BB5C-60439094B801}">
      <dgm:prSet phldrT="[Текст]" custT="1"/>
      <dgm:spPr/>
      <dgm:t>
        <a:bodyPr/>
        <a:lstStyle/>
        <a:p>
          <a:r>
            <a:rPr lang="en-US" sz="1000">
              <a:latin typeface="Times New Roman" panose="02020603050405020304" pitchFamily="18" charset="0"/>
              <a:cs typeface="Times New Roman" panose="02020603050405020304" pitchFamily="18" charset="0"/>
            </a:rPr>
            <a:t>Theory of economic modernization </a:t>
          </a:r>
        </a:p>
      </dgm:t>
    </dgm:pt>
    <dgm:pt modelId="{103B1F7B-52E3-4D19-9FE9-E0FA7A959576}" type="parTrans" cxnId="{663BE77B-78B9-44E4-B3A0-809F6B28D33C}">
      <dgm:prSet/>
      <dgm:spPr/>
      <dgm:t>
        <a:bodyPr/>
        <a:lstStyle/>
        <a:p>
          <a:endParaRPr lang="en-US" sz="1000">
            <a:latin typeface="Times New Roman" panose="02020603050405020304" pitchFamily="18" charset="0"/>
            <a:cs typeface="Times New Roman" panose="02020603050405020304" pitchFamily="18" charset="0"/>
          </a:endParaRPr>
        </a:p>
      </dgm:t>
    </dgm:pt>
    <dgm:pt modelId="{57B42A4A-E0E2-4D9D-8E85-410DDB7ABBB2}" type="sibTrans" cxnId="{663BE77B-78B9-44E4-B3A0-809F6B28D33C}">
      <dgm:prSet/>
      <dgm:spPr/>
      <dgm:t>
        <a:bodyPr/>
        <a:lstStyle/>
        <a:p>
          <a:endParaRPr lang="en-US" sz="1000">
            <a:latin typeface="Times New Roman" panose="02020603050405020304" pitchFamily="18" charset="0"/>
            <a:cs typeface="Times New Roman" panose="02020603050405020304" pitchFamily="18" charset="0"/>
          </a:endParaRPr>
        </a:p>
      </dgm:t>
    </dgm:pt>
    <dgm:pt modelId="{891CF4F9-128C-494D-A3D3-72DC9B8566B3}">
      <dgm:prSet phldrT="[Текст]" custT="1"/>
      <dgm:spPr/>
      <dgm:t>
        <a:bodyPr/>
        <a:lstStyle/>
        <a:p>
          <a:r>
            <a:rPr lang="en-US" sz="1000">
              <a:latin typeface="Times New Roman" panose="02020603050405020304" pitchFamily="18" charset="0"/>
              <a:cs typeface="Times New Roman" panose="02020603050405020304" pitchFamily="18" charset="0"/>
            </a:rPr>
            <a:t>Theory of the dependence of  the economy </a:t>
          </a:r>
        </a:p>
      </dgm:t>
    </dgm:pt>
    <dgm:pt modelId="{66943E69-B8E4-4D26-9CEF-570E0D594864}" type="parTrans" cxnId="{3D801824-67E1-4A1D-8F62-9FC6938DC656}">
      <dgm:prSet/>
      <dgm:spPr/>
      <dgm:t>
        <a:bodyPr/>
        <a:lstStyle/>
        <a:p>
          <a:endParaRPr lang="en-US" sz="1000">
            <a:latin typeface="Times New Roman" panose="02020603050405020304" pitchFamily="18" charset="0"/>
            <a:cs typeface="Times New Roman" panose="02020603050405020304" pitchFamily="18" charset="0"/>
          </a:endParaRPr>
        </a:p>
      </dgm:t>
    </dgm:pt>
    <dgm:pt modelId="{9B52BE87-E023-4B02-87CA-52E147F22923}" type="sibTrans" cxnId="{3D801824-67E1-4A1D-8F62-9FC6938DC656}">
      <dgm:prSet/>
      <dgm:spPr/>
      <dgm:t>
        <a:bodyPr/>
        <a:lstStyle/>
        <a:p>
          <a:endParaRPr lang="en-US" sz="1000">
            <a:latin typeface="Times New Roman" panose="02020603050405020304" pitchFamily="18" charset="0"/>
            <a:cs typeface="Times New Roman" panose="02020603050405020304" pitchFamily="18" charset="0"/>
          </a:endParaRPr>
        </a:p>
      </dgm:t>
    </dgm:pt>
    <dgm:pt modelId="{FCB8031E-89CA-453D-A1DB-B4544AF0E333}" type="pres">
      <dgm:prSet presAssocID="{93AF2C8B-BAFD-4E5F-A90A-AD1193A0D7ED}" presName="compositeShape" presStyleCnt="0">
        <dgm:presLayoutVars>
          <dgm:chMax val="2"/>
          <dgm:dir/>
          <dgm:resizeHandles val="exact"/>
        </dgm:presLayoutVars>
      </dgm:prSet>
      <dgm:spPr/>
    </dgm:pt>
    <dgm:pt modelId="{9533BC41-EA98-481A-B07B-A27595091180}" type="pres">
      <dgm:prSet presAssocID="{93AF2C8B-BAFD-4E5F-A90A-AD1193A0D7ED}" presName="ribbon" presStyleLbl="node1" presStyleIdx="0" presStyleCnt="1">
        <dgm:style>
          <a:lnRef idx="2">
            <a:schemeClr val="dk1"/>
          </a:lnRef>
          <a:fillRef idx="1">
            <a:schemeClr val="lt1"/>
          </a:fillRef>
          <a:effectRef idx="0">
            <a:schemeClr val="dk1"/>
          </a:effectRef>
          <a:fontRef idx="minor">
            <a:schemeClr val="dk1"/>
          </a:fontRef>
        </dgm:style>
      </dgm:prSet>
      <dgm:spPr/>
      <dgm:t>
        <a:bodyPr/>
        <a:lstStyle/>
        <a:p>
          <a:endParaRPr lang="en-US"/>
        </a:p>
      </dgm:t>
    </dgm:pt>
    <dgm:pt modelId="{7DDDED95-C2B1-48B1-A1F4-D92BB6FC326F}" type="pres">
      <dgm:prSet presAssocID="{93AF2C8B-BAFD-4E5F-A90A-AD1193A0D7ED}" presName="leftArrowText" presStyleLbl="node1" presStyleIdx="0" presStyleCnt="1">
        <dgm:presLayoutVars>
          <dgm:chMax val="0"/>
          <dgm:bulletEnabled val="1"/>
        </dgm:presLayoutVars>
      </dgm:prSet>
      <dgm:spPr/>
      <dgm:t>
        <a:bodyPr/>
        <a:lstStyle/>
        <a:p>
          <a:endParaRPr lang="en-US"/>
        </a:p>
      </dgm:t>
    </dgm:pt>
    <dgm:pt modelId="{01B447C6-20B7-47CF-9825-A5CDBD0F7F03}" type="pres">
      <dgm:prSet presAssocID="{93AF2C8B-BAFD-4E5F-A90A-AD1193A0D7ED}" presName="rightArrowText" presStyleLbl="node1" presStyleIdx="0" presStyleCnt="1">
        <dgm:presLayoutVars>
          <dgm:chMax val="0"/>
          <dgm:bulletEnabled val="1"/>
        </dgm:presLayoutVars>
      </dgm:prSet>
      <dgm:spPr/>
      <dgm:t>
        <a:bodyPr/>
        <a:lstStyle/>
        <a:p>
          <a:endParaRPr lang="en-US"/>
        </a:p>
      </dgm:t>
    </dgm:pt>
  </dgm:ptLst>
  <dgm:cxnLst>
    <dgm:cxn modelId="{663BE77B-78B9-44E4-B3A0-809F6B28D33C}" srcId="{93AF2C8B-BAFD-4E5F-A90A-AD1193A0D7ED}" destId="{77D73FAF-F86F-4C9F-BB5C-60439094B801}" srcOrd="0" destOrd="0" parTransId="{103B1F7B-52E3-4D19-9FE9-E0FA7A959576}" sibTransId="{57B42A4A-E0E2-4D9D-8E85-410DDB7ABBB2}"/>
    <dgm:cxn modelId="{CAEBD1B3-27D0-4549-A991-3CB1331E204E}" type="presOf" srcId="{77D73FAF-F86F-4C9F-BB5C-60439094B801}" destId="{7DDDED95-C2B1-48B1-A1F4-D92BB6FC326F}" srcOrd="0" destOrd="0" presId="urn:microsoft.com/office/officeart/2005/8/layout/arrow6"/>
    <dgm:cxn modelId="{3D801824-67E1-4A1D-8F62-9FC6938DC656}" srcId="{93AF2C8B-BAFD-4E5F-A90A-AD1193A0D7ED}" destId="{891CF4F9-128C-494D-A3D3-72DC9B8566B3}" srcOrd="1" destOrd="0" parTransId="{66943E69-B8E4-4D26-9CEF-570E0D594864}" sibTransId="{9B52BE87-E023-4B02-87CA-52E147F22923}"/>
    <dgm:cxn modelId="{2C403068-D833-4AA3-911B-F614772A3691}" type="presOf" srcId="{891CF4F9-128C-494D-A3D3-72DC9B8566B3}" destId="{01B447C6-20B7-47CF-9825-A5CDBD0F7F03}" srcOrd="0" destOrd="0" presId="urn:microsoft.com/office/officeart/2005/8/layout/arrow6"/>
    <dgm:cxn modelId="{8B6D49E8-09E9-4684-8F71-630038F2FF26}" type="presOf" srcId="{93AF2C8B-BAFD-4E5F-A90A-AD1193A0D7ED}" destId="{FCB8031E-89CA-453D-A1DB-B4544AF0E333}" srcOrd="0" destOrd="0" presId="urn:microsoft.com/office/officeart/2005/8/layout/arrow6"/>
    <dgm:cxn modelId="{6E77E6DF-AA7D-4841-8E6A-B638475A52DD}" type="presParOf" srcId="{FCB8031E-89CA-453D-A1DB-B4544AF0E333}" destId="{9533BC41-EA98-481A-B07B-A27595091180}" srcOrd="0" destOrd="0" presId="urn:microsoft.com/office/officeart/2005/8/layout/arrow6"/>
    <dgm:cxn modelId="{699EC037-A563-48DB-AAA7-65F70D716DA3}" type="presParOf" srcId="{FCB8031E-89CA-453D-A1DB-B4544AF0E333}" destId="{7DDDED95-C2B1-48B1-A1F4-D92BB6FC326F}" srcOrd="1" destOrd="0" presId="urn:microsoft.com/office/officeart/2005/8/layout/arrow6"/>
    <dgm:cxn modelId="{E3FD4DB4-2B78-4E97-8449-FED6E74EDCA2}" type="presParOf" srcId="{FCB8031E-89CA-453D-A1DB-B4544AF0E333}" destId="{01B447C6-20B7-47CF-9825-A5CDBD0F7F03}" srcOrd="2" destOrd="0" presId="urn:microsoft.com/office/officeart/2005/8/layout/arrow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3BC41-EA98-481A-B07B-A27595091180}">
      <dsp:nvSpPr>
        <dsp:cNvPr id="0" name=""/>
        <dsp:cNvSpPr/>
      </dsp:nvSpPr>
      <dsp:spPr>
        <a:xfrm>
          <a:off x="696432" y="0"/>
          <a:ext cx="3242929" cy="1297172"/>
        </a:xfrm>
        <a:prstGeom prst="leftRightRibbon">
          <a:avLst/>
        </a:prstGeom>
        <a:solidFill>
          <a:schemeClr val="lt1"/>
        </a:solidFill>
        <a:ln w="25400" cap="flat" cmpd="sng" algn="ctr">
          <a:solidFill>
            <a:schemeClr val="dk1"/>
          </a:solidFill>
          <a:prstDash val="solid"/>
        </a:ln>
        <a:effectLst/>
        <a:sp3d extrusionH="50600"/>
      </dsp:spPr>
      <dsp:style>
        <a:lnRef idx="2">
          <a:schemeClr val="dk1"/>
        </a:lnRef>
        <a:fillRef idx="1">
          <a:schemeClr val="lt1"/>
        </a:fillRef>
        <a:effectRef idx="0">
          <a:schemeClr val="dk1"/>
        </a:effectRef>
        <a:fontRef idx="minor">
          <a:schemeClr val="dk1"/>
        </a:fontRef>
      </dsp:style>
    </dsp:sp>
    <dsp:sp modelId="{7DDDED95-C2B1-48B1-A1F4-D92BB6FC326F}">
      <dsp:nvSpPr>
        <dsp:cNvPr id="0" name=""/>
        <dsp:cNvSpPr/>
      </dsp:nvSpPr>
      <dsp:spPr>
        <a:xfrm>
          <a:off x="1085584" y="227005"/>
          <a:ext cx="1070166" cy="635614"/>
        </a:xfrm>
        <a:prstGeom prst="rect">
          <a:avLst/>
        </a:prstGeom>
        <a:noFill/>
        <a:ln>
          <a:noFill/>
        </a:ln>
        <a:effectLst>
          <a:outerShdw blurRad="40000" dist="20000" dir="5400000" rotWithShape="0">
            <a:srgbClr val="000000">
              <a:alpha val="38000"/>
            </a:srgbClr>
          </a:outerShdw>
        </a:effectLst>
        <a:sp3d/>
      </dsp:spPr>
      <dsp:style>
        <a:lnRef idx="0">
          <a:scrgbClr r="0" g="0" b="0"/>
        </a:lnRef>
        <a:fillRef idx="1">
          <a:scrgbClr r="0" g="0" b="0"/>
        </a:fillRef>
        <a:effectRef idx="1">
          <a:scrgbClr r="0" g="0" b="0"/>
        </a:effectRef>
        <a:fontRef idx="minor">
          <a:schemeClr val="dk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Theory of economic modernization </a:t>
          </a:r>
        </a:p>
      </dsp:txBody>
      <dsp:txXfrm>
        <a:off x="1085584" y="227005"/>
        <a:ext cx="1070166" cy="635614"/>
      </dsp:txXfrm>
    </dsp:sp>
    <dsp:sp modelId="{01B447C6-20B7-47CF-9825-A5CDBD0F7F03}">
      <dsp:nvSpPr>
        <dsp:cNvPr id="0" name=""/>
        <dsp:cNvSpPr/>
      </dsp:nvSpPr>
      <dsp:spPr>
        <a:xfrm>
          <a:off x="2317897" y="434552"/>
          <a:ext cx="1264742" cy="635614"/>
        </a:xfrm>
        <a:prstGeom prst="rect">
          <a:avLst/>
        </a:prstGeom>
        <a:noFill/>
        <a:ln>
          <a:noFill/>
        </a:ln>
        <a:effectLst>
          <a:outerShdw blurRad="40000" dist="20000" dir="5400000" rotWithShape="0">
            <a:srgbClr val="000000">
              <a:alpha val="38000"/>
            </a:srgbClr>
          </a:outerShdw>
        </a:effectLst>
        <a:sp3d/>
      </dsp:spPr>
      <dsp:style>
        <a:lnRef idx="0">
          <a:scrgbClr r="0" g="0" b="0"/>
        </a:lnRef>
        <a:fillRef idx="1">
          <a:scrgbClr r="0" g="0" b="0"/>
        </a:fillRef>
        <a:effectRef idx="1">
          <a:scrgbClr r="0" g="0" b="0"/>
        </a:effectRef>
        <a:fontRef idx="minor">
          <a:schemeClr val="dk1"/>
        </a:fontRef>
      </dsp:style>
      <dsp:txBody>
        <a:bodyPr spcFirstLastPara="0" vert="horz" wrap="square" lIns="0" tIns="35560" rIns="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Theory of the dependence of  the economy </a:t>
          </a:r>
        </a:p>
      </dsp:txBody>
      <dsp:txXfrm>
        <a:off x="2317897" y="434552"/>
        <a:ext cx="1264742" cy="635614"/>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3253</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dc:creator>
  <cp:lastModifiedBy>Dinara</cp:lastModifiedBy>
  <cp:revision>3</cp:revision>
  <dcterms:created xsi:type="dcterms:W3CDTF">2020-02-19T16:06:00Z</dcterms:created>
  <dcterms:modified xsi:type="dcterms:W3CDTF">2020-02-19T16:07:00Z</dcterms:modified>
</cp:coreProperties>
</file>