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4F" w:rsidRPr="002E414F" w:rsidRDefault="002E414F" w:rsidP="002E414F">
      <w:pPr>
        <w:jc w:val="center"/>
        <w:rPr>
          <w:rFonts w:ascii="Times" w:eastAsia="Times New Roman" w:hAnsi="Times" w:cs="Times New Roman"/>
          <w:sz w:val="28"/>
          <w:szCs w:val="28"/>
        </w:rPr>
      </w:pPr>
      <w:r w:rsidRPr="002E414F">
        <w:rPr>
          <w:rFonts w:ascii="Helvetica" w:eastAsia="Times New Roman" w:hAnsi="Helvetica" w:cs="Times New Roman"/>
          <w:b/>
          <w:sz w:val="28"/>
          <w:szCs w:val="28"/>
        </w:rPr>
        <w:t>THE ANALYSIS OF THE MEANING OF THE PERSON’S INTERNAL WORLD AS A BASIS OF SELF-EFFICACY IN THE EDUCATIONAL SYSTEM</w:t>
      </w:r>
    </w:p>
    <w:p w:rsidR="002E414F" w:rsidRDefault="002E414F" w:rsidP="002E414F">
      <w:pPr>
        <w:rPr>
          <w:rFonts w:ascii="Times" w:eastAsia="Times New Roman" w:hAnsi="Times" w:cs="Times New Roman"/>
          <w:sz w:val="29"/>
          <w:szCs w:val="29"/>
        </w:rPr>
      </w:pPr>
    </w:p>
    <w:p w:rsidR="002E414F" w:rsidRDefault="002E414F" w:rsidP="002E414F">
      <w:pPr>
        <w:rPr>
          <w:rFonts w:ascii="Times" w:eastAsia="Times New Roman" w:hAnsi="Times" w:cs="Times New Roman"/>
          <w:sz w:val="18"/>
          <w:szCs w:val="18"/>
        </w:rPr>
      </w:pPr>
      <w:r w:rsidRPr="002E414F">
        <w:rPr>
          <w:rFonts w:ascii="Times New Roman" w:eastAsia="Times New Roman" w:hAnsi="Times New Roman" w:cs="Times New Roman"/>
          <w:sz w:val="18"/>
          <w:szCs w:val="18"/>
        </w:rPr>
        <w:t xml:space="preserve">Fatima </w:t>
      </w:r>
      <w:r w:rsidRPr="002E414F">
        <w:rPr>
          <w:rFonts w:ascii="Times" w:eastAsia="Times New Roman" w:hAnsi="Times" w:cs="Times New Roman"/>
          <w:sz w:val="18"/>
          <w:szCs w:val="18"/>
        </w:rPr>
        <w:t>Tashimova</w:t>
      </w:r>
      <w:r w:rsidRPr="002E414F">
        <w:rPr>
          <w:rFonts w:ascii="Helvetica" w:eastAsia="Times New Roman" w:hAnsi="Helvetica" w:cs="Times New Roman"/>
          <w:sz w:val="18"/>
          <w:szCs w:val="18"/>
        </w:rPr>
        <w:t>1</w:t>
      </w:r>
      <w:r w:rsidRPr="002E414F">
        <w:rPr>
          <w:rFonts w:ascii="Times" w:eastAsia="Times New Roman" w:hAnsi="Times" w:cs="Times New Roman"/>
          <w:sz w:val="18"/>
          <w:szCs w:val="18"/>
        </w:rPr>
        <w:t xml:space="preserve">*, </w:t>
      </w:r>
      <w:r w:rsidRPr="002E414F">
        <w:rPr>
          <w:rFonts w:ascii="Times New Roman" w:eastAsia="Times New Roman" w:hAnsi="Times New Roman" w:cs="Times New Roman"/>
          <w:sz w:val="18"/>
          <w:szCs w:val="18"/>
        </w:rPr>
        <w:t>Aidana</w:t>
      </w:r>
      <w:r w:rsidRPr="002E414F">
        <w:rPr>
          <w:rFonts w:ascii="Times" w:eastAsia="Times New Roman" w:hAnsi="Times" w:cs="Times New Roman"/>
          <w:sz w:val="18"/>
          <w:szCs w:val="18"/>
        </w:rPr>
        <w:t xml:space="preserve"> Rizulla</w:t>
      </w:r>
      <w:r w:rsidRPr="002E414F">
        <w:rPr>
          <w:rFonts w:ascii="Times New Roman" w:eastAsia="Times New Roman" w:hAnsi="Times New Roman" w:cs="Times New Roman"/>
          <w:sz w:val="18"/>
          <w:szCs w:val="18"/>
        </w:rPr>
        <w:t>1</w:t>
      </w:r>
      <w:r w:rsidRPr="002E414F">
        <w:rPr>
          <w:rFonts w:ascii="Times" w:eastAsia="Times New Roman" w:hAnsi="Times" w:cs="Times New Roman"/>
          <w:sz w:val="18"/>
          <w:szCs w:val="18"/>
        </w:rPr>
        <w:t xml:space="preserve">, </w:t>
      </w:r>
      <w:r w:rsidRPr="002E414F">
        <w:rPr>
          <w:rFonts w:ascii="Times New Roman" w:eastAsia="Times New Roman" w:hAnsi="Times New Roman" w:cs="Times New Roman"/>
          <w:sz w:val="18"/>
          <w:szCs w:val="18"/>
        </w:rPr>
        <w:t>Galiya</w:t>
      </w:r>
      <w:r w:rsidRPr="002E414F">
        <w:rPr>
          <w:rFonts w:ascii="Times" w:eastAsia="Times New Roman" w:hAnsi="Times" w:cs="Times New Roman"/>
          <w:sz w:val="18"/>
          <w:szCs w:val="18"/>
        </w:rPr>
        <w:t xml:space="preserve"> Ibrayeva</w:t>
      </w:r>
      <w:r w:rsidRPr="002E414F">
        <w:rPr>
          <w:rFonts w:ascii="Times New Roman" w:eastAsia="Times New Roman" w:hAnsi="Times New Roman" w:cs="Times New Roman"/>
          <w:sz w:val="18"/>
          <w:szCs w:val="18"/>
        </w:rPr>
        <w:t>1</w:t>
      </w:r>
      <w:r w:rsidRPr="002E414F">
        <w:rPr>
          <w:rFonts w:ascii="Times" w:eastAsia="Times New Roman" w:hAnsi="Times" w:cs="Times New Roman"/>
          <w:sz w:val="18"/>
          <w:szCs w:val="18"/>
        </w:rPr>
        <w:t xml:space="preserve">,   </w:t>
      </w:r>
      <w:r w:rsidRPr="002E414F">
        <w:rPr>
          <w:rFonts w:ascii="Times New Roman" w:eastAsia="Times New Roman" w:hAnsi="Times New Roman" w:cs="Times New Roman"/>
          <w:sz w:val="18"/>
          <w:szCs w:val="18"/>
        </w:rPr>
        <w:t>Gulnar</w:t>
      </w:r>
      <w:r w:rsidRPr="002E414F">
        <w:rPr>
          <w:rFonts w:ascii="Times" w:eastAsia="Times New Roman" w:hAnsi="Times" w:cs="Times New Roman"/>
          <w:sz w:val="18"/>
          <w:szCs w:val="18"/>
        </w:rPr>
        <w:t xml:space="preserve"> Abdullina2</w:t>
      </w:r>
      <w:r w:rsidRPr="002E414F">
        <w:rPr>
          <w:rFonts w:ascii="Times New Roman" w:eastAsia="Times New Roman" w:hAnsi="Times New Roman" w:cs="Times New Roman"/>
          <w:sz w:val="18"/>
          <w:szCs w:val="18"/>
        </w:rPr>
        <w:t xml:space="preserve">, </w:t>
      </w:r>
      <w:r w:rsidRPr="002E414F">
        <w:rPr>
          <w:rFonts w:ascii="Times" w:eastAsia="Times New Roman" w:hAnsi="Times" w:cs="Times New Roman"/>
          <w:sz w:val="18"/>
          <w:szCs w:val="18"/>
        </w:rPr>
        <w:t xml:space="preserve"> </w:t>
      </w:r>
      <w:r w:rsidRPr="002E414F">
        <w:rPr>
          <w:rFonts w:ascii="Times New Roman" w:eastAsia="Times New Roman" w:hAnsi="Times New Roman" w:cs="Times New Roman"/>
          <w:sz w:val="18"/>
          <w:szCs w:val="18"/>
        </w:rPr>
        <w:t>Bakhtiyar</w:t>
      </w:r>
      <w:r w:rsidRPr="002E414F">
        <w:rPr>
          <w:rFonts w:ascii="Times" w:eastAsia="Times New Roman" w:hAnsi="Times" w:cs="Times New Roman"/>
          <w:sz w:val="18"/>
          <w:szCs w:val="18"/>
        </w:rPr>
        <w:t xml:space="preserve"> Nurumov3  1 </w:t>
      </w:r>
    </w:p>
    <w:p w:rsidR="002E414F" w:rsidRDefault="002E414F" w:rsidP="002E414F">
      <w:pPr>
        <w:rPr>
          <w:rFonts w:ascii="Times" w:eastAsia="Times New Roman" w:hAnsi="Times" w:cs="Times New Roman"/>
          <w:sz w:val="18"/>
          <w:szCs w:val="18"/>
        </w:rPr>
      </w:pPr>
    </w:p>
    <w:p w:rsidR="002E414F" w:rsidRPr="002E414F" w:rsidRDefault="002E414F" w:rsidP="002E414F">
      <w:pPr>
        <w:rPr>
          <w:rFonts w:ascii="Times New Roman" w:eastAsia="Times New Roman" w:hAnsi="Times New Roman" w:cs="Times New Roman"/>
          <w:sz w:val="18"/>
          <w:szCs w:val="18"/>
        </w:rPr>
      </w:pPr>
      <w:bookmarkStart w:id="0" w:name="_GoBack"/>
      <w:bookmarkEnd w:id="0"/>
      <w:r w:rsidRPr="002E414F">
        <w:rPr>
          <w:rFonts w:ascii="Times" w:eastAsia="Times New Roman" w:hAnsi="Times" w:cs="Times New Roman"/>
          <w:sz w:val="18"/>
          <w:szCs w:val="18"/>
        </w:rPr>
        <w:t xml:space="preserve">Al-Farabi KazNU, pr. al Farabi   , 71,    050040 Almaty, Republic of Kazakhstan 2 Kazakh Humanitarian and Law Innovative University, ul. Mangilik el, 11, 071400, Semey, Kazakhstan 3 SuleymanDemirel University, Ablayhan st., 1/1, 040900, Kaskelen, Almaty, Kazakhstan </w:t>
      </w:r>
      <w:r w:rsidRPr="002E414F">
        <w:rPr>
          <w:rFonts w:ascii="Times New Roman" w:eastAsia="Times New Roman" w:hAnsi="Times New Roman" w:cs="Times New Roman"/>
          <w:sz w:val="18"/>
          <w:szCs w:val="18"/>
        </w:rPr>
        <w:t xml:space="preserve">  </w:t>
      </w:r>
    </w:p>
    <w:p w:rsidR="002E414F" w:rsidRDefault="002E414F" w:rsidP="002E414F">
      <w:pPr>
        <w:rPr>
          <w:rFonts w:ascii="Times New Roman" w:eastAsia="Times New Roman" w:hAnsi="Times New Roman" w:cs="Times New Roman"/>
          <w:sz w:val="29"/>
          <w:szCs w:val="29"/>
        </w:rPr>
      </w:pPr>
    </w:p>
    <w:p w:rsidR="002E414F" w:rsidRPr="002E414F" w:rsidRDefault="002E414F" w:rsidP="002E414F">
      <w:pPr>
        <w:rPr>
          <w:rFonts w:ascii="Times" w:eastAsia="Times New Roman" w:hAnsi="Times" w:cs="Times New Roman"/>
          <w:sz w:val="20"/>
          <w:szCs w:val="20"/>
        </w:rPr>
      </w:pPr>
      <w:r w:rsidRPr="002E414F">
        <w:rPr>
          <w:rFonts w:ascii="Helvetica" w:eastAsia="Times New Roman" w:hAnsi="Helvetica" w:cs="Times New Roman"/>
          <w:sz w:val="26"/>
          <w:szCs w:val="26"/>
        </w:rPr>
        <w:t>Abstract.</w:t>
      </w:r>
      <w:r w:rsidRPr="002E414F">
        <w:rPr>
          <w:rFonts w:ascii="Times" w:eastAsia="Times New Roman" w:hAnsi="Times" w:cs="Times New Roman"/>
          <w:sz w:val="26"/>
          <w:szCs w:val="26"/>
        </w:rPr>
        <w:t xml:space="preserve">  The  formation  of  the  subject  of  the  education  system  is inextricably linkedwith factors of self-knowledge and self-awareness that includes the knowledge of one’s own inner world. The inner world was associated  with  mental  processes,  conscious  and  unconscious  factors, feelings  and  emotions,  semantic  reality.  In  recent  years,  in  connection with the understanding of a person as a collective phenomenon, the inner world begins to be perceived as a representation of significant others. In particular,  in  psychoanalysis  it  is  the  representation  of  parents,  in individual  psychology  it  is  siblings,  in  analytical  psychology  it  is  a multitude  of  personalities,  up  to  the  first  man,  that  determine  the formation of subjectivity. Based on this, we define the inner world not just as  a  semantic  reality,  but  a  reality  for  the  production  of  meanings, provided by the cooperation of all the intimate personalities represented in one person, with whom she/he interacts directly and indirectly.Based on this, we propose a semantic analysis of the inner world, which involves the identification of a system of significant personalities, the subjective reflection of their values and actions, the study and rethinking of positive and negative influences that ensure the formation of new meanings. </w:t>
      </w:r>
      <w:r w:rsidRPr="002E414F">
        <w:rPr>
          <w:rFonts w:ascii="Times" w:eastAsia="Times New Roman" w:hAnsi="Times" w:cs="Times New Roman"/>
          <w:sz w:val="29"/>
          <w:szCs w:val="29"/>
        </w:rPr>
        <w:t xml:space="preserve">     </w:t>
      </w:r>
      <w:r w:rsidRPr="002E414F">
        <w:rPr>
          <w:rFonts w:ascii="Helvetica" w:eastAsia="Times New Roman" w:hAnsi="Helvetica" w:cs="Times New Roman"/>
          <w:sz w:val="34"/>
          <w:szCs w:val="34"/>
        </w:rPr>
        <w:t xml:space="preserve">Introduction </w:t>
      </w:r>
      <w:r w:rsidRPr="002E414F">
        <w:rPr>
          <w:rFonts w:ascii="Times" w:eastAsia="Times New Roman" w:hAnsi="Times" w:cs="Times New Roman"/>
          <w:sz w:val="29"/>
          <w:szCs w:val="29"/>
        </w:rPr>
        <w:t xml:space="preserve"> One of the significant factors determining person’s self-efficacy in the education system is a semantic analysis of the inner world of the individual. Understanding the inner world is inextricably linked with the definition of a person as an integral and systemic phenomenon, as  a  multicomponent  world.  Unfortunately,  today  psychologists  have  no  consensus  on understanding  a  person  as  a  collective  phenomenon.  The  problem  of  the  a  person  as  a collective phenomenon was developed in the works of S.L. Rubinstein [1]. However, to this day, his ideas are not sufficiently disclosed in the vein that is posed in his works. To some extent, the subject is understood as a group [2-3], however, it is not disclosed which groups </w:t>
      </w:r>
      <w:r w:rsidRPr="002E414F">
        <w:rPr>
          <w:rFonts w:ascii="Helvetica" w:eastAsia="Times New Roman" w:hAnsi="Helvetica" w:cs="Times New Roman"/>
          <w:sz w:val="32"/>
          <w:szCs w:val="32"/>
        </w:rPr>
        <w:t xml:space="preserve">                                                           </w:t>
      </w:r>
      <w:r w:rsidRPr="002E414F">
        <w:rPr>
          <w:rFonts w:ascii="Times" w:eastAsia="Times New Roman" w:hAnsi="Times" w:cs="Times New Roman"/>
          <w:sz w:val="19"/>
          <w:szCs w:val="19"/>
        </w:rPr>
        <w:t>*</w:t>
      </w:r>
      <w:r w:rsidRPr="002E414F">
        <w:rPr>
          <w:rFonts w:ascii="Times" w:eastAsia="Times New Roman" w:hAnsi="Times" w:cs="Times New Roman"/>
          <w:sz w:val="29"/>
          <w:szCs w:val="29"/>
        </w:rPr>
        <w:t xml:space="preserve"> </w:t>
      </w:r>
      <w:r w:rsidRPr="002E414F">
        <w:rPr>
          <w:rFonts w:ascii="Times" w:eastAsia="Times New Roman" w:hAnsi="Times" w:cs="Times New Roman"/>
          <w:sz w:val="26"/>
          <w:szCs w:val="26"/>
        </w:rPr>
        <w:t>Corresponding author:</w:t>
      </w:r>
      <w:r w:rsidRPr="002E414F">
        <w:rPr>
          <w:rFonts w:ascii="Times New Roman" w:eastAsia="Times New Roman" w:hAnsi="Times New Roman" w:cs="Times New Roman"/>
          <w:sz w:val="29"/>
          <w:szCs w:val="29"/>
        </w:rPr>
        <w:t xml:space="preserve"> </w:t>
      </w:r>
      <w:r w:rsidRPr="002E414F">
        <w:rPr>
          <w:rFonts w:ascii="Times" w:eastAsia="Times New Roman" w:hAnsi="Times" w:cs="Times New Roman"/>
          <w:sz w:val="26"/>
          <w:szCs w:val="26"/>
        </w:rPr>
        <w:t xml:space="preserve">fatima_tashimova@mail.ru </w:t>
      </w:r>
      <w:r w:rsidRPr="002E414F">
        <w:rPr>
          <w:rFonts w:ascii="Times" w:eastAsia="Times New Roman" w:hAnsi="Times" w:cs="Times New Roman"/>
          <w:sz w:val="23"/>
          <w:szCs w:val="23"/>
        </w:rPr>
        <w:t>© The Authors, published by EDP Sciences. This is an open access article distributed under the terms of the Creative Commons Attribution License 4.0 (http://creativecommons.org/licenses/by/4.0/).</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are represented in the person [4-5]. In this regard, there is a great variety of contents of the person’s  inner  world  as  an  individual  subject,  ontogenetic  subject,  and  phylogenetic subject.  And,  unfortunately,  all  this  is  at  the  level  of  statement  and  theorizing.  In  this regard,  the  definition  of  the  inner  world  is  characterized  by  a  fairly  wide  variety  and, accordingly, uncertainty, for </w:t>
      </w:r>
      <w:r w:rsidRPr="002E414F">
        <w:rPr>
          <w:rFonts w:ascii="Times" w:eastAsia="Times New Roman" w:hAnsi="Times" w:cs="Times New Roman"/>
          <w:sz w:val="29"/>
          <w:szCs w:val="29"/>
        </w:rPr>
        <w:lastRenderedPageBreak/>
        <w:t>example, the inner world as defined by parental introjects is presented in psychoanalysis [6-7], as a result of relationships with siblings in individual psychology  [8],  as  the  representation  of  ancestors  before  the  first  person  in  analytical psychology  [9],  as  semantic  reality  [10].  Thus,  the  understanding  of  the  inner  world  is characterized by an emphasis on certain systems: introjects of parents, simbling, ancestors, while all these systems are presented in the person holistically. In this regard, the initial studies of this problem we can find in the concept of al-Farabi [11], who described “a person as a microcosm, in which the entire macrocosm is represented” referring this idea we define a person as a representer of many personalities that  regulates  and  integrates  all  structural  components:  substantial  and  instrumental. Proceeding from this, the inner world of a person is understood as an intimate, holistic, sacred, structured by the importance of the intimate personalities represented in it, acting as accomplices in the process of meaning-creation [12]. What is an intimate person? An intimate person has nothing to do with the object of sexual  partnership,  especially  since  sex  in  people's  lives  is  bare  to  beyond  limits.  The concept of "intimate" refers to the sacred and hidden. Based on this, an intimate person is a subjectively reflected, with all the positives and negatives, not presentable to the outside world and not verbalized out loud, an image of a significant person that shimmers with different facets in different situations. Concealment, sacredness, concealment from another person and little awareness of the personalities represented ensure the intimacy of the inner world. Only the inner world of a human being is intimate, which is hidden from the other people  and  the  access  to  this  world  is  allowable  only  him/her.  In  the  inner  world  is characterized as a platform of free reflection, where a person is the only master of his/her thoughts, experiences, the images of intimate personalities and existing being constructed by him/her (a subjective picture of the world). The people who surround the person can comprehend  his/her  inner  world  through  the  analysis  of  actions,  deeds  and  projections. These  are  intimate  personalities  that  stimulate  us,  to  certain  deeds,  “going  beyond ourselves” to overcome, as well as reasonable protection as “some stop in time”, related to deepening  the  essence  of  things  and  phenomena  and  ensuring  the  removal  of  all unnecessary, useless, superficial and empty in the process of meaning formation. As you can see, in the inner world there is no death. Both surviving people and people who have left for another world continue to invisibly influence all the choices of a person. The inner world is the life of others in a person and their co-creation, associated with the production of meaning, stimulating overcoming life difficulties. Intimate personalities of the inner world take an invisible part in the process of correlation, the choice of emphasis on a particular measure of the manifestation of certain values and stimulate the processes of meaning formation and realization of meaning. In this regard, the inner world is not just a semantic reality [10], it is a reality of the production of meaning. The question is “Who makes a sense?”A person and many intimate personalities  living  in  his  inner  world  (both  living  and  “departed”),  as  well  as  favorite objects of material and surrounding nature that determine the production of meaning. In this regard,  the  methodology  of  semantic  analysis  is  aimed  at  identifying  the  subjective reflection of various intimate personalities, comprehending and understanding their actions and values, positive and negative contributions, realizing and developing a new look from today's  realities,  developing  and  forgiving  traumatic  situations,  as  well  as  blessing  and appreciation the positive experience. 2</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3</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We proceed from the assumption that the study of unresolved conflicts, experiences of the inner world, through semantic analysis, will allow us to develop a new attitude not only to significant individuals, but also to ourselves, to our resources, which will ensure the success of self-actualization and stimulate the development of productive coping strategies that encourage students to better master the system of knowledge and information, process them, as appropriate, and implement them into the practice. </w:t>
      </w:r>
      <w:r w:rsidRPr="002E414F">
        <w:rPr>
          <w:rFonts w:ascii="Times New Roman" w:eastAsia="Times New Roman" w:hAnsi="Times New Roman" w:cs="Times New Roman"/>
          <w:sz w:val="29"/>
          <w:szCs w:val="29"/>
        </w:rPr>
        <w:t xml:space="preserve"> </w:t>
      </w:r>
      <w:r w:rsidRPr="002E414F">
        <w:rPr>
          <w:rFonts w:ascii="Helvetica" w:eastAsia="Times New Roman" w:hAnsi="Helvetica" w:cs="Times New Roman"/>
          <w:sz w:val="34"/>
          <w:szCs w:val="34"/>
        </w:rPr>
        <w:t xml:space="preserve">Research methods and procedure </w:t>
      </w:r>
      <w:r w:rsidRPr="002E414F">
        <w:rPr>
          <w:rFonts w:ascii="Times New Roman" w:eastAsia="Times New Roman" w:hAnsi="Times New Roman" w:cs="Times New Roman"/>
          <w:sz w:val="29"/>
          <w:szCs w:val="29"/>
        </w:rPr>
        <w:t xml:space="preserve"> </w:t>
      </w:r>
      <w:r w:rsidRPr="002E414F">
        <w:rPr>
          <w:rFonts w:ascii="Times" w:eastAsia="Times New Roman" w:hAnsi="Times" w:cs="Times New Roman"/>
          <w:sz w:val="29"/>
          <w:szCs w:val="29"/>
        </w:rPr>
        <w:t xml:space="preserve">254  students  from  various  universities  in  Almaty  participated  in  the  study.  Studywere conducted from 2010 to 2019. The structure and content of the inner world was considered in  terms  of  the  representation  of  the  following  intimate  personalities:  mother,  father, siblings, loved one, friends, teachers, enemies and subjects of the virtual world.     A  substantial  analysis  of  the  representation  of  intimate  personalities  was  carried  out  using  the  technology  of  “Semantic  analysis  of  the  subject’s  inner  world”  [13].  This technique is performed during one semester in independent lessons with the teacher. The technology of work includes the following: 1)The participants graphically draw a system of significant personalities for them, including both positively and negatively represented. 2) Clarifying  the  contribution  measure  of  each  character  into  his/her  life,  reflecting  a correlated  system  of  values,  defining  certain  meanings  that  contributed  to  overcome  the difficult situations. 4. Analyze the perception of traumatic situations, forming a new look that  provides  understanding,  forgiveness  and  repentance.  5.  Conclusions  for  self-improvement. The system of significant people includes not only loved ones, but also enemies, the analysis of the influence of which is essential. As a result, students’ various visions of their self-concept, a multiple world of intimate personalities and their values, were obtained and discovered. Each of the personalities introduced his own system of values and was reflected in various colors. Before and after the semantic analysis, the measurement of the dependent variables were conducted using the following questionnaires: 1) Self-actualization of the personality (N.F.  Kalin),  adapted  version  (A.V.  Lazukina)  [14].  2)  AdolescentCopingScale  (ACS) offered by E. Freidenberg and R. Lewis, adapted by T. L. Kryukova [15]. The data went through the factor analysis using the “Principal Components” method.  </w:t>
      </w:r>
      <w:r w:rsidRPr="002E414F">
        <w:rPr>
          <w:rFonts w:ascii="Helvetica" w:eastAsia="Times New Roman" w:hAnsi="Helvetica" w:cs="Times New Roman"/>
          <w:sz w:val="34"/>
          <w:szCs w:val="34"/>
        </w:rPr>
        <w:t xml:space="preserve">Results and discussion </w:t>
      </w:r>
      <w:r w:rsidRPr="002E414F">
        <w:rPr>
          <w:rFonts w:ascii="Times New Roman" w:eastAsia="Times New Roman" w:hAnsi="Times New Roman" w:cs="Times New Roman"/>
          <w:sz w:val="29"/>
          <w:szCs w:val="29"/>
        </w:rPr>
        <w:t xml:space="preserve"> </w:t>
      </w:r>
      <w:r w:rsidRPr="002E414F">
        <w:rPr>
          <w:rFonts w:ascii="Times" w:eastAsia="Times New Roman" w:hAnsi="Times" w:cs="Times New Roman"/>
          <w:sz w:val="29"/>
          <w:szCs w:val="29"/>
        </w:rPr>
        <w:t>During the introspection, students noted a very strong influence of defense mechanisms. This is a completely normal situation, since they worked with the most intimate world for a person. In this regard, it was rather difficult for students. Therefore, the defense stimulated the reflection of its significant personalities more often from the positive side. Parents were more often reflected positively, with an emphasis on their best side. But there were those who did not include  them  in their system, in connection  with various  kinds of offenses against them. Mother and father are represented as shrines, despite all their shortcomings (58%). However, the father was more likely to fall into the category of neutral (19%) and negatively represented (among 23% of students he was reflected as a “traitor”, as “leaving children to the mercy of fate”, as “incapable of finding his own way”, etc. ). The  importance  of  a  loved  one  goes  after  the  parents.  For  most  students,  it  is presented as a stimulating ability to love, create, improve, trust. In 25% of students who experienced  a  relationship  disorder,  sublimation  of  15%  (leaving  for  creativity,  study, work), 10% avoidance, fear of love, distrust of the world have become a value. Friends are presented  as  a  resource  of  an  understanding,  stimulating  self-actualization  and  healthy 3</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4</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rivalry. Negative version of the friendsrepresentation (manipulation, betrayal). Brothers and sisters were represented as loving and revealing potentialities. Only 24% of the participants perceived siblings as rivals, stimulating achievements. Enemies (people who are unpleasant to them and who feel discomfort) stimulate stress resistance and competitiveness according to the positions of the participant. In the great importance are idols from different centuries and countries mediated by the  Internet.  The  strength  of  their  influence,  sometimes  exceeds  the  strength  of  the immediate environment, due to the fact that they are reflected by the participant as being close in  spirit, significant as  a  model of behavior and stimulating  high self-esteem. The revealed  effects  of  idols  are  important  in  the  context  of  globalization,  when  there  is  a struggle for the consciousness and values of a person, which can give rise to various effects and consequences, in the process of his creative adaptation in this many-sided world. The special significance of these idols is determined by the influence on the deep processes of sense formation, at the unconscious level thataffect the relationships with others. Idols most often reflected idealized, unlike representatives of the immediate environment. Therefore, it was important to highlight their positive and negative sides. Along with idols, communities from social networks, on which significant time was spent also had a great influence. The  significant  systems  and  the  measure  of  their  value  were  determined  by  the principle of “approximation-removal”, reflecting the level of identification and alienation. Identification  is  a  mechanism  of  involvement  with  many  intimate  personalities  (from merging to assimilation), which determines the measure of acceptance of the values of the represented personalities. Alienation is a mechanism of detachment (from detachment to hostility), which determines the measure of values rejection of the represented individuals. A  measure  of  the  manifestation  of  identification  and  alienation  mechanisms  with intimate personalities allows us to predict the state of the inner world. Finding a measure is always a complicated process, starting with throwing from one extreme to the other “the white and black” categorization,  which in the process of  life comes to the definition  of some  measure.  The  failure  to  find  a  measure  means  a  different  nature  of  personality accentuation, distortions in self-improvement and communication, as well as adaptability to the  world.  Taking  this  into  account,  this  stage  of  the  analysis  allows  us  to  state contradictions or a measure of consistency in the values of various intimate personalities that  reflect  the  person’s  ability  to  find  one’s  own  measure  of  manifestation  of  various human  needs  in  solving  various  problems  and  their  implementation.  The  purpose  of  a psychologist at this level is the stimulation of harmony in the choice of a measure by the person that provides the most effective ways to implement the solution.  In addition to the protective mechanisms, the difficulty comes from the ability to reflect adequately the intimate personalities, with all the pros and cons. In the process of this work, students updated the most significant events encountered in their life that caused a storm of  various emotions, both positive and  negative,  which affected the time of the work. Therefore, participants emphasized that evoking some of the past events made them cry. If they expected to complete the work in two hours, as they admitted, then it dragged on  for  a  whole  week,  when  they  again  and  again  returned  to  the  analysis  of  their relationship. Actualization of negative situations suggested a review of the situation from the point of view of the modern self. In this regard, many students in the  work process reframed  their  vision  of  the  event,  of  the  other  person  and  themselves,  forming  a  new attitude towards them, which contributed to forgiveness and completion of gestalt. We offer a variant of a schematic representation of a semantic analysis of a person’s inner world. Their “proximity - range” was provided by the measure of values acceptance of the intimate personalities and the possibilities of stimulating the process of creating and overcoming difficult life situations. 4</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5</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  </w:t>
      </w:r>
      <w:r w:rsidRPr="002E414F">
        <w:rPr>
          <w:rFonts w:ascii="Times New Roman" w:eastAsia="Times New Roman" w:hAnsi="Times New Roman" w:cs="Times New Roman"/>
          <w:sz w:val="26"/>
          <w:szCs w:val="26"/>
        </w:rPr>
        <w:t xml:space="preserve">Fig 1. </w:t>
      </w:r>
      <w:r w:rsidRPr="002E414F">
        <w:rPr>
          <w:rFonts w:ascii="Times" w:eastAsia="Times New Roman" w:hAnsi="Times" w:cs="Times New Roman"/>
          <w:sz w:val="26"/>
          <w:szCs w:val="26"/>
        </w:rPr>
        <w:t>The meaning analysis of the person’s internal world.</w:t>
      </w:r>
      <w:r w:rsidRPr="002E414F">
        <w:rPr>
          <w:rFonts w:ascii="Times New Roman" w:eastAsia="Times New Roman" w:hAnsi="Times New Roman" w:cs="Times New Roman"/>
          <w:sz w:val="26"/>
          <w:szCs w:val="26"/>
        </w:rPr>
        <w:t xml:space="preserve"> </w:t>
      </w:r>
      <w:r w:rsidRPr="002E414F">
        <w:rPr>
          <w:rFonts w:ascii="Times" w:eastAsia="Times New Roman" w:hAnsi="Times" w:cs="Times New Roman"/>
          <w:sz w:val="29"/>
          <w:szCs w:val="29"/>
        </w:rPr>
        <w:t>Noting the features and the significance of the inner world semantic analysis points out on the importance and effectiveness of this analysis. Referring to this,  we consider are emphasizing  the  value  of  the  semantic  analysis  that  influenced  the  students'  self-actualization. The  results  of  factor  analysis  allowed  us  to  establish  the  determining  factor reflecting  the  students'  self-actualization  before  semantic  analysis  is  represented  by  the following  indicators:  Need  for  knowledge  (0.521),  autonomy  (0.499),  a  look  at  human nature (0.464), autosympathy (0.397), values (0.381). Analysis of the indicators allows us to talk about the decisive role of cognition in the process of self-actualization. The meaning of knowledge is provided by the correlation of needs for independence, faith in the disclosure of potential human resources, sympathy for oneself and orientation to the values of actualizing personalities. After a semantic analysis, the determining factor of self-actualization is represented by the following indicators: Need for cognition (0.612), self-understanding (0.568), contact (0.502),  autosympathy  (0.478),  time  orientation  (0.473),  spontaneity  (0.443).  The determinant of self-actualization is cognition. However, its meaning is determined by the ratio  of  needs:  self-understanding,  establishing  productive  relationships  with  others, autosympathy and organizing the life time according to the principle of “here and now”. The results of a comparative analysis of the factors are reflected in Fig. 2. (See Figure 2)  Thus, a comparative analysis of the impact of working with the inner world allows us to state significant changes in students' self-actualization strategies regarding spontaneity [P &lt;0.01], self-understanding [P &lt;0.01], contact [P &lt;0.01], creativity [ P&lt;0.05], determining students' self-efficacy. What changes have occurred in coping strategies? Here we consider the results of factor  analysis  according  to  the  methods  of  Freidenberg  and  Lewis,  adapted  by  T. Kryukova (See table 1)   5</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6</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  </w:t>
      </w:r>
      <w:r w:rsidRPr="002E414F">
        <w:rPr>
          <w:rFonts w:ascii="Times New Roman" w:eastAsia="Times New Roman" w:hAnsi="Times New Roman" w:cs="Times New Roman"/>
          <w:sz w:val="26"/>
          <w:szCs w:val="26"/>
        </w:rPr>
        <w:t>Fig. 2.</w:t>
      </w:r>
      <w:r w:rsidRPr="002E414F">
        <w:rPr>
          <w:rFonts w:ascii="Times" w:eastAsia="Times New Roman" w:hAnsi="Times" w:cs="Times New Roman"/>
          <w:sz w:val="26"/>
          <w:szCs w:val="26"/>
        </w:rPr>
        <w:t xml:space="preserve">Before and after semantyc analysis 1.Orientation in time; 2. Values; 3. A look at the nature of man; 4. The need for knowledge; 5. Creativity; 6. Autonomy; 7. Spontaneity: 8. Self-understanding; 9. Auto-sympathy; 10. Contact; 11 Flexible Communication </w:t>
      </w:r>
      <w:r w:rsidRPr="002E414F">
        <w:rPr>
          <w:rFonts w:ascii="Times" w:eastAsia="Times New Roman" w:hAnsi="Times" w:cs="Times New Roman"/>
          <w:sz w:val="29"/>
          <w:szCs w:val="29"/>
        </w:rPr>
        <w:t xml:space="preserve">The factor analysis results allowed us to establish that the determining factor that reflects  coping  strategies  before  conducting  semantic  analysis  is  represented  by  the following  indicators:  Focus  on  problem  solving  (0.494),  desire  to  distract  and  relax, entertainment in society (0.450), friends (0.413), search for support and approval (0, 409), hard  work  and  achievements  (0.407),  discharge  -  “releasing  steam”  (0.372),  hope  for  a miracle (0.369), self-incrimination and personal responsibility  for problems (0, 362).The indicators analysis allows to state the focus on overcoming a difficult situation by focusing on solving a problem associated with rest and support of friends, as well as the likelihood of a miracle. We can call this style as a socially oriented style. The  determining  factor  reflecting  coping  strategies  after  conducting  a  semantic analysis is represented by the following indicators: Focusing on the positive (0.698), hard working  and  achievements  (0.559),  searching  for  spiritual  support  (0.490),  ignoring, blocking problems (- 0.474), non-possession, refusal to act (-0.462), focusing on solving problems (0, 352), activities (playing sports, maintaining health (0.451), friends (0 , 399). The  indicators  analysis  of  allows  to  talk  about  focusing  on  a  positive  sides,  effective implementation, coupled with overcoming protective mechanisms. The name of this style is“problem-oriented”. A comparative analysis of coping strategies (see Fig. 3) allows to state that after a semantic analysis, positive thinking [P &lt;0.01] is directed towards solving a problem and achieving  goals  [P  &lt;0.01],  overcoming  defense  mechanisms  [P  &lt;0.05],  the  conscious organization of leisure and the realization of resources.    </w:t>
      </w:r>
      <w:r w:rsidRPr="002E414F">
        <w:rPr>
          <w:rFonts w:ascii="Times New Roman" w:eastAsia="Times New Roman" w:hAnsi="Times New Roman" w:cs="Times New Roman"/>
          <w:sz w:val="29"/>
          <w:szCs w:val="29"/>
        </w:rPr>
        <w:t xml:space="preserve">   </w:t>
      </w:r>
      <w:r w:rsidRPr="002E414F">
        <w:rPr>
          <w:rFonts w:ascii="Helvetica" w:eastAsia="Times New Roman" w:hAnsi="Helvetica" w:cs="Times New Roman"/>
          <w:sz w:val="26"/>
          <w:szCs w:val="26"/>
        </w:rPr>
        <w:t>-0,3-0,2-0,100,10,20,30,40,50,60,7</w:t>
      </w:r>
      <w:r w:rsidRPr="002E414F">
        <w:rPr>
          <w:rFonts w:ascii="Helvetica" w:eastAsia="Times New Roman" w:hAnsi="Helvetica" w:cs="Times New Roman"/>
          <w:sz w:val="29"/>
          <w:szCs w:val="29"/>
        </w:rPr>
        <w:t xml:space="preserve">The comparative analysis of students' self-actualization factors </w:t>
      </w:r>
      <w:r w:rsidRPr="002E414F">
        <w:rPr>
          <w:rFonts w:ascii="Helvetica" w:eastAsia="Times New Roman" w:hAnsi="Helvetica" w:cs="Times New Roman"/>
          <w:sz w:val="26"/>
          <w:szCs w:val="26"/>
        </w:rPr>
        <w:t xml:space="preserve">До После </w:t>
      </w:r>
      <w:r w:rsidRPr="002E414F">
        <w:rPr>
          <w:rFonts w:ascii="Times" w:eastAsia="Times New Roman" w:hAnsi="Times" w:cs="Times New Roman"/>
          <w:sz w:val="29"/>
          <w:szCs w:val="29"/>
        </w:rPr>
        <w:t>6</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7</w:t>
      </w:r>
    </w:p>
    <w:p w:rsidR="002E414F" w:rsidRPr="002E414F" w:rsidRDefault="002E414F" w:rsidP="002E414F">
      <w:pPr>
        <w:rPr>
          <w:rFonts w:ascii="Times" w:eastAsia="Times New Roman" w:hAnsi="Times" w:cs="Times New Roman"/>
          <w:sz w:val="20"/>
          <w:szCs w:val="20"/>
        </w:rPr>
      </w:pPr>
      <w:r w:rsidRPr="002E414F">
        <w:rPr>
          <w:rFonts w:ascii="Times New Roman" w:eastAsia="Times New Roman" w:hAnsi="Times New Roman" w:cs="Times New Roman"/>
          <w:sz w:val="26"/>
          <w:szCs w:val="26"/>
        </w:rPr>
        <w:t>Table 1</w:t>
      </w:r>
      <w:r w:rsidRPr="002E414F">
        <w:rPr>
          <w:rFonts w:ascii="Times" w:eastAsia="Times New Roman" w:hAnsi="Times" w:cs="Times New Roman"/>
          <w:sz w:val="26"/>
          <w:szCs w:val="26"/>
        </w:rPr>
        <w:t xml:space="preserve">.The results of factor analysis of strategies for students’ coping behavior </w:t>
      </w:r>
      <w:r w:rsidRPr="002E414F">
        <w:rPr>
          <w:rFonts w:ascii="Times" w:eastAsia="Times New Roman" w:hAnsi="Times" w:cs="Times New Roman"/>
          <w:sz w:val="29"/>
          <w:szCs w:val="29"/>
        </w:rPr>
        <w:t xml:space="preserve"> </w:t>
      </w:r>
      <w:r w:rsidRPr="002E414F">
        <w:rPr>
          <w:rFonts w:ascii="Times" w:eastAsia="Times New Roman" w:hAnsi="Times" w:cs="Times New Roman"/>
          <w:sz w:val="26"/>
          <w:szCs w:val="26"/>
        </w:rPr>
        <w:t>No Copying strategies Results of factor analysis of copying strategies  Before After 1.</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 –Searching for the support and approval </w:t>
      </w:r>
      <w:r w:rsidRPr="002E414F">
        <w:rPr>
          <w:rFonts w:ascii="Times New Roman" w:eastAsia="Times New Roman" w:hAnsi="Times New Roman" w:cs="Times New Roman"/>
          <w:sz w:val="26"/>
          <w:szCs w:val="26"/>
        </w:rPr>
        <w:t xml:space="preserve">0,409 </w:t>
      </w:r>
      <w:r w:rsidRPr="002E414F">
        <w:rPr>
          <w:rFonts w:ascii="Times" w:eastAsia="Times New Roman" w:hAnsi="Times" w:cs="Times New Roman"/>
          <w:sz w:val="26"/>
          <w:szCs w:val="26"/>
        </w:rPr>
        <w:t>0,223 2.</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S2 – Focusing on the problem solving </w:t>
      </w:r>
      <w:r w:rsidRPr="002E414F">
        <w:rPr>
          <w:rFonts w:ascii="Times New Roman" w:eastAsia="Times New Roman" w:hAnsi="Times New Roman" w:cs="Times New Roman"/>
          <w:sz w:val="26"/>
          <w:szCs w:val="26"/>
        </w:rPr>
        <w:t xml:space="preserve">0,494 0,352 </w:t>
      </w:r>
      <w:r w:rsidRPr="002E414F">
        <w:rPr>
          <w:rFonts w:ascii="Times" w:eastAsia="Times New Roman" w:hAnsi="Times" w:cs="Times New Roman"/>
          <w:sz w:val="26"/>
          <w:szCs w:val="26"/>
        </w:rPr>
        <w:t>3.</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S3 – Hard working and achievements </w:t>
      </w:r>
      <w:r w:rsidRPr="002E414F">
        <w:rPr>
          <w:rFonts w:ascii="Times New Roman" w:eastAsia="Times New Roman" w:hAnsi="Times New Roman" w:cs="Times New Roman"/>
          <w:sz w:val="26"/>
          <w:szCs w:val="26"/>
        </w:rPr>
        <w:t xml:space="preserve">0,407 0,559 </w:t>
      </w:r>
      <w:r w:rsidRPr="002E414F">
        <w:rPr>
          <w:rFonts w:ascii="Times" w:eastAsia="Times New Roman" w:hAnsi="Times" w:cs="Times New Roman"/>
          <w:sz w:val="26"/>
          <w:szCs w:val="26"/>
        </w:rPr>
        <w:t>4.</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S4 – Anxiety 0, 395 -0,137 5.</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S5 – Friends </w:t>
      </w:r>
      <w:r w:rsidRPr="002E414F">
        <w:rPr>
          <w:rFonts w:ascii="Times New Roman" w:eastAsia="Times New Roman" w:hAnsi="Times New Roman" w:cs="Times New Roman"/>
          <w:sz w:val="26"/>
          <w:szCs w:val="26"/>
        </w:rPr>
        <w:t xml:space="preserve">0,413 0, 399 </w:t>
      </w:r>
      <w:r w:rsidRPr="002E414F">
        <w:rPr>
          <w:rFonts w:ascii="Times" w:eastAsia="Times New Roman" w:hAnsi="Times" w:cs="Times New Roman"/>
          <w:sz w:val="26"/>
          <w:szCs w:val="26"/>
        </w:rPr>
        <w:t>6.</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S6 – belongingness 0,151 0,096 7.</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S7- Hope for a miracle </w:t>
      </w:r>
      <w:r w:rsidRPr="002E414F">
        <w:rPr>
          <w:rFonts w:ascii="Times New Roman" w:eastAsia="Times New Roman" w:hAnsi="Times New Roman" w:cs="Times New Roman"/>
          <w:sz w:val="26"/>
          <w:szCs w:val="26"/>
        </w:rPr>
        <w:t xml:space="preserve">0,369 </w:t>
      </w:r>
      <w:r w:rsidRPr="002E414F">
        <w:rPr>
          <w:rFonts w:ascii="Times" w:eastAsia="Times New Roman" w:hAnsi="Times" w:cs="Times New Roman"/>
          <w:sz w:val="26"/>
          <w:szCs w:val="26"/>
        </w:rPr>
        <w:t>0,221 8.</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S8 – Failure, refusal to act -0,003 </w:t>
      </w:r>
      <w:r w:rsidRPr="002E414F">
        <w:rPr>
          <w:rFonts w:ascii="Times New Roman" w:eastAsia="Times New Roman" w:hAnsi="Times New Roman" w:cs="Times New Roman"/>
          <w:sz w:val="26"/>
          <w:szCs w:val="26"/>
        </w:rPr>
        <w:t xml:space="preserve">-0,462 </w:t>
      </w:r>
      <w:r w:rsidRPr="002E414F">
        <w:rPr>
          <w:rFonts w:ascii="Times" w:eastAsia="Times New Roman" w:hAnsi="Times" w:cs="Times New Roman"/>
          <w:sz w:val="26"/>
          <w:szCs w:val="26"/>
        </w:rPr>
        <w:t>9.</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S9 – Discharge - "steamrelease" </w:t>
      </w:r>
      <w:r w:rsidRPr="002E414F">
        <w:rPr>
          <w:rFonts w:ascii="Times New Roman" w:eastAsia="Times New Roman" w:hAnsi="Times New Roman" w:cs="Times New Roman"/>
          <w:sz w:val="26"/>
          <w:szCs w:val="26"/>
        </w:rPr>
        <w:t xml:space="preserve">0,372 </w:t>
      </w:r>
      <w:r w:rsidRPr="002E414F">
        <w:rPr>
          <w:rFonts w:ascii="Times" w:eastAsia="Times New Roman" w:hAnsi="Times" w:cs="Times New Roman"/>
          <w:sz w:val="26"/>
          <w:szCs w:val="26"/>
        </w:rPr>
        <w:t>0,112 10.</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S10 – seeking support by organizing group activities. -0,118 - 0,179 11.</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S11 – Ignoring, blocking the problem 0,291 </w:t>
      </w:r>
      <w:r w:rsidRPr="002E414F">
        <w:rPr>
          <w:rFonts w:ascii="Times New Roman" w:eastAsia="Times New Roman" w:hAnsi="Times New Roman" w:cs="Times New Roman"/>
          <w:sz w:val="26"/>
          <w:szCs w:val="26"/>
        </w:rPr>
        <w:t xml:space="preserve">- 0,474 </w:t>
      </w:r>
      <w:r w:rsidRPr="002E414F">
        <w:rPr>
          <w:rFonts w:ascii="Times" w:eastAsia="Times New Roman" w:hAnsi="Times" w:cs="Times New Roman"/>
          <w:sz w:val="26"/>
          <w:szCs w:val="26"/>
        </w:rPr>
        <w:t>12.</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S12 self-incrimination and personal responsibility for problems </w:t>
      </w:r>
      <w:r w:rsidRPr="002E414F">
        <w:rPr>
          <w:rFonts w:ascii="Times New Roman" w:eastAsia="Times New Roman" w:hAnsi="Times New Roman" w:cs="Times New Roman"/>
          <w:sz w:val="26"/>
          <w:szCs w:val="26"/>
        </w:rPr>
        <w:t xml:space="preserve">0, 362 </w:t>
      </w:r>
      <w:r w:rsidRPr="002E414F">
        <w:rPr>
          <w:rFonts w:ascii="Times" w:eastAsia="Times New Roman" w:hAnsi="Times" w:cs="Times New Roman"/>
          <w:sz w:val="26"/>
          <w:szCs w:val="26"/>
        </w:rPr>
        <w:t>0,285 13.</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S13 – Detachment (refusal to devote others to their cares) -0,061 - 0,015 14.</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S14 – Search for spiritual support, orientation to religious support 0, 205 </w:t>
      </w:r>
      <w:r w:rsidRPr="002E414F">
        <w:rPr>
          <w:rFonts w:ascii="Times New Roman" w:eastAsia="Times New Roman" w:hAnsi="Times New Roman" w:cs="Times New Roman"/>
          <w:sz w:val="26"/>
          <w:szCs w:val="26"/>
        </w:rPr>
        <w:t xml:space="preserve">0,490 </w:t>
      </w:r>
      <w:r w:rsidRPr="002E414F">
        <w:rPr>
          <w:rFonts w:ascii="Times" w:eastAsia="Times New Roman" w:hAnsi="Times" w:cs="Times New Roman"/>
          <w:sz w:val="26"/>
          <w:szCs w:val="26"/>
        </w:rPr>
        <w:t>15.</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S15 – Focusing on the positive sides 0,322 </w:t>
      </w:r>
      <w:r w:rsidRPr="002E414F">
        <w:rPr>
          <w:rFonts w:ascii="Times New Roman" w:eastAsia="Times New Roman" w:hAnsi="Times New Roman" w:cs="Times New Roman"/>
          <w:sz w:val="26"/>
          <w:szCs w:val="26"/>
        </w:rPr>
        <w:t xml:space="preserve">0,698 </w:t>
      </w:r>
      <w:r w:rsidRPr="002E414F">
        <w:rPr>
          <w:rFonts w:ascii="Times" w:eastAsia="Times New Roman" w:hAnsi="Times" w:cs="Times New Roman"/>
          <w:sz w:val="26"/>
          <w:szCs w:val="26"/>
        </w:rPr>
        <w:t>16.</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S16 – Searching help from specialists -0,010 -0,202 17.</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S17 – The desire to distract and relax, entertainment in society </w:t>
      </w:r>
      <w:r w:rsidRPr="002E414F">
        <w:rPr>
          <w:rFonts w:ascii="Times New Roman" w:eastAsia="Times New Roman" w:hAnsi="Times New Roman" w:cs="Times New Roman"/>
          <w:sz w:val="26"/>
          <w:szCs w:val="26"/>
        </w:rPr>
        <w:t xml:space="preserve">0,450 </w:t>
      </w:r>
      <w:r w:rsidRPr="002E414F">
        <w:rPr>
          <w:rFonts w:ascii="Times" w:eastAsia="Times New Roman" w:hAnsi="Times" w:cs="Times New Roman"/>
          <w:sz w:val="26"/>
          <w:szCs w:val="26"/>
        </w:rPr>
        <w:t>0,302 18.</w:t>
      </w:r>
      <w:r w:rsidRPr="002E414F">
        <w:rPr>
          <w:rFonts w:ascii="Helvetica" w:eastAsia="Times New Roman" w:hAnsi="Helvetica" w:cs="Times New Roman"/>
          <w:sz w:val="26"/>
          <w:szCs w:val="26"/>
        </w:rPr>
        <w:t xml:space="preserve"> </w:t>
      </w:r>
      <w:r w:rsidRPr="002E414F">
        <w:rPr>
          <w:rFonts w:ascii="Times" w:eastAsia="Times New Roman" w:hAnsi="Times" w:cs="Times New Roman"/>
          <w:sz w:val="26"/>
          <w:szCs w:val="26"/>
        </w:rPr>
        <w:t xml:space="preserve"> S18 –activities (sports, maintaining health) 0,306 </w:t>
      </w:r>
      <w:r w:rsidRPr="002E414F">
        <w:rPr>
          <w:rFonts w:ascii="Times New Roman" w:eastAsia="Times New Roman" w:hAnsi="Times New Roman" w:cs="Times New Roman"/>
          <w:sz w:val="26"/>
          <w:szCs w:val="26"/>
        </w:rPr>
        <w:t xml:space="preserve">0,451 </w:t>
      </w:r>
      <w:r w:rsidRPr="002E414F">
        <w:rPr>
          <w:rFonts w:ascii="Times" w:eastAsia="Times New Roman" w:hAnsi="Times" w:cs="Times New Roman"/>
          <w:sz w:val="26"/>
          <w:szCs w:val="26"/>
        </w:rPr>
        <w:t xml:space="preserve"> </w:t>
      </w:r>
      <w:r w:rsidRPr="002E414F">
        <w:rPr>
          <w:rFonts w:ascii="Times" w:eastAsia="Times New Roman" w:hAnsi="Times" w:cs="Times New Roman"/>
          <w:sz w:val="29"/>
          <w:szCs w:val="29"/>
        </w:rPr>
        <w:t xml:space="preserve"> 7</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8</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 </w:t>
      </w:r>
      <w:r w:rsidRPr="002E414F">
        <w:rPr>
          <w:rFonts w:ascii="Times New Roman" w:eastAsia="Times New Roman" w:hAnsi="Times New Roman" w:cs="Times New Roman"/>
          <w:sz w:val="26"/>
          <w:szCs w:val="26"/>
        </w:rPr>
        <w:t>Fig 3.</w:t>
      </w:r>
      <w:r w:rsidRPr="002E414F">
        <w:rPr>
          <w:rFonts w:ascii="Times" w:eastAsia="Times New Roman" w:hAnsi="Times" w:cs="Times New Roman"/>
          <w:sz w:val="26"/>
          <w:szCs w:val="26"/>
        </w:rPr>
        <w:t xml:space="preserve"> Coping strategies before and after semantic analysis. </w:t>
      </w:r>
      <w:r w:rsidRPr="002E414F">
        <w:rPr>
          <w:rFonts w:ascii="Times" w:eastAsia="Times New Roman" w:hAnsi="Times" w:cs="Times New Roman"/>
          <w:sz w:val="29"/>
          <w:szCs w:val="29"/>
        </w:rPr>
        <w:t xml:space="preserve">  Coping strategies before and after semantic analysis: S1 –– search for support and approval S2   –– Focus on solving problems S3 –– Hard work and achievements S4 –– Anxiety and anxiety –– S5    –– Friends S6 –– Feeling of belonging S7 –– Hope for a miracle ––– S8    –– Non-conquest, refusal of actions S9 - Discharging - “releasing steam S10 - seeking support by  organizing  group  actions  S11  -  Ignoring,  blocking  problems  S12  self-blaming  and personal responsibility for problems S14 - Seeking spiritual support, orientation to religious support S15 - Focusing on the positive sides, S16 - Help of specialists S17 - The desire to escape  and  relax,  entertainment  in  society)  S18  -  outdoor  activities  (sports,  health maintenance).  </w:t>
      </w:r>
      <w:r w:rsidRPr="002E414F">
        <w:rPr>
          <w:rFonts w:ascii="Helvetica" w:eastAsia="Times New Roman" w:hAnsi="Helvetica" w:cs="Times New Roman"/>
          <w:sz w:val="34"/>
          <w:szCs w:val="34"/>
        </w:rPr>
        <w:t xml:space="preserve">Conclusions </w:t>
      </w:r>
      <w:r w:rsidRPr="002E414F">
        <w:rPr>
          <w:rFonts w:ascii="Times" w:eastAsia="Times New Roman" w:hAnsi="Times" w:cs="Times New Roman"/>
          <w:sz w:val="29"/>
          <w:szCs w:val="29"/>
        </w:rPr>
        <w:t xml:space="preserve">  1. The inner world is an intimate, deep, sacred sphere with intimate personalities uniquely reflected  by  a  person,  their  positive  and  negative  values,  actions,  contributions  to  joint meaning-making, most often in a person’s life without any particular attention. A man runs through the life and is not able to delve into the inner world. Nevertheless, it is precisely that all the reasons and strategies of our behavior the foundations of our self-efficacy in the outside  world  are  rooted  into  the  inner  world.  We  delve  into  the  inner  world  when emergencies occur and we do not have a systematic way of the analysis. In this regard, the method  of  semantic  analysis  of  the  inner  world  that  based  on  the  ideas  of  al-Farabi, assumes the integrity and systematic analysis, and not "grabbing" of its constituent entities separately. It is aimed at analyzing who and how is represented, what values and deeds and what reflection has taken in the deep layers of emotions, values that stimulate our behavior. Working with the inner world and intimate personalities living there, we learn to find the measure in our choices and actions, realizing the invisibility of their presence, stimulating the voice of our conscience. The work of the inner world is deeply intimate and only there, a  person  is  the  master  of  his/her  reflections,  positions,  choices  and  the  reasons  for  the actions,  without  embellishment  and  excuses.  This  is  undistorted  reality  for  the  owner. Another  thing  is  how  the  person  presents  it to  the  others  and  the  world.  Therefore,  the actualization of the problems of the inner world is of value, from the point of view, of a timely revision of  values  and actions in order to timely change the situation, apologize, </w:t>
      </w:r>
      <w:r w:rsidRPr="002E414F">
        <w:rPr>
          <w:rFonts w:ascii="Helvetica" w:eastAsia="Times New Roman" w:hAnsi="Helvetica" w:cs="Times New Roman"/>
          <w:sz w:val="26"/>
          <w:szCs w:val="26"/>
        </w:rPr>
        <w:t>-0,6-0,4-0,200,20,40,60,811,2</w:t>
      </w:r>
      <w:r w:rsidRPr="002E414F">
        <w:rPr>
          <w:rFonts w:ascii="Helvetica" w:eastAsia="Times New Roman" w:hAnsi="Helvetica" w:cs="Times New Roman"/>
          <w:sz w:val="29"/>
          <w:szCs w:val="29"/>
        </w:rPr>
        <w:t xml:space="preserve">Copying strategies before and after semantyc analysis </w:t>
      </w:r>
      <w:r w:rsidRPr="002E414F">
        <w:rPr>
          <w:rFonts w:ascii="Helvetica" w:eastAsia="Times New Roman" w:hAnsi="Helvetica" w:cs="Times New Roman"/>
          <w:sz w:val="26"/>
          <w:szCs w:val="26"/>
        </w:rPr>
        <w:t xml:space="preserve">до после </w:t>
      </w:r>
      <w:r w:rsidRPr="002E414F">
        <w:rPr>
          <w:rFonts w:ascii="Times" w:eastAsia="Times New Roman" w:hAnsi="Times" w:cs="Times New Roman"/>
          <w:sz w:val="29"/>
          <w:szCs w:val="29"/>
        </w:rPr>
        <w:t>8</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t>Page 9</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9"/>
          <w:szCs w:val="29"/>
        </w:rPr>
        <w:t xml:space="preserve">forgive and repent. The analysis of the inner world presupposes not only the integration of values, but also the systemic coherence of all spheres of a person’s life, determined by the intimate  personalities  of  the  inner  world,  depending  on  their  significance,  stimulating meaning formation and overcoming difficult life situations. Thus, work with a semantic analysis of the inner world has not only a cognitive, emotional, but also a therapeutic effect. Work with the values and contributions of intimate personalities,  as  well as  ways  to  overcome  life's difficulties,  allowed  students  to  realize their integrity, their own values, the importance of others and themselves, as well as the inseparability of their personal self with others. This was an incentive for them, now, and not after their “departure”, to “find” their parents, opening them from new faces, sending them letters of recognition and gratitude, letters of forgiveness and love. 2. The results of introspection were truly productive in terms of stimulating the revision of self-actualization  strategies  from  the  “I  as  the  world”  orientation,  in  which  the  subjects were focused only on themselves, on their movement and achievement in the world, after a semantic  analysis,  in  addition  to  focusing  on  their  own  goals.  They  focused  on  the formation  of  the  ability  to  build  productive  relationships  with  the  world,  on  the harmonization of the “I and the world” relations, which creates more opportunities for self-efficiency. The understanding of the time factor was essential. Probably, it was the factor that stimulated the reduction of time spent on communities from social networks (Facebook, Instagram, etc.). After a semantic analysis, awareness and control of the temporal structure of life was one of the students’ achievements. 3. A comparative analysis of coping behavior strategies before and after semantic analysis also allows to talk about a revision of a socially oriented style for more productive options for  coping  strategies  focused  on  solving  a  problem.  Particularly,  strategies  for  positive perception  of  situations,  focusing  on  problem  solving,  controlling  the  manifestation  of protective mechanisms and purposeful leisure activities were updated </w:t>
      </w:r>
      <w:r w:rsidRPr="002E414F">
        <w:rPr>
          <w:rFonts w:ascii="Times New Roman" w:eastAsia="Times New Roman" w:hAnsi="Times New Roman" w:cs="Times New Roman"/>
          <w:sz w:val="29"/>
          <w:szCs w:val="29"/>
        </w:rPr>
        <w:t xml:space="preserve"> </w:t>
      </w:r>
      <w:r w:rsidRPr="002E414F">
        <w:rPr>
          <w:rFonts w:ascii="Helvetica" w:eastAsia="Times New Roman" w:hAnsi="Helvetica" w:cs="Times New Roman"/>
          <w:sz w:val="34"/>
          <w:szCs w:val="34"/>
        </w:rPr>
        <w:t xml:space="preserve">References </w:t>
      </w:r>
      <w:r w:rsidRPr="002E414F">
        <w:rPr>
          <w:rFonts w:ascii="Times New Roman" w:eastAsia="Times New Roman" w:hAnsi="Times New Roman" w:cs="Times New Roman"/>
          <w:sz w:val="29"/>
          <w:szCs w:val="29"/>
        </w:rPr>
        <w:t xml:space="preserve"> 1.</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S. L. Rubinstein. The problems of general psychology, M.: Pedagogy, 365 p. (1949) </w:t>
      </w:r>
      <w:r w:rsidRPr="002E414F">
        <w:rPr>
          <w:rFonts w:ascii="Times New Roman" w:eastAsia="Times New Roman" w:hAnsi="Times New Roman" w:cs="Times New Roman"/>
          <w:sz w:val="29"/>
          <w:szCs w:val="29"/>
        </w:rPr>
        <w:t>2.</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A.V. Brushlinskiy. Personality psychology, SPb.: Alteya, 234 p. (2003) </w:t>
      </w:r>
      <w:r w:rsidRPr="002E414F">
        <w:rPr>
          <w:rFonts w:ascii="Times New Roman" w:eastAsia="Times New Roman" w:hAnsi="Times New Roman" w:cs="Times New Roman"/>
          <w:sz w:val="29"/>
          <w:szCs w:val="29"/>
        </w:rPr>
        <w:t>3.</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A.L. Zhuravlev, The psychology of collective personality, M.: PER SE, 51 (2002) </w:t>
      </w:r>
      <w:r w:rsidRPr="002E414F">
        <w:rPr>
          <w:rFonts w:ascii="Times New Roman" w:eastAsia="Times New Roman" w:hAnsi="Times New Roman" w:cs="Times New Roman"/>
          <w:sz w:val="29"/>
          <w:szCs w:val="29"/>
        </w:rPr>
        <w:t>4.</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V.B. Shvyrkov. Introduction into objective psychology, M.: Psychology Institute RAN, 223 p. (1995) </w:t>
      </w:r>
      <w:r w:rsidRPr="002E414F">
        <w:rPr>
          <w:rFonts w:ascii="Times New Roman" w:eastAsia="Times New Roman" w:hAnsi="Times New Roman" w:cs="Times New Roman"/>
          <w:sz w:val="29"/>
          <w:szCs w:val="29"/>
        </w:rPr>
        <w:t>5.</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P.I. Maximova, O.A. Alexandrov, I.V. Tichomirova, E.V. Filippova, L Fomicheva, Psych. J., </w:t>
      </w:r>
      <w:r w:rsidRPr="002E414F">
        <w:rPr>
          <w:rFonts w:ascii="Times New Roman" w:eastAsia="Times New Roman" w:hAnsi="Times New Roman" w:cs="Times New Roman"/>
          <w:sz w:val="29"/>
          <w:szCs w:val="29"/>
        </w:rPr>
        <w:t>25</w:t>
      </w:r>
      <w:r w:rsidRPr="002E414F">
        <w:rPr>
          <w:rFonts w:ascii="Times" w:eastAsia="Times New Roman" w:hAnsi="Times" w:cs="Times New Roman"/>
          <w:sz w:val="29"/>
          <w:szCs w:val="29"/>
        </w:rPr>
        <w:t xml:space="preserve">, 17 (2004) </w:t>
      </w:r>
      <w:r w:rsidRPr="002E414F">
        <w:rPr>
          <w:rFonts w:ascii="Times New Roman" w:eastAsia="Times New Roman" w:hAnsi="Times New Roman" w:cs="Times New Roman"/>
          <w:sz w:val="29"/>
          <w:szCs w:val="29"/>
        </w:rPr>
        <w:t>6.</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S. Freud. Dostoevsky and patricide, M.: Olimp,  413 (1997) </w:t>
      </w:r>
      <w:r w:rsidRPr="002E414F">
        <w:rPr>
          <w:rFonts w:ascii="Times New Roman" w:eastAsia="Times New Roman" w:hAnsi="Times New Roman" w:cs="Times New Roman"/>
          <w:sz w:val="29"/>
          <w:szCs w:val="29"/>
        </w:rPr>
        <w:t>7.</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S. Freud. Leonardo da Vinci, Exmo Press, 251 (2005) </w:t>
      </w:r>
      <w:r w:rsidRPr="002E414F">
        <w:rPr>
          <w:rFonts w:ascii="Times New Roman" w:eastAsia="Times New Roman" w:hAnsi="Times New Roman" w:cs="Times New Roman"/>
          <w:sz w:val="29"/>
          <w:szCs w:val="29"/>
        </w:rPr>
        <w:t>8.</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A. Adler. Practice and theory of an individual psychology, 296 p. (1994) </w:t>
      </w:r>
      <w:r w:rsidRPr="002E414F">
        <w:rPr>
          <w:rFonts w:ascii="Times New Roman" w:eastAsia="Times New Roman" w:hAnsi="Times New Roman" w:cs="Times New Roman"/>
          <w:sz w:val="29"/>
          <w:szCs w:val="29"/>
        </w:rPr>
        <w:t>9.</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K. Jung. Analytical psychology, 71 (1994) </w:t>
      </w:r>
      <w:r w:rsidRPr="002E414F">
        <w:rPr>
          <w:rFonts w:ascii="Times New Roman" w:eastAsia="Times New Roman" w:hAnsi="Times New Roman" w:cs="Times New Roman"/>
          <w:sz w:val="29"/>
          <w:szCs w:val="29"/>
        </w:rPr>
        <w:t>10.</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D.A. Leontiev. Psychology of the meaning, thesis, 535 p. (1999) </w:t>
      </w:r>
      <w:r w:rsidRPr="002E414F">
        <w:rPr>
          <w:rFonts w:ascii="Times New Roman" w:eastAsia="Times New Roman" w:hAnsi="Times New Roman" w:cs="Times New Roman"/>
          <w:sz w:val="29"/>
          <w:szCs w:val="29"/>
        </w:rPr>
        <w:t>11.</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Al-Farabi. Abouthappiness, AlmaAtaPress, 275 p. (1973) </w:t>
      </w:r>
      <w:r w:rsidRPr="002E414F">
        <w:rPr>
          <w:rFonts w:ascii="Times New Roman" w:eastAsia="Times New Roman" w:hAnsi="Times New Roman" w:cs="Times New Roman"/>
          <w:sz w:val="29"/>
          <w:szCs w:val="29"/>
        </w:rPr>
        <w:t>12.</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F.S. Tashimova, A.R. Rizulla, The problem of person’s meaning construction as a multiface world, Laplambert Academic Publishing GmbH&amp;Co, 385 p. (2012) </w:t>
      </w:r>
      <w:r w:rsidRPr="002E414F">
        <w:rPr>
          <w:rFonts w:ascii="Times New Roman" w:eastAsia="Times New Roman" w:hAnsi="Times New Roman" w:cs="Times New Roman"/>
          <w:sz w:val="29"/>
          <w:szCs w:val="29"/>
        </w:rPr>
        <w:t>13.</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F.S. Tashimova, A.R. Rizulla,Int.Conf.Ed. Method. Un., 264 (2017) </w:t>
      </w:r>
      <w:r w:rsidRPr="002E414F">
        <w:rPr>
          <w:rFonts w:ascii="Times New Roman" w:eastAsia="Times New Roman" w:hAnsi="Times New Roman" w:cs="Times New Roman"/>
          <w:sz w:val="29"/>
          <w:szCs w:val="29"/>
        </w:rPr>
        <w:t>14.</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 xml:space="preserve">N.F. Kalin. J Psych.Tests, 122 (2003) </w:t>
      </w:r>
      <w:r w:rsidRPr="002E414F">
        <w:rPr>
          <w:rFonts w:ascii="Times New Roman" w:eastAsia="Times New Roman" w:hAnsi="Times New Roman" w:cs="Times New Roman"/>
          <w:sz w:val="29"/>
          <w:szCs w:val="29"/>
        </w:rPr>
        <w:t>15.</w:t>
      </w:r>
      <w:r w:rsidRPr="002E414F">
        <w:rPr>
          <w:rFonts w:ascii="Helvetica" w:eastAsia="Times New Roman" w:hAnsi="Helvetica" w:cs="Times New Roman"/>
          <w:sz w:val="29"/>
          <w:szCs w:val="29"/>
        </w:rPr>
        <w:t xml:space="preserve"> </w:t>
      </w:r>
      <w:r w:rsidRPr="002E414F">
        <w:rPr>
          <w:rFonts w:ascii="Times" w:eastAsia="Times New Roman" w:hAnsi="Times" w:cs="Times New Roman"/>
          <w:sz w:val="29"/>
          <w:szCs w:val="29"/>
        </w:rPr>
        <w:t>T.L. Kryukova. Methods of copying behavior study, Avintitul Press, 60 p. (2007) 9</w:t>
      </w:r>
      <w:r w:rsidRPr="002E414F">
        <w:rPr>
          <w:rFonts w:ascii="Times" w:eastAsia="Times New Roman" w:hAnsi="Times" w:cs="Times New Roman"/>
          <w:sz w:val="26"/>
          <w:szCs w:val="26"/>
        </w:rPr>
        <w:t xml:space="preserve">E3S Web of Conferences </w:t>
      </w:r>
      <w:r w:rsidRPr="002E414F">
        <w:rPr>
          <w:rFonts w:ascii="Courier" w:eastAsia="Times New Roman" w:hAnsi="Courier" w:cs="Times New Roman"/>
          <w:sz w:val="26"/>
          <w:szCs w:val="26"/>
        </w:rPr>
        <w:t>159</w:t>
      </w:r>
      <w:r w:rsidRPr="002E414F">
        <w:rPr>
          <w:rFonts w:ascii="Times" w:eastAsia="Times New Roman" w:hAnsi="Times" w:cs="Times New Roman"/>
          <w:sz w:val="26"/>
          <w:szCs w:val="26"/>
        </w:rPr>
        <w:t>, 09012 (2020) BTSES-2020https://doi.org/10.1051/e3sconf/202015909012</w:t>
      </w:r>
    </w:p>
    <w:p w:rsidR="002E414F" w:rsidRPr="002E414F" w:rsidRDefault="002E414F" w:rsidP="002E414F">
      <w:pPr>
        <w:rPr>
          <w:rFonts w:ascii="Times" w:eastAsia="Times New Roman" w:hAnsi="Times" w:cs="Times New Roman"/>
          <w:sz w:val="20"/>
          <w:szCs w:val="20"/>
        </w:rPr>
      </w:pPr>
      <w:r w:rsidRPr="002E414F">
        <w:rPr>
          <w:rFonts w:ascii="Times" w:eastAsia="Times New Roman" w:hAnsi="Times" w:cs="Times New Roman"/>
          <w:sz w:val="20"/>
          <w:szCs w:val="20"/>
        </w:rPr>
        <w:br/>
      </w:r>
      <w:r w:rsidRPr="002E414F">
        <w:rPr>
          <w:rFonts w:ascii="Times" w:eastAsia="Times New Roman" w:hAnsi="Times" w:cs="Times New Roman"/>
          <w:i/>
          <w:iCs/>
          <w:sz w:val="20"/>
          <w:szCs w:val="20"/>
        </w:rPr>
        <w:t>(2) (PDF) The Analysis of the Meaning of the Person’s Internal World as a Basis of Self-Efficacy in the Educational System</w:t>
      </w:r>
      <w:r w:rsidRPr="002E414F">
        <w:rPr>
          <w:rFonts w:ascii="Times" w:eastAsia="Times New Roman" w:hAnsi="Times" w:cs="Times New Roman"/>
          <w:sz w:val="20"/>
          <w:szCs w:val="20"/>
        </w:rPr>
        <w:t xml:space="preserve">. Available from: </w:t>
      </w:r>
      <w:hyperlink r:id="rId5" w:anchor="fullTextFileContent" w:history="1">
        <w:r w:rsidRPr="002E414F">
          <w:rPr>
            <w:rFonts w:ascii="Times" w:eastAsia="Times New Roman" w:hAnsi="Times" w:cs="Times New Roman"/>
            <w:color w:val="0000FF"/>
            <w:sz w:val="20"/>
            <w:szCs w:val="20"/>
            <w:u w:val="single"/>
          </w:rPr>
          <w:t>https://www.researchgate.net/publication/340120016_The_Analysis_of_the_Meaning_of_the_Person's_Internal_World_as_a_Basis_of_Self-Efficacy_in_the_Educational_System#fullTextFileContent</w:t>
        </w:r>
      </w:hyperlink>
      <w:r w:rsidRPr="002E414F">
        <w:rPr>
          <w:rFonts w:ascii="Times" w:eastAsia="Times New Roman" w:hAnsi="Times" w:cs="Times New Roman"/>
          <w:sz w:val="20"/>
          <w:szCs w:val="20"/>
        </w:rPr>
        <w:t xml:space="preserve"> [accessed Apr 04 2020].</w:t>
      </w:r>
    </w:p>
    <w:p w:rsidR="00CB113F" w:rsidRDefault="00CB113F"/>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4F"/>
    <w:rsid w:val="002E414F"/>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41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4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13922">
      <w:bodyDiv w:val="1"/>
      <w:marLeft w:val="0"/>
      <w:marRight w:val="0"/>
      <w:marTop w:val="0"/>
      <w:marBottom w:val="0"/>
      <w:divBdr>
        <w:top w:val="none" w:sz="0" w:space="0" w:color="auto"/>
        <w:left w:val="none" w:sz="0" w:space="0" w:color="auto"/>
        <w:bottom w:val="none" w:sz="0" w:space="0" w:color="auto"/>
        <w:right w:val="none" w:sz="0" w:space="0" w:color="auto"/>
      </w:divBdr>
      <w:divsChild>
        <w:div w:id="2076003947">
          <w:marLeft w:val="0"/>
          <w:marRight w:val="0"/>
          <w:marTop w:val="0"/>
          <w:marBottom w:val="0"/>
          <w:divBdr>
            <w:top w:val="none" w:sz="0" w:space="0" w:color="auto"/>
            <w:left w:val="none" w:sz="0" w:space="0" w:color="auto"/>
            <w:bottom w:val="none" w:sz="0" w:space="0" w:color="auto"/>
            <w:right w:val="none" w:sz="0" w:space="0" w:color="auto"/>
          </w:divBdr>
          <w:divsChild>
            <w:div w:id="1786843616">
              <w:marLeft w:val="0"/>
              <w:marRight w:val="0"/>
              <w:marTop w:val="0"/>
              <w:marBottom w:val="0"/>
              <w:divBdr>
                <w:top w:val="none" w:sz="0" w:space="0" w:color="auto"/>
                <w:left w:val="none" w:sz="0" w:space="0" w:color="auto"/>
                <w:bottom w:val="none" w:sz="0" w:space="0" w:color="auto"/>
                <w:right w:val="none" w:sz="0" w:space="0" w:color="auto"/>
              </w:divBdr>
              <w:divsChild>
                <w:div w:id="153108237">
                  <w:marLeft w:val="0"/>
                  <w:marRight w:val="0"/>
                  <w:marTop w:val="0"/>
                  <w:marBottom w:val="0"/>
                  <w:divBdr>
                    <w:top w:val="none" w:sz="0" w:space="0" w:color="auto"/>
                    <w:left w:val="none" w:sz="0" w:space="0" w:color="auto"/>
                    <w:bottom w:val="none" w:sz="0" w:space="0" w:color="auto"/>
                    <w:right w:val="none" w:sz="0" w:space="0" w:color="auto"/>
                  </w:divBdr>
                  <w:divsChild>
                    <w:div w:id="873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58">
              <w:marLeft w:val="0"/>
              <w:marRight w:val="0"/>
              <w:marTop w:val="0"/>
              <w:marBottom w:val="0"/>
              <w:divBdr>
                <w:top w:val="none" w:sz="0" w:space="0" w:color="auto"/>
                <w:left w:val="none" w:sz="0" w:space="0" w:color="auto"/>
                <w:bottom w:val="none" w:sz="0" w:space="0" w:color="auto"/>
                <w:right w:val="none" w:sz="0" w:space="0" w:color="auto"/>
              </w:divBdr>
              <w:divsChild>
                <w:div w:id="1697340543">
                  <w:marLeft w:val="0"/>
                  <w:marRight w:val="0"/>
                  <w:marTop w:val="0"/>
                  <w:marBottom w:val="0"/>
                  <w:divBdr>
                    <w:top w:val="none" w:sz="0" w:space="0" w:color="auto"/>
                    <w:left w:val="none" w:sz="0" w:space="0" w:color="auto"/>
                    <w:bottom w:val="none" w:sz="0" w:space="0" w:color="auto"/>
                    <w:right w:val="none" w:sz="0" w:space="0" w:color="auto"/>
                  </w:divBdr>
                  <w:divsChild>
                    <w:div w:id="1112480045">
                      <w:marLeft w:val="0"/>
                      <w:marRight w:val="0"/>
                      <w:marTop w:val="0"/>
                      <w:marBottom w:val="0"/>
                      <w:divBdr>
                        <w:top w:val="none" w:sz="0" w:space="0" w:color="auto"/>
                        <w:left w:val="none" w:sz="0" w:space="0" w:color="auto"/>
                        <w:bottom w:val="none" w:sz="0" w:space="0" w:color="auto"/>
                        <w:right w:val="none" w:sz="0" w:space="0" w:color="auto"/>
                      </w:divBdr>
                    </w:div>
                  </w:divsChild>
                </w:div>
                <w:div w:id="943461037">
                  <w:marLeft w:val="0"/>
                  <w:marRight w:val="0"/>
                  <w:marTop w:val="0"/>
                  <w:marBottom w:val="0"/>
                  <w:divBdr>
                    <w:top w:val="none" w:sz="0" w:space="0" w:color="auto"/>
                    <w:left w:val="none" w:sz="0" w:space="0" w:color="auto"/>
                    <w:bottom w:val="none" w:sz="0" w:space="0" w:color="auto"/>
                    <w:right w:val="none" w:sz="0" w:space="0" w:color="auto"/>
                  </w:divBdr>
                  <w:divsChild>
                    <w:div w:id="4175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6306">
              <w:marLeft w:val="0"/>
              <w:marRight w:val="0"/>
              <w:marTop w:val="0"/>
              <w:marBottom w:val="0"/>
              <w:divBdr>
                <w:top w:val="none" w:sz="0" w:space="0" w:color="auto"/>
                <w:left w:val="none" w:sz="0" w:space="0" w:color="auto"/>
                <w:bottom w:val="none" w:sz="0" w:space="0" w:color="auto"/>
                <w:right w:val="none" w:sz="0" w:space="0" w:color="auto"/>
              </w:divBdr>
              <w:divsChild>
                <w:div w:id="380519367">
                  <w:marLeft w:val="0"/>
                  <w:marRight w:val="0"/>
                  <w:marTop w:val="0"/>
                  <w:marBottom w:val="0"/>
                  <w:divBdr>
                    <w:top w:val="none" w:sz="0" w:space="0" w:color="auto"/>
                    <w:left w:val="none" w:sz="0" w:space="0" w:color="auto"/>
                    <w:bottom w:val="none" w:sz="0" w:space="0" w:color="auto"/>
                    <w:right w:val="none" w:sz="0" w:space="0" w:color="auto"/>
                  </w:divBdr>
                  <w:divsChild>
                    <w:div w:id="1829247082">
                      <w:marLeft w:val="0"/>
                      <w:marRight w:val="0"/>
                      <w:marTop w:val="0"/>
                      <w:marBottom w:val="0"/>
                      <w:divBdr>
                        <w:top w:val="none" w:sz="0" w:space="0" w:color="auto"/>
                        <w:left w:val="none" w:sz="0" w:space="0" w:color="auto"/>
                        <w:bottom w:val="none" w:sz="0" w:space="0" w:color="auto"/>
                        <w:right w:val="none" w:sz="0" w:space="0" w:color="auto"/>
                      </w:divBdr>
                    </w:div>
                  </w:divsChild>
                </w:div>
                <w:div w:id="7678684">
                  <w:marLeft w:val="0"/>
                  <w:marRight w:val="0"/>
                  <w:marTop w:val="0"/>
                  <w:marBottom w:val="0"/>
                  <w:divBdr>
                    <w:top w:val="none" w:sz="0" w:space="0" w:color="auto"/>
                    <w:left w:val="none" w:sz="0" w:space="0" w:color="auto"/>
                    <w:bottom w:val="none" w:sz="0" w:space="0" w:color="auto"/>
                    <w:right w:val="none" w:sz="0" w:space="0" w:color="auto"/>
                  </w:divBdr>
                  <w:divsChild>
                    <w:div w:id="13382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720">
              <w:marLeft w:val="0"/>
              <w:marRight w:val="0"/>
              <w:marTop w:val="0"/>
              <w:marBottom w:val="0"/>
              <w:divBdr>
                <w:top w:val="none" w:sz="0" w:space="0" w:color="auto"/>
                <w:left w:val="none" w:sz="0" w:space="0" w:color="auto"/>
                <w:bottom w:val="none" w:sz="0" w:space="0" w:color="auto"/>
                <w:right w:val="none" w:sz="0" w:space="0" w:color="auto"/>
              </w:divBdr>
              <w:divsChild>
                <w:div w:id="1065110147">
                  <w:marLeft w:val="0"/>
                  <w:marRight w:val="0"/>
                  <w:marTop w:val="0"/>
                  <w:marBottom w:val="0"/>
                  <w:divBdr>
                    <w:top w:val="none" w:sz="0" w:space="0" w:color="auto"/>
                    <w:left w:val="none" w:sz="0" w:space="0" w:color="auto"/>
                    <w:bottom w:val="none" w:sz="0" w:space="0" w:color="auto"/>
                    <w:right w:val="none" w:sz="0" w:space="0" w:color="auto"/>
                  </w:divBdr>
                  <w:divsChild>
                    <w:div w:id="1010719592">
                      <w:marLeft w:val="0"/>
                      <w:marRight w:val="0"/>
                      <w:marTop w:val="0"/>
                      <w:marBottom w:val="0"/>
                      <w:divBdr>
                        <w:top w:val="none" w:sz="0" w:space="0" w:color="auto"/>
                        <w:left w:val="none" w:sz="0" w:space="0" w:color="auto"/>
                        <w:bottom w:val="none" w:sz="0" w:space="0" w:color="auto"/>
                        <w:right w:val="none" w:sz="0" w:space="0" w:color="auto"/>
                      </w:divBdr>
                    </w:div>
                  </w:divsChild>
                </w:div>
                <w:div w:id="236742926">
                  <w:marLeft w:val="0"/>
                  <w:marRight w:val="0"/>
                  <w:marTop w:val="0"/>
                  <w:marBottom w:val="0"/>
                  <w:divBdr>
                    <w:top w:val="none" w:sz="0" w:space="0" w:color="auto"/>
                    <w:left w:val="none" w:sz="0" w:space="0" w:color="auto"/>
                    <w:bottom w:val="none" w:sz="0" w:space="0" w:color="auto"/>
                    <w:right w:val="none" w:sz="0" w:space="0" w:color="auto"/>
                  </w:divBdr>
                  <w:divsChild>
                    <w:div w:id="4228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608">
              <w:marLeft w:val="0"/>
              <w:marRight w:val="0"/>
              <w:marTop w:val="0"/>
              <w:marBottom w:val="0"/>
              <w:divBdr>
                <w:top w:val="none" w:sz="0" w:space="0" w:color="auto"/>
                <w:left w:val="none" w:sz="0" w:space="0" w:color="auto"/>
                <w:bottom w:val="none" w:sz="0" w:space="0" w:color="auto"/>
                <w:right w:val="none" w:sz="0" w:space="0" w:color="auto"/>
              </w:divBdr>
              <w:divsChild>
                <w:div w:id="851803683">
                  <w:marLeft w:val="0"/>
                  <w:marRight w:val="0"/>
                  <w:marTop w:val="0"/>
                  <w:marBottom w:val="0"/>
                  <w:divBdr>
                    <w:top w:val="none" w:sz="0" w:space="0" w:color="auto"/>
                    <w:left w:val="none" w:sz="0" w:space="0" w:color="auto"/>
                    <w:bottom w:val="none" w:sz="0" w:space="0" w:color="auto"/>
                    <w:right w:val="none" w:sz="0" w:space="0" w:color="auto"/>
                  </w:divBdr>
                  <w:divsChild>
                    <w:div w:id="1192495346">
                      <w:marLeft w:val="0"/>
                      <w:marRight w:val="0"/>
                      <w:marTop w:val="0"/>
                      <w:marBottom w:val="0"/>
                      <w:divBdr>
                        <w:top w:val="none" w:sz="0" w:space="0" w:color="auto"/>
                        <w:left w:val="none" w:sz="0" w:space="0" w:color="auto"/>
                        <w:bottom w:val="none" w:sz="0" w:space="0" w:color="auto"/>
                        <w:right w:val="none" w:sz="0" w:space="0" w:color="auto"/>
                      </w:divBdr>
                    </w:div>
                  </w:divsChild>
                </w:div>
                <w:div w:id="2093700772">
                  <w:marLeft w:val="0"/>
                  <w:marRight w:val="0"/>
                  <w:marTop w:val="0"/>
                  <w:marBottom w:val="0"/>
                  <w:divBdr>
                    <w:top w:val="none" w:sz="0" w:space="0" w:color="auto"/>
                    <w:left w:val="none" w:sz="0" w:space="0" w:color="auto"/>
                    <w:bottom w:val="none" w:sz="0" w:space="0" w:color="auto"/>
                    <w:right w:val="none" w:sz="0" w:space="0" w:color="auto"/>
                  </w:divBdr>
                  <w:divsChild>
                    <w:div w:id="8165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566">
              <w:marLeft w:val="0"/>
              <w:marRight w:val="0"/>
              <w:marTop w:val="0"/>
              <w:marBottom w:val="0"/>
              <w:divBdr>
                <w:top w:val="none" w:sz="0" w:space="0" w:color="auto"/>
                <w:left w:val="none" w:sz="0" w:space="0" w:color="auto"/>
                <w:bottom w:val="none" w:sz="0" w:space="0" w:color="auto"/>
                <w:right w:val="none" w:sz="0" w:space="0" w:color="auto"/>
              </w:divBdr>
              <w:divsChild>
                <w:div w:id="1827237135">
                  <w:marLeft w:val="0"/>
                  <w:marRight w:val="0"/>
                  <w:marTop w:val="0"/>
                  <w:marBottom w:val="0"/>
                  <w:divBdr>
                    <w:top w:val="none" w:sz="0" w:space="0" w:color="auto"/>
                    <w:left w:val="none" w:sz="0" w:space="0" w:color="auto"/>
                    <w:bottom w:val="none" w:sz="0" w:space="0" w:color="auto"/>
                    <w:right w:val="none" w:sz="0" w:space="0" w:color="auto"/>
                  </w:divBdr>
                  <w:divsChild>
                    <w:div w:id="1789271692">
                      <w:marLeft w:val="0"/>
                      <w:marRight w:val="0"/>
                      <w:marTop w:val="0"/>
                      <w:marBottom w:val="0"/>
                      <w:divBdr>
                        <w:top w:val="none" w:sz="0" w:space="0" w:color="auto"/>
                        <w:left w:val="none" w:sz="0" w:space="0" w:color="auto"/>
                        <w:bottom w:val="none" w:sz="0" w:space="0" w:color="auto"/>
                        <w:right w:val="none" w:sz="0" w:space="0" w:color="auto"/>
                      </w:divBdr>
                    </w:div>
                  </w:divsChild>
                </w:div>
                <w:div w:id="1644966621">
                  <w:marLeft w:val="0"/>
                  <w:marRight w:val="0"/>
                  <w:marTop w:val="0"/>
                  <w:marBottom w:val="0"/>
                  <w:divBdr>
                    <w:top w:val="none" w:sz="0" w:space="0" w:color="auto"/>
                    <w:left w:val="none" w:sz="0" w:space="0" w:color="auto"/>
                    <w:bottom w:val="none" w:sz="0" w:space="0" w:color="auto"/>
                    <w:right w:val="none" w:sz="0" w:space="0" w:color="auto"/>
                  </w:divBdr>
                  <w:divsChild>
                    <w:div w:id="2088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3813">
              <w:marLeft w:val="0"/>
              <w:marRight w:val="0"/>
              <w:marTop w:val="0"/>
              <w:marBottom w:val="0"/>
              <w:divBdr>
                <w:top w:val="none" w:sz="0" w:space="0" w:color="auto"/>
                <w:left w:val="none" w:sz="0" w:space="0" w:color="auto"/>
                <w:bottom w:val="none" w:sz="0" w:space="0" w:color="auto"/>
                <w:right w:val="none" w:sz="0" w:space="0" w:color="auto"/>
              </w:divBdr>
              <w:divsChild>
                <w:div w:id="1375429593">
                  <w:marLeft w:val="0"/>
                  <w:marRight w:val="0"/>
                  <w:marTop w:val="0"/>
                  <w:marBottom w:val="0"/>
                  <w:divBdr>
                    <w:top w:val="none" w:sz="0" w:space="0" w:color="auto"/>
                    <w:left w:val="none" w:sz="0" w:space="0" w:color="auto"/>
                    <w:bottom w:val="none" w:sz="0" w:space="0" w:color="auto"/>
                    <w:right w:val="none" w:sz="0" w:space="0" w:color="auto"/>
                  </w:divBdr>
                  <w:divsChild>
                    <w:div w:id="2035031281">
                      <w:marLeft w:val="0"/>
                      <w:marRight w:val="0"/>
                      <w:marTop w:val="0"/>
                      <w:marBottom w:val="0"/>
                      <w:divBdr>
                        <w:top w:val="none" w:sz="0" w:space="0" w:color="auto"/>
                        <w:left w:val="none" w:sz="0" w:space="0" w:color="auto"/>
                        <w:bottom w:val="none" w:sz="0" w:space="0" w:color="auto"/>
                        <w:right w:val="none" w:sz="0" w:space="0" w:color="auto"/>
                      </w:divBdr>
                    </w:div>
                  </w:divsChild>
                </w:div>
                <w:div w:id="1840267577">
                  <w:marLeft w:val="0"/>
                  <w:marRight w:val="0"/>
                  <w:marTop w:val="0"/>
                  <w:marBottom w:val="0"/>
                  <w:divBdr>
                    <w:top w:val="none" w:sz="0" w:space="0" w:color="auto"/>
                    <w:left w:val="none" w:sz="0" w:space="0" w:color="auto"/>
                    <w:bottom w:val="none" w:sz="0" w:space="0" w:color="auto"/>
                    <w:right w:val="none" w:sz="0" w:space="0" w:color="auto"/>
                  </w:divBdr>
                  <w:divsChild>
                    <w:div w:id="7799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296">
              <w:marLeft w:val="0"/>
              <w:marRight w:val="0"/>
              <w:marTop w:val="0"/>
              <w:marBottom w:val="0"/>
              <w:divBdr>
                <w:top w:val="none" w:sz="0" w:space="0" w:color="auto"/>
                <w:left w:val="none" w:sz="0" w:space="0" w:color="auto"/>
                <w:bottom w:val="none" w:sz="0" w:space="0" w:color="auto"/>
                <w:right w:val="none" w:sz="0" w:space="0" w:color="auto"/>
              </w:divBdr>
              <w:divsChild>
                <w:div w:id="902569512">
                  <w:marLeft w:val="0"/>
                  <w:marRight w:val="0"/>
                  <w:marTop w:val="0"/>
                  <w:marBottom w:val="0"/>
                  <w:divBdr>
                    <w:top w:val="none" w:sz="0" w:space="0" w:color="auto"/>
                    <w:left w:val="none" w:sz="0" w:space="0" w:color="auto"/>
                    <w:bottom w:val="none" w:sz="0" w:space="0" w:color="auto"/>
                    <w:right w:val="none" w:sz="0" w:space="0" w:color="auto"/>
                  </w:divBdr>
                  <w:divsChild>
                    <w:div w:id="1919049719">
                      <w:marLeft w:val="0"/>
                      <w:marRight w:val="0"/>
                      <w:marTop w:val="0"/>
                      <w:marBottom w:val="0"/>
                      <w:divBdr>
                        <w:top w:val="none" w:sz="0" w:space="0" w:color="auto"/>
                        <w:left w:val="none" w:sz="0" w:space="0" w:color="auto"/>
                        <w:bottom w:val="none" w:sz="0" w:space="0" w:color="auto"/>
                        <w:right w:val="none" w:sz="0" w:space="0" w:color="auto"/>
                      </w:divBdr>
                    </w:div>
                  </w:divsChild>
                </w:div>
                <w:div w:id="995574806">
                  <w:marLeft w:val="0"/>
                  <w:marRight w:val="0"/>
                  <w:marTop w:val="0"/>
                  <w:marBottom w:val="0"/>
                  <w:divBdr>
                    <w:top w:val="none" w:sz="0" w:space="0" w:color="auto"/>
                    <w:left w:val="none" w:sz="0" w:space="0" w:color="auto"/>
                    <w:bottom w:val="none" w:sz="0" w:space="0" w:color="auto"/>
                    <w:right w:val="none" w:sz="0" w:space="0" w:color="auto"/>
                  </w:divBdr>
                  <w:divsChild>
                    <w:div w:id="2110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1987">
              <w:marLeft w:val="0"/>
              <w:marRight w:val="0"/>
              <w:marTop w:val="0"/>
              <w:marBottom w:val="0"/>
              <w:divBdr>
                <w:top w:val="none" w:sz="0" w:space="0" w:color="auto"/>
                <w:left w:val="none" w:sz="0" w:space="0" w:color="auto"/>
                <w:bottom w:val="none" w:sz="0" w:space="0" w:color="auto"/>
                <w:right w:val="none" w:sz="0" w:space="0" w:color="auto"/>
              </w:divBdr>
              <w:divsChild>
                <w:div w:id="1187327219">
                  <w:marLeft w:val="0"/>
                  <w:marRight w:val="0"/>
                  <w:marTop w:val="0"/>
                  <w:marBottom w:val="0"/>
                  <w:divBdr>
                    <w:top w:val="none" w:sz="0" w:space="0" w:color="auto"/>
                    <w:left w:val="none" w:sz="0" w:space="0" w:color="auto"/>
                    <w:bottom w:val="none" w:sz="0" w:space="0" w:color="auto"/>
                    <w:right w:val="none" w:sz="0" w:space="0" w:color="auto"/>
                  </w:divBdr>
                  <w:divsChild>
                    <w:div w:id="54208556">
                      <w:marLeft w:val="0"/>
                      <w:marRight w:val="0"/>
                      <w:marTop w:val="0"/>
                      <w:marBottom w:val="0"/>
                      <w:divBdr>
                        <w:top w:val="none" w:sz="0" w:space="0" w:color="auto"/>
                        <w:left w:val="none" w:sz="0" w:space="0" w:color="auto"/>
                        <w:bottom w:val="none" w:sz="0" w:space="0" w:color="auto"/>
                        <w:right w:val="none" w:sz="0" w:space="0" w:color="auto"/>
                      </w:divBdr>
                    </w:div>
                  </w:divsChild>
                </w:div>
                <w:div w:id="1441416561">
                  <w:marLeft w:val="0"/>
                  <w:marRight w:val="0"/>
                  <w:marTop w:val="0"/>
                  <w:marBottom w:val="0"/>
                  <w:divBdr>
                    <w:top w:val="none" w:sz="0" w:space="0" w:color="auto"/>
                    <w:left w:val="none" w:sz="0" w:space="0" w:color="auto"/>
                    <w:bottom w:val="none" w:sz="0" w:space="0" w:color="auto"/>
                    <w:right w:val="none" w:sz="0" w:space="0" w:color="auto"/>
                  </w:divBdr>
                  <w:divsChild>
                    <w:div w:id="197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searchgate.net/publication/340120016_The_Analysis_of_the_Meaning_of_the_Person's_Internal_World_as_a_Basis_of_Self-Efficacy_in_the_Educational_Syste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4344</Words>
  <Characters>24761</Characters>
  <Application>Microsoft Macintosh Word</Application>
  <DocSecurity>0</DocSecurity>
  <Lines>206</Lines>
  <Paragraphs>58</Paragraphs>
  <ScaleCrop>false</ScaleCrop>
  <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2020-04-04T14:18:00Z</dcterms:created>
  <dcterms:modified xsi:type="dcterms:W3CDTF">2020-04-04T14:20:00Z</dcterms:modified>
</cp:coreProperties>
</file>