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114DA" w14:textId="77777777" w:rsidR="00176315" w:rsidRDefault="00176315" w:rsidP="00176315">
      <w:pPr>
        <w:jc w:val="center"/>
        <w:rPr>
          <w:rFonts w:ascii="Times New Roman" w:hAnsi="Times New Roman" w:cs="Times New Roman"/>
          <w:b/>
          <w:sz w:val="24"/>
          <w:szCs w:val="24"/>
          <w:lang w:val="en-US"/>
        </w:rPr>
      </w:pPr>
      <w:r>
        <w:rPr>
          <w:rFonts w:ascii="Times New Roman" w:hAnsi="Times New Roman" w:cs="Times New Roman"/>
          <w:b/>
          <w:sz w:val="24"/>
          <w:szCs w:val="24"/>
          <w:lang w:val="en-US"/>
        </w:rPr>
        <w:t>Assessment of industries with competitive advantages of Kazakhstan and Eurasian Economic Union member countries</w:t>
      </w:r>
    </w:p>
    <w:p w14:paraId="7949BEEA" w14:textId="77777777" w:rsidR="00176315" w:rsidRDefault="00176315" w:rsidP="00176315">
      <w:pPr>
        <w:jc w:val="center"/>
        <w:rPr>
          <w:rFonts w:ascii="Times New Roman" w:hAnsi="Times New Roman" w:cs="Times New Roman"/>
          <w:szCs w:val="24"/>
          <w:lang w:val="en-US"/>
        </w:rPr>
      </w:pPr>
    </w:p>
    <w:p w14:paraId="7DA53568" w14:textId="77777777" w:rsidR="00176315" w:rsidRDefault="00176315" w:rsidP="00176315">
      <w:pPr>
        <w:spacing w:after="0" w:line="240" w:lineRule="auto"/>
        <w:jc w:val="center"/>
        <w:rPr>
          <w:rStyle w:val="a9"/>
          <w:rFonts w:ascii="Times New Roman" w:hAnsi="Times New Roman" w:cs="Times New Roman"/>
          <w:color w:val="000000" w:themeColor="text1"/>
          <w:sz w:val="20"/>
          <w:szCs w:val="24"/>
          <w:u w:val="none"/>
          <w:lang w:val="en-US"/>
        </w:rPr>
      </w:pPr>
      <w:proofErr w:type="spellStart"/>
      <w:r>
        <w:rPr>
          <w:rFonts w:ascii="Times New Roman" w:hAnsi="Times New Roman" w:cs="Times New Roman"/>
          <w:sz w:val="20"/>
          <w:szCs w:val="24"/>
          <w:lang w:val="en-US"/>
        </w:rPr>
        <w:t>Zhansaya</w:t>
      </w:r>
      <w:proofErr w:type="spellEnd"/>
      <w:r>
        <w:rPr>
          <w:rFonts w:ascii="Times New Roman" w:hAnsi="Times New Roman" w:cs="Times New Roman"/>
          <w:sz w:val="20"/>
          <w:szCs w:val="24"/>
          <w:lang w:val="en-US"/>
        </w:rPr>
        <w:t xml:space="preserve"> TEMERBULATOVA</w:t>
      </w:r>
      <w:r>
        <w:rPr>
          <w:rFonts w:ascii="Times New Roman" w:hAnsi="Times New Roman" w:cs="Times New Roman"/>
          <w:sz w:val="20"/>
          <w:szCs w:val="24"/>
          <w:vertAlign w:val="superscript"/>
          <w:lang w:val="en-US"/>
        </w:rPr>
        <w:t>1</w:t>
      </w:r>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Bulat</w:t>
      </w:r>
      <w:proofErr w:type="spellEnd"/>
      <w:r>
        <w:rPr>
          <w:rFonts w:ascii="Times New Roman" w:hAnsi="Times New Roman" w:cs="Times New Roman"/>
          <w:sz w:val="20"/>
          <w:szCs w:val="24"/>
          <w:lang w:val="en-US"/>
        </w:rPr>
        <w:t xml:space="preserve"> MUKHAMEDIYEV</w:t>
      </w:r>
      <w:r>
        <w:rPr>
          <w:rFonts w:ascii="Times New Roman" w:hAnsi="Times New Roman" w:cs="Times New Roman"/>
          <w:sz w:val="20"/>
          <w:szCs w:val="24"/>
          <w:vertAlign w:val="superscript"/>
          <w:lang w:val="en-US"/>
        </w:rPr>
        <w:t>1</w:t>
      </w:r>
      <w:r w:rsidRPr="00176315">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Gulnara</w:t>
      </w:r>
      <w:proofErr w:type="spellEnd"/>
      <w:r>
        <w:rPr>
          <w:rFonts w:ascii="Times New Roman" w:hAnsi="Times New Roman" w:cs="Times New Roman"/>
          <w:sz w:val="20"/>
          <w:szCs w:val="24"/>
          <w:lang w:val="en-US"/>
        </w:rPr>
        <w:t xml:space="preserve"> SADYKHANOVA</w:t>
      </w:r>
      <w:r>
        <w:rPr>
          <w:rFonts w:ascii="Times New Roman" w:hAnsi="Times New Roman" w:cs="Times New Roman"/>
          <w:sz w:val="20"/>
          <w:szCs w:val="24"/>
          <w:vertAlign w:val="superscript"/>
          <w:lang w:val="en-US"/>
        </w:rPr>
        <w:t>1</w:t>
      </w:r>
      <w:r w:rsidRPr="00176315">
        <w:rPr>
          <w:rFonts w:ascii="Times New Roman" w:hAnsi="Times New Roman" w:cs="Times New Roman"/>
          <w:sz w:val="20"/>
          <w:szCs w:val="24"/>
          <w:lang w:val="en-US"/>
        </w:rPr>
        <w:t xml:space="preserve">, </w:t>
      </w:r>
      <w:r w:rsidRPr="00176315">
        <w:rPr>
          <w:rStyle w:val="a9"/>
          <w:rFonts w:ascii="Times New Roman" w:hAnsi="Times New Roman" w:cs="Times New Roman"/>
          <w:color w:val="000000" w:themeColor="text1"/>
          <w:sz w:val="20"/>
          <w:szCs w:val="24"/>
          <w:u w:val="none"/>
          <w:lang w:val="en-US"/>
        </w:rPr>
        <w:t xml:space="preserve"> </w:t>
      </w:r>
    </w:p>
    <w:p w14:paraId="444CBE6C" w14:textId="45FED3C3" w:rsidR="00176315" w:rsidRPr="00176315" w:rsidRDefault="00176315" w:rsidP="00176315">
      <w:pPr>
        <w:spacing w:after="0" w:line="240" w:lineRule="auto"/>
        <w:jc w:val="center"/>
        <w:rPr>
          <w:rFonts w:ascii="Times New Roman" w:hAnsi="Times New Roman" w:cs="Times New Roman"/>
          <w:sz w:val="20"/>
          <w:szCs w:val="24"/>
          <w:vertAlign w:val="superscript"/>
          <w:lang w:val="en-US"/>
        </w:rPr>
      </w:pPr>
      <w:proofErr w:type="spellStart"/>
      <w:r w:rsidRPr="00176315">
        <w:rPr>
          <w:rStyle w:val="a9"/>
          <w:rFonts w:ascii="Times New Roman" w:hAnsi="Times New Roman" w:cs="Times New Roman"/>
          <w:color w:val="000000" w:themeColor="text1"/>
          <w:sz w:val="20"/>
          <w:szCs w:val="24"/>
          <w:u w:val="none"/>
          <w:lang w:val="en-US"/>
        </w:rPr>
        <w:t>Perizat</w:t>
      </w:r>
      <w:proofErr w:type="spellEnd"/>
      <w:r w:rsidRPr="00176315">
        <w:rPr>
          <w:rStyle w:val="a9"/>
          <w:rFonts w:ascii="Times New Roman" w:hAnsi="Times New Roman" w:cs="Times New Roman"/>
          <w:color w:val="000000" w:themeColor="text1"/>
          <w:sz w:val="20"/>
          <w:szCs w:val="24"/>
          <w:u w:val="none"/>
          <w:lang w:val="en-US"/>
        </w:rPr>
        <w:t xml:space="preserve"> SALIBEKOVA</w:t>
      </w:r>
      <w:r>
        <w:rPr>
          <w:rStyle w:val="a9"/>
          <w:rFonts w:ascii="Times New Roman" w:hAnsi="Times New Roman" w:cs="Times New Roman"/>
          <w:color w:val="000000" w:themeColor="text1"/>
          <w:sz w:val="20"/>
          <w:szCs w:val="24"/>
          <w:u w:val="none"/>
          <w:vertAlign w:val="superscript"/>
          <w:lang w:val="en-US"/>
        </w:rPr>
        <w:t>1</w:t>
      </w:r>
    </w:p>
    <w:p w14:paraId="3C62EA39" w14:textId="77777777" w:rsidR="00176315" w:rsidRDefault="00176315" w:rsidP="00176315">
      <w:pPr>
        <w:spacing w:after="0" w:line="240" w:lineRule="auto"/>
        <w:jc w:val="center"/>
        <w:rPr>
          <w:rFonts w:ascii="Times New Roman" w:hAnsi="Times New Roman" w:cs="Times New Roman"/>
          <w:sz w:val="20"/>
          <w:szCs w:val="24"/>
          <w:lang w:val="en-US"/>
        </w:rPr>
      </w:pPr>
      <w:proofErr w:type="gramStart"/>
      <w:r>
        <w:rPr>
          <w:rFonts w:ascii="Times New Roman" w:hAnsi="Times New Roman" w:cs="Times New Roman"/>
          <w:sz w:val="20"/>
          <w:szCs w:val="24"/>
          <w:lang w:val="en-US"/>
        </w:rPr>
        <w:t>al-</w:t>
      </w:r>
      <w:proofErr w:type="spellStart"/>
      <w:r>
        <w:rPr>
          <w:rFonts w:ascii="Times New Roman" w:hAnsi="Times New Roman" w:cs="Times New Roman"/>
          <w:sz w:val="20"/>
          <w:szCs w:val="24"/>
          <w:lang w:val="en-US"/>
        </w:rPr>
        <w:t>Farabi</w:t>
      </w:r>
      <w:proofErr w:type="spellEnd"/>
      <w:proofErr w:type="gramEnd"/>
      <w:r>
        <w:rPr>
          <w:rFonts w:ascii="Times New Roman" w:hAnsi="Times New Roman" w:cs="Times New Roman"/>
          <w:sz w:val="20"/>
          <w:szCs w:val="24"/>
          <w:lang w:val="en-US"/>
        </w:rPr>
        <w:t xml:space="preserve"> Kazakh National University, </w:t>
      </w:r>
      <w:r>
        <w:rPr>
          <w:rFonts w:ascii="Times New Roman" w:hAnsi="Times New Roman" w:cs="Times New Roman"/>
          <w:sz w:val="20"/>
          <w:szCs w:val="24"/>
          <w:lang w:val="en-US"/>
        </w:rPr>
        <w:t>Almaty, Kazakhstan</w:t>
      </w:r>
    </w:p>
    <w:p w14:paraId="3AA9846F" w14:textId="421DDE4B" w:rsidR="00176315" w:rsidRPr="00176315" w:rsidRDefault="00176315" w:rsidP="00176315">
      <w:pPr>
        <w:spacing w:after="0" w:line="240" w:lineRule="auto"/>
        <w:jc w:val="center"/>
        <w:rPr>
          <w:color w:val="0000FF"/>
          <w:sz w:val="20"/>
          <w:u w:val="single"/>
          <w:lang w:val="en-US"/>
        </w:rPr>
      </w:pPr>
      <w:r>
        <w:rPr>
          <w:rFonts w:ascii="Times New Roman" w:hAnsi="Times New Roman" w:cs="Times New Roman"/>
          <w:sz w:val="20"/>
          <w:szCs w:val="24"/>
          <w:lang w:val="en-US"/>
        </w:rPr>
        <w:t xml:space="preserve"> t.zhansaya.s@mail.ru, bmukhamediyev@mail.ru, gulnara.sa@gmail.com, saleka92@gmail.com</w:t>
      </w:r>
    </w:p>
    <w:p w14:paraId="144A5C89" w14:textId="77777777" w:rsidR="00176315" w:rsidRDefault="00176315" w:rsidP="00176315">
      <w:pPr>
        <w:spacing w:after="0" w:line="240" w:lineRule="auto"/>
        <w:rPr>
          <w:lang w:val="en-US"/>
        </w:rPr>
      </w:pPr>
    </w:p>
    <w:p w14:paraId="187386BC" w14:textId="77777777" w:rsidR="000D6476" w:rsidRPr="00176315" w:rsidRDefault="000D6476" w:rsidP="00A64020">
      <w:pPr>
        <w:contextualSpacing/>
        <w:jc w:val="center"/>
        <w:rPr>
          <w:rFonts w:ascii="Times New Roman" w:hAnsi="Times New Roman" w:cs="Times New Roman"/>
          <w:sz w:val="24"/>
          <w:szCs w:val="24"/>
          <w:lang w:val="en-US"/>
        </w:rPr>
      </w:pPr>
    </w:p>
    <w:p w14:paraId="23049172" w14:textId="77777777" w:rsidR="00A64020" w:rsidRPr="00176315" w:rsidRDefault="000D6476" w:rsidP="000D6476">
      <w:pPr>
        <w:ind w:firstLine="567"/>
        <w:contextualSpacing/>
        <w:jc w:val="both"/>
        <w:rPr>
          <w:rFonts w:ascii="Times New Roman" w:hAnsi="Times New Roman" w:cs="Times New Roman"/>
          <w:b/>
          <w:sz w:val="24"/>
          <w:szCs w:val="24"/>
          <w:lang w:val="en-US"/>
        </w:rPr>
      </w:pPr>
      <w:r w:rsidRPr="00176315">
        <w:rPr>
          <w:rFonts w:ascii="Times New Roman" w:hAnsi="Times New Roman" w:cs="Times New Roman"/>
          <w:b/>
          <w:sz w:val="24"/>
          <w:szCs w:val="24"/>
          <w:lang w:val="en-US"/>
        </w:rPr>
        <w:t>Abstract</w:t>
      </w:r>
    </w:p>
    <w:p w14:paraId="014C9045" w14:textId="77777777" w:rsidR="00681B88" w:rsidRPr="00176315" w:rsidRDefault="00681B88" w:rsidP="000D6476">
      <w:pPr>
        <w:ind w:firstLine="567"/>
        <w:contextualSpacing/>
        <w:jc w:val="both"/>
        <w:rPr>
          <w:rFonts w:ascii="Times New Roman" w:hAnsi="Times New Roman" w:cs="Times New Roman"/>
          <w:b/>
          <w:sz w:val="24"/>
          <w:szCs w:val="24"/>
          <w:lang w:val="en-US"/>
        </w:rPr>
      </w:pPr>
    </w:p>
    <w:p w14:paraId="71474FF9" w14:textId="0F7426F5" w:rsidR="000D6476" w:rsidRPr="00176315" w:rsidRDefault="00681B88" w:rsidP="00681B88">
      <w:pPr>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 xml:space="preserve">The modern history of the trade policy of the countries covers the most important processes of socio-economic development of the world in the era of globalization. Globalization contributes to the acceleration and modernization of economic growth. Today, almost all countries are covered by the process of world integration. However, it should be noted that countries face a huge number of problems of a different nature. The purpose of the article is to identify industries with the comparative advantages of Kazakhstan and all countries of the Eurasian Economic Union, and the integration association as a whole. For the evaluation, an index of the revealed comparative advantage proposed by B. </w:t>
      </w:r>
      <w:proofErr w:type="spellStart"/>
      <w:r w:rsidRPr="00176315">
        <w:rPr>
          <w:rFonts w:ascii="Times New Roman" w:hAnsi="Times New Roman" w:cs="Times New Roman"/>
          <w:sz w:val="24"/>
          <w:szCs w:val="24"/>
          <w:lang w:val="en-US"/>
        </w:rPr>
        <w:t>Ballas</w:t>
      </w:r>
      <w:r w:rsidR="00752399" w:rsidRPr="00176315">
        <w:rPr>
          <w:rFonts w:ascii="Times New Roman" w:hAnsi="Times New Roman" w:cs="Times New Roman"/>
          <w:sz w:val="24"/>
          <w:szCs w:val="24"/>
          <w:lang w:val="en-US"/>
        </w:rPr>
        <w:t>a</w:t>
      </w:r>
      <w:proofErr w:type="spellEnd"/>
      <w:r w:rsidR="00752399" w:rsidRPr="00176315">
        <w:rPr>
          <w:rFonts w:ascii="Times New Roman" w:hAnsi="Times New Roman" w:cs="Times New Roman"/>
          <w:sz w:val="24"/>
          <w:szCs w:val="24"/>
          <w:lang w:val="en-US"/>
        </w:rPr>
        <w:t xml:space="preserve"> was used. Data of all EAEU member countries for 2017 </w:t>
      </w:r>
      <w:r w:rsidR="00094F4F" w:rsidRPr="00176315">
        <w:rPr>
          <w:rFonts w:ascii="Times New Roman" w:hAnsi="Times New Roman" w:cs="Times New Roman"/>
          <w:sz w:val="24"/>
          <w:szCs w:val="24"/>
          <w:lang w:val="en-US"/>
        </w:rPr>
        <w:t>on</w:t>
      </w:r>
      <w:r w:rsidRPr="00176315">
        <w:rPr>
          <w:rFonts w:ascii="Times New Roman" w:hAnsi="Times New Roman" w:cs="Times New Roman"/>
          <w:sz w:val="24"/>
          <w:szCs w:val="24"/>
          <w:lang w:val="en-US"/>
        </w:rPr>
        <w:t xml:space="preserve"> export revenues </w:t>
      </w:r>
      <w:r w:rsidR="00752399" w:rsidRPr="00176315">
        <w:rPr>
          <w:rFonts w:ascii="Times New Roman" w:hAnsi="Times New Roman" w:cs="Times New Roman"/>
          <w:sz w:val="24"/>
          <w:szCs w:val="24"/>
          <w:lang w:val="en-US"/>
        </w:rPr>
        <w:t>for 6 industries, whose products account for almost 94% of the total export volume of Kazakhstan were collected</w:t>
      </w:r>
      <w:r w:rsidRPr="00176315">
        <w:rPr>
          <w:rFonts w:ascii="Times New Roman" w:hAnsi="Times New Roman" w:cs="Times New Roman"/>
          <w:sz w:val="24"/>
          <w:szCs w:val="24"/>
          <w:lang w:val="en-US"/>
        </w:rPr>
        <w:t>, and for analyzing the dyna</w:t>
      </w:r>
      <w:r w:rsidR="00094F4F" w:rsidRPr="00176315">
        <w:rPr>
          <w:rFonts w:ascii="Times New Roman" w:hAnsi="Times New Roman" w:cs="Times New Roman"/>
          <w:sz w:val="24"/>
          <w:szCs w:val="24"/>
          <w:lang w:val="en-US"/>
        </w:rPr>
        <w:t>mics of export revenues, data on</w:t>
      </w:r>
      <w:r w:rsidRPr="00176315">
        <w:rPr>
          <w:rFonts w:ascii="Times New Roman" w:hAnsi="Times New Roman" w:cs="Times New Roman"/>
          <w:sz w:val="24"/>
          <w:szCs w:val="24"/>
          <w:lang w:val="en-US"/>
        </w:rPr>
        <w:t xml:space="preserve"> the export of Kazakhstan over the past 10 years were considered. As a result of the assessment, 3 industries with competitive advantages of Kazakhstan were identified. Also analyzing the dynamics of exports</w:t>
      </w:r>
      <w:r w:rsidR="00094F4F" w:rsidRPr="00176315">
        <w:rPr>
          <w:rFonts w:ascii="Times New Roman" w:hAnsi="Times New Roman" w:cs="Times New Roman"/>
          <w:sz w:val="24"/>
          <w:szCs w:val="24"/>
          <w:lang w:val="en-US"/>
        </w:rPr>
        <w:t xml:space="preserve"> for 2008-2017</w:t>
      </w:r>
      <w:r w:rsidRPr="00176315">
        <w:rPr>
          <w:rFonts w:ascii="Times New Roman" w:hAnsi="Times New Roman" w:cs="Times New Roman"/>
          <w:sz w:val="24"/>
          <w:szCs w:val="24"/>
          <w:lang w:val="en-US"/>
        </w:rPr>
        <w:t>, the sustainability of the advantages of these industries is noted. The conclusion contains recommendations on maintaining competitiveness and modernization of these industries, as well as measures for embedding the EAEU into the global value chain.</w:t>
      </w:r>
    </w:p>
    <w:p w14:paraId="76073687" w14:textId="350A8BCF" w:rsidR="00780375" w:rsidRPr="00176315" w:rsidRDefault="00780375" w:rsidP="00681B88">
      <w:pPr>
        <w:ind w:firstLine="567"/>
        <w:contextualSpacing/>
        <w:jc w:val="both"/>
        <w:rPr>
          <w:rFonts w:ascii="Times New Roman" w:hAnsi="Times New Roman" w:cs="Times New Roman"/>
          <w:sz w:val="24"/>
          <w:szCs w:val="24"/>
          <w:lang w:val="en-US"/>
        </w:rPr>
      </w:pPr>
      <w:r w:rsidRPr="00176315">
        <w:rPr>
          <w:rFonts w:ascii="Times New Roman" w:hAnsi="Times New Roman" w:cs="Times New Roman"/>
          <w:b/>
          <w:sz w:val="24"/>
          <w:szCs w:val="24"/>
          <w:lang w:val="en-US"/>
        </w:rPr>
        <w:t xml:space="preserve">Key words: </w:t>
      </w:r>
      <w:r w:rsidRPr="00176315">
        <w:rPr>
          <w:rFonts w:ascii="Times New Roman" w:hAnsi="Times New Roman" w:cs="Times New Roman"/>
          <w:sz w:val="24"/>
          <w:szCs w:val="24"/>
          <w:lang w:val="en-US"/>
        </w:rPr>
        <w:t>Eurasian Economic Union, competitive advantage, index of the revealed comparative advantage, industry, export revenue.</w:t>
      </w:r>
    </w:p>
    <w:p w14:paraId="57D40A67" w14:textId="77777777" w:rsidR="00A64020" w:rsidRPr="00176315" w:rsidRDefault="00A64020" w:rsidP="00A957F4">
      <w:pPr>
        <w:spacing w:after="0" w:line="240" w:lineRule="auto"/>
        <w:contextualSpacing/>
        <w:rPr>
          <w:rFonts w:ascii="Times New Roman" w:hAnsi="Times New Roman" w:cs="Times New Roman"/>
          <w:sz w:val="24"/>
          <w:szCs w:val="24"/>
          <w:lang w:val="en-US"/>
        </w:rPr>
      </w:pPr>
    </w:p>
    <w:p w14:paraId="7C9FFC0A" w14:textId="77777777" w:rsidR="00527BBB" w:rsidRPr="00176315" w:rsidRDefault="00545864" w:rsidP="007C33DE">
      <w:pPr>
        <w:spacing w:after="0" w:line="240" w:lineRule="auto"/>
        <w:ind w:firstLine="567"/>
        <w:contextualSpacing/>
        <w:rPr>
          <w:rFonts w:ascii="Times New Roman" w:hAnsi="Times New Roman" w:cs="Times New Roman"/>
          <w:b/>
          <w:sz w:val="24"/>
          <w:szCs w:val="24"/>
          <w:lang w:val="en-US"/>
        </w:rPr>
      </w:pPr>
      <w:r w:rsidRPr="00176315">
        <w:rPr>
          <w:rFonts w:ascii="Times New Roman" w:hAnsi="Times New Roman" w:cs="Times New Roman"/>
          <w:b/>
          <w:sz w:val="24"/>
          <w:szCs w:val="24"/>
          <w:lang w:val="en-US"/>
        </w:rPr>
        <w:t>Introduction</w:t>
      </w:r>
    </w:p>
    <w:p w14:paraId="2094F7AF" w14:textId="77777777" w:rsidR="00A957F4" w:rsidRPr="00176315" w:rsidRDefault="00A957F4" w:rsidP="007C33DE">
      <w:pPr>
        <w:spacing w:after="0" w:line="240" w:lineRule="auto"/>
        <w:ind w:firstLine="567"/>
        <w:contextualSpacing/>
        <w:rPr>
          <w:rFonts w:ascii="Times New Roman" w:hAnsi="Times New Roman" w:cs="Times New Roman"/>
          <w:sz w:val="24"/>
          <w:szCs w:val="24"/>
          <w:lang w:val="en-US"/>
        </w:rPr>
      </w:pPr>
    </w:p>
    <w:p w14:paraId="0DEEA55B" w14:textId="77777777" w:rsidR="00A957F4" w:rsidRPr="00176315" w:rsidRDefault="00A957F4" w:rsidP="00A957F4">
      <w:pPr>
        <w:autoSpaceDE w:val="0"/>
        <w:autoSpaceDN w:val="0"/>
        <w:adjustRightInd w:val="0"/>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In recent years, the integration processes in the world are experiencing rapid development. Many countries began to unite in various trade blocs and associations. This process, in turn, contributed to the problems in the global economy. In crisis conditions, the removal of tariff and non-tariff barriers is seen as one of the ways to spur trade, and thus help out of the economic crisis.</w:t>
      </w:r>
    </w:p>
    <w:p w14:paraId="174A510E" w14:textId="77777777" w:rsidR="00A957F4" w:rsidRPr="00176315" w:rsidRDefault="00A957F4" w:rsidP="00A957F4">
      <w:pPr>
        <w:autoSpaceDE w:val="0"/>
        <w:autoSpaceDN w:val="0"/>
        <w:adjustRightInd w:val="0"/>
        <w:spacing w:after="0" w:line="240" w:lineRule="auto"/>
        <w:ind w:firstLine="567"/>
        <w:contextualSpacing/>
        <w:jc w:val="both"/>
        <w:rPr>
          <w:rFonts w:ascii="Times New Roman" w:hAnsi="Times New Roman" w:cs="Times New Roman"/>
          <w:sz w:val="24"/>
          <w:szCs w:val="24"/>
          <w:lang w:val="en-US"/>
        </w:rPr>
      </w:pPr>
    </w:p>
    <w:p w14:paraId="19143405" w14:textId="77777777" w:rsidR="00A957F4" w:rsidRPr="00176315" w:rsidRDefault="00A957F4" w:rsidP="00A957F4">
      <w:pPr>
        <w:autoSpaceDE w:val="0"/>
        <w:autoSpaceDN w:val="0"/>
        <w:adjustRightInd w:val="0"/>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In the past, the creation of integration associations was only aimed at increasing the turnover, and now they are trying to create full-fledged industrial trading complexes through integration (Analytical review of the integration processes in Kazakhstan, KIDI).</w:t>
      </w:r>
    </w:p>
    <w:p w14:paraId="371C648E" w14:textId="77777777" w:rsidR="00A957F4" w:rsidRPr="00176315" w:rsidRDefault="00A957F4" w:rsidP="00A957F4">
      <w:pPr>
        <w:autoSpaceDE w:val="0"/>
        <w:autoSpaceDN w:val="0"/>
        <w:adjustRightInd w:val="0"/>
        <w:spacing w:after="0" w:line="240" w:lineRule="auto"/>
        <w:ind w:firstLine="567"/>
        <w:contextualSpacing/>
        <w:jc w:val="both"/>
        <w:rPr>
          <w:rFonts w:ascii="Times New Roman" w:hAnsi="Times New Roman" w:cs="Times New Roman"/>
          <w:sz w:val="24"/>
          <w:szCs w:val="24"/>
          <w:lang w:val="en-US"/>
        </w:rPr>
      </w:pPr>
    </w:p>
    <w:p w14:paraId="574A7307" w14:textId="77777777" w:rsidR="00321C2C" w:rsidRPr="00176315" w:rsidRDefault="00A957F4" w:rsidP="00321C2C">
      <w:pPr>
        <w:autoSpaceDE w:val="0"/>
        <w:autoSpaceDN w:val="0"/>
        <w:adjustRightInd w:val="0"/>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 xml:space="preserve">And pursuing these goals, Kazakhstan in 2007 signed the Treaty on the creation of a single customs territory and the formation of the Customs Union with Belarus and </w:t>
      </w:r>
      <w:r w:rsidRPr="00176315">
        <w:rPr>
          <w:rFonts w:ascii="Times New Roman" w:hAnsi="Times New Roman" w:cs="Times New Roman"/>
          <w:sz w:val="24"/>
          <w:szCs w:val="24"/>
          <w:lang w:val="en-US"/>
        </w:rPr>
        <w:lastRenderedPageBreak/>
        <w:t>Russia. In 2015, this integration association grew into a Eurasian Economic Union, which includes Russia, Kazakhstan, Belarus, Kyrgyzstan and Armenia. Within the Union, program documents are developed for all EAEU member states, one of which is the Main Directions of Industrial Cooperation. The objectives of the implementation of industrial policy in the framework of the Eurasian Economic Union are to accelerate and increase the sustainability of industrial development, increase the competitiveness of the industrial complexes of the EAEU member countries, and implement effective industrial cooperation within the EAEU. One of the most important conditions for the development of industrial production in Kazakhstan is the integration into the production chains of global manufacturers of finished products, the development of manufacturing small and medium businesses and the acquisition of modern technologies through the deep localization of production by foreign companies.</w:t>
      </w:r>
    </w:p>
    <w:p w14:paraId="5E2BAC68" w14:textId="77777777" w:rsidR="00321C2C" w:rsidRPr="00176315" w:rsidRDefault="00321C2C" w:rsidP="00DB62AB">
      <w:pPr>
        <w:spacing w:after="0" w:line="240" w:lineRule="auto"/>
        <w:ind w:firstLine="567"/>
        <w:contextualSpacing/>
        <w:jc w:val="both"/>
        <w:rPr>
          <w:rFonts w:ascii="Times New Roman" w:hAnsi="Times New Roman" w:cs="Times New Roman"/>
          <w:sz w:val="24"/>
          <w:szCs w:val="24"/>
          <w:lang w:val="en-US"/>
        </w:rPr>
      </w:pPr>
    </w:p>
    <w:p w14:paraId="4C81FBF4" w14:textId="77777777" w:rsidR="00DB62AB" w:rsidRPr="00176315" w:rsidRDefault="00DB62AB" w:rsidP="00DB62AB">
      <w:pPr>
        <w:spacing w:after="0" w:line="240" w:lineRule="auto"/>
        <w:ind w:firstLine="567"/>
        <w:contextualSpacing/>
        <w:jc w:val="both"/>
        <w:rPr>
          <w:rStyle w:val="a8"/>
          <w:rFonts w:ascii="Times New Roman" w:hAnsi="Times New Roman" w:cs="Times New Roman"/>
          <w:sz w:val="24"/>
          <w:szCs w:val="24"/>
          <w:lang w:val="en-US"/>
        </w:rPr>
      </w:pPr>
      <w:r w:rsidRPr="00176315">
        <w:rPr>
          <w:rStyle w:val="a8"/>
          <w:rFonts w:ascii="Times New Roman" w:hAnsi="Times New Roman" w:cs="Times New Roman"/>
          <w:sz w:val="24"/>
          <w:szCs w:val="24"/>
          <w:lang w:val="en-US"/>
        </w:rPr>
        <w:t>Literature Review</w:t>
      </w:r>
    </w:p>
    <w:p w14:paraId="31ABA83E" w14:textId="77777777" w:rsidR="00321C2C" w:rsidRPr="00176315" w:rsidRDefault="00321C2C" w:rsidP="00DB62AB">
      <w:pPr>
        <w:spacing w:after="0" w:line="240" w:lineRule="auto"/>
        <w:ind w:firstLine="567"/>
        <w:contextualSpacing/>
        <w:jc w:val="both"/>
        <w:rPr>
          <w:rStyle w:val="a8"/>
          <w:rFonts w:ascii="Times New Roman" w:hAnsi="Times New Roman" w:cs="Times New Roman"/>
          <w:sz w:val="24"/>
          <w:szCs w:val="24"/>
          <w:lang w:val="en-US"/>
        </w:rPr>
      </w:pPr>
    </w:p>
    <w:p w14:paraId="21621BE1" w14:textId="77777777"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In a market economy, ensuring competitive advantages is the basis for the development of economic entities. This, in turn, is not only contribute to sustainable economic development of the territory, but also helps to strengthen its competitive immunity, that is, the ability to successfully compete with other countries, to withstand potential risks from external and internal shocks. In this regard, the definition and measurement of the competitive advantages of industries is reflected in the work of many researchers.</w:t>
      </w:r>
    </w:p>
    <w:p w14:paraId="4BD459E9"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2C8A0AF3" w14:textId="77777777"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A relevant theory for the definition of modern concepts of increasing the competitiveness of economic sectors is D. Ricardo's theory of comparative advantage. D. Ricardo believed that the country does not necessarily have an absolute advantage on a competitive product. It is enough that it has a comparative advantage, i.e. so that costs for this product are lower than those of a competitor country (</w:t>
      </w:r>
      <w:proofErr w:type="spellStart"/>
      <w:r w:rsidRPr="00176315">
        <w:rPr>
          <w:rStyle w:val="a8"/>
          <w:rFonts w:ascii="Times New Roman" w:hAnsi="Times New Roman" w:cs="Times New Roman"/>
          <w:b w:val="0"/>
          <w:sz w:val="24"/>
          <w:szCs w:val="24"/>
          <w:lang w:val="en-US"/>
        </w:rPr>
        <w:t>Titova</w:t>
      </w:r>
      <w:proofErr w:type="spellEnd"/>
      <w:r w:rsidRPr="00176315">
        <w:rPr>
          <w:rStyle w:val="a8"/>
          <w:rFonts w:ascii="Times New Roman" w:hAnsi="Times New Roman" w:cs="Times New Roman"/>
          <w:b w:val="0"/>
          <w:sz w:val="24"/>
          <w:szCs w:val="24"/>
          <w:lang w:val="en-US"/>
        </w:rPr>
        <w:t>, 1997).</w:t>
      </w:r>
    </w:p>
    <w:p w14:paraId="46D2D4CF"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213ADC72" w14:textId="77777777"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 xml:space="preserve">The technological concept of Marshall </w:t>
      </w:r>
      <w:r w:rsidR="00446D14" w:rsidRPr="00176315">
        <w:rPr>
          <w:rStyle w:val="a8"/>
          <w:rFonts w:ascii="Times New Roman" w:hAnsi="Times New Roman" w:cs="Times New Roman"/>
          <w:b w:val="0"/>
          <w:sz w:val="24"/>
          <w:szCs w:val="24"/>
          <w:lang w:val="en-US"/>
        </w:rPr>
        <w:t xml:space="preserve">(1984) </w:t>
      </w:r>
      <w:r w:rsidRPr="00176315">
        <w:rPr>
          <w:rStyle w:val="a8"/>
          <w:rFonts w:ascii="Times New Roman" w:hAnsi="Times New Roman" w:cs="Times New Roman"/>
          <w:b w:val="0"/>
          <w:sz w:val="24"/>
          <w:szCs w:val="24"/>
          <w:lang w:val="en-US"/>
        </w:rPr>
        <w:t>competition justifies the advantages of large-scale production over small-s</w:t>
      </w:r>
      <w:r w:rsidR="00446D14" w:rsidRPr="00176315">
        <w:rPr>
          <w:rStyle w:val="a8"/>
          <w:rFonts w:ascii="Times New Roman" w:hAnsi="Times New Roman" w:cs="Times New Roman"/>
          <w:b w:val="0"/>
          <w:sz w:val="24"/>
          <w:szCs w:val="24"/>
          <w:lang w:val="en-US"/>
        </w:rPr>
        <w:t>cale production</w:t>
      </w:r>
      <w:r w:rsidRPr="00176315">
        <w:rPr>
          <w:rStyle w:val="a8"/>
          <w:rFonts w:ascii="Times New Roman" w:hAnsi="Times New Roman" w:cs="Times New Roman"/>
          <w:b w:val="0"/>
          <w:sz w:val="24"/>
          <w:szCs w:val="24"/>
          <w:lang w:val="en-US"/>
        </w:rPr>
        <w:t>.</w:t>
      </w:r>
    </w:p>
    <w:p w14:paraId="6A27D3AF"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14F0CB5A" w14:textId="77777777"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The American scientist M. Enright</w:t>
      </w:r>
      <w:r w:rsidR="00446D14" w:rsidRPr="00176315">
        <w:rPr>
          <w:rStyle w:val="a8"/>
          <w:rFonts w:ascii="Times New Roman" w:hAnsi="Times New Roman" w:cs="Times New Roman"/>
          <w:b w:val="0"/>
          <w:sz w:val="24"/>
          <w:szCs w:val="24"/>
          <w:lang w:val="en-US"/>
        </w:rPr>
        <w:t xml:space="preserve"> (1992)</w:t>
      </w:r>
      <w:r w:rsidRPr="00176315">
        <w:rPr>
          <w:rStyle w:val="a8"/>
          <w:rFonts w:ascii="Times New Roman" w:hAnsi="Times New Roman" w:cs="Times New Roman"/>
          <w:b w:val="0"/>
          <w:sz w:val="24"/>
          <w:szCs w:val="24"/>
          <w:lang w:val="en-US"/>
        </w:rPr>
        <w:t xml:space="preserve"> determined in his theory that competitive advantages are created at the regional level, where the main role is played by the historical prerequisites for the development of regions, the diversity of business cultures, the organization of producti</w:t>
      </w:r>
      <w:r w:rsidR="00446D14" w:rsidRPr="00176315">
        <w:rPr>
          <w:rStyle w:val="a8"/>
          <w:rFonts w:ascii="Times New Roman" w:hAnsi="Times New Roman" w:cs="Times New Roman"/>
          <w:b w:val="0"/>
          <w:sz w:val="24"/>
          <w:szCs w:val="24"/>
          <w:lang w:val="en-US"/>
        </w:rPr>
        <w:t>on and education</w:t>
      </w:r>
      <w:r w:rsidRPr="00176315">
        <w:rPr>
          <w:rStyle w:val="a8"/>
          <w:rFonts w:ascii="Times New Roman" w:hAnsi="Times New Roman" w:cs="Times New Roman"/>
          <w:b w:val="0"/>
          <w:sz w:val="24"/>
          <w:szCs w:val="24"/>
          <w:lang w:val="en-US"/>
        </w:rPr>
        <w:t>.</w:t>
      </w:r>
    </w:p>
    <w:p w14:paraId="74B5E8F3" w14:textId="77777777"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Russian scientists associate sustainable competitive advantages with possession of valuable or unique, unparalleled resources and competencies by a market entity (</w:t>
      </w:r>
      <w:proofErr w:type="spellStart"/>
      <w:r w:rsidRPr="00176315">
        <w:rPr>
          <w:rStyle w:val="a8"/>
          <w:rFonts w:ascii="Times New Roman" w:hAnsi="Times New Roman" w:cs="Times New Roman"/>
          <w:b w:val="0"/>
          <w:sz w:val="24"/>
          <w:szCs w:val="24"/>
          <w:lang w:val="en-US"/>
        </w:rPr>
        <w:t>Belkin</w:t>
      </w:r>
      <w:proofErr w:type="spellEnd"/>
      <w:r w:rsidRPr="00176315">
        <w:rPr>
          <w:rStyle w:val="a8"/>
          <w:rFonts w:ascii="Times New Roman" w:hAnsi="Times New Roman" w:cs="Times New Roman"/>
          <w:b w:val="0"/>
          <w:sz w:val="24"/>
          <w:szCs w:val="24"/>
          <w:lang w:val="en-US"/>
        </w:rPr>
        <w:t xml:space="preserve"> et al., 2012).</w:t>
      </w:r>
    </w:p>
    <w:p w14:paraId="01B6A765"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57407D92" w14:textId="24308E6B"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 xml:space="preserve">Researcher </w:t>
      </w:r>
      <w:r w:rsidR="00446D14" w:rsidRPr="00176315">
        <w:rPr>
          <w:rStyle w:val="a8"/>
          <w:rFonts w:ascii="Times New Roman" w:hAnsi="Times New Roman" w:cs="Times New Roman"/>
          <w:b w:val="0"/>
          <w:sz w:val="24"/>
          <w:szCs w:val="24"/>
          <w:lang w:val="en-US"/>
        </w:rPr>
        <w:t xml:space="preserve">A.S. </w:t>
      </w:r>
      <w:proofErr w:type="spellStart"/>
      <w:r w:rsidRPr="00176315">
        <w:rPr>
          <w:rStyle w:val="a8"/>
          <w:rFonts w:ascii="Times New Roman" w:hAnsi="Times New Roman" w:cs="Times New Roman"/>
          <w:b w:val="0"/>
          <w:sz w:val="24"/>
          <w:szCs w:val="24"/>
          <w:lang w:val="en-US"/>
        </w:rPr>
        <w:t>Barabanov</w:t>
      </w:r>
      <w:proofErr w:type="spellEnd"/>
      <w:r w:rsidRPr="00176315">
        <w:rPr>
          <w:rStyle w:val="a8"/>
          <w:rFonts w:ascii="Times New Roman" w:hAnsi="Times New Roman" w:cs="Times New Roman"/>
          <w:b w:val="0"/>
          <w:sz w:val="24"/>
          <w:szCs w:val="24"/>
          <w:lang w:val="en-US"/>
        </w:rPr>
        <w:t xml:space="preserve"> says that competitive advantages are created on the basis of competitive factors, to which he attributes such indicators as “per capita GRP”, “labor productivity”, “per capita technological innovation costs” and many others, grouped according to from “target groups”: population, enterprises, small business, investors, tourists (</w:t>
      </w:r>
      <w:proofErr w:type="spellStart"/>
      <w:r w:rsidRPr="00176315">
        <w:rPr>
          <w:rStyle w:val="a8"/>
          <w:rFonts w:ascii="Times New Roman" w:hAnsi="Times New Roman" w:cs="Times New Roman"/>
          <w:b w:val="0"/>
          <w:sz w:val="24"/>
          <w:szCs w:val="24"/>
          <w:lang w:val="en-US"/>
        </w:rPr>
        <w:t>Vokhmyanin</w:t>
      </w:r>
      <w:proofErr w:type="spellEnd"/>
      <w:r w:rsidRPr="00176315">
        <w:rPr>
          <w:rStyle w:val="a8"/>
          <w:rFonts w:ascii="Times New Roman" w:hAnsi="Times New Roman" w:cs="Times New Roman"/>
          <w:b w:val="0"/>
          <w:sz w:val="24"/>
          <w:szCs w:val="24"/>
          <w:lang w:val="en-US"/>
        </w:rPr>
        <w:t xml:space="preserve">, 2016). </w:t>
      </w:r>
      <w:proofErr w:type="spellStart"/>
      <w:r w:rsidR="00101E19" w:rsidRPr="00176315">
        <w:rPr>
          <w:rFonts w:ascii="Times New Roman" w:hAnsi="Times New Roman" w:cs="Times New Roman"/>
          <w:bCs/>
          <w:sz w:val="24"/>
          <w:szCs w:val="24"/>
          <w:lang w:val="en-US"/>
        </w:rPr>
        <w:t>Sadykhanova</w:t>
      </w:r>
      <w:proofErr w:type="spellEnd"/>
      <w:r w:rsidR="00101E19" w:rsidRPr="00176315">
        <w:rPr>
          <w:rFonts w:ascii="Times New Roman" w:hAnsi="Times New Roman" w:cs="Times New Roman"/>
          <w:bCs/>
          <w:sz w:val="24"/>
          <w:szCs w:val="24"/>
          <w:lang w:val="en-US"/>
        </w:rPr>
        <w:t xml:space="preserve">, G., &amp; </w:t>
      </w:r>
      <w:proofErr w:type="spellStart"/>
      <w:r w:rsidR="00101E19" w:rsidRPr="00176315">
        <w:rPr>
          <w:rFonts w:ascii="Times New Roman" w:hAnsi="Times New Roman" w:cs="Times New Roman"/>
          <w:bCs/>
          <w:sz w:val="24"/>
          <w:szCs w:val="24"/>
          <w:lang w:val="en-US"/>
        </w:rPr>
        <w:t>Zhuparova</w:t>
      </w:r>
      <w:proofErr w:type="spellEnd"/>
      <w:r w:rsidR="00101E19" w:rsidRPr="00176315">
        <w:rPr>
          <w:rFonts w:ascii="Times New Roman" w:hAnsi="Times New Roman" w:cs="Times New Roman"/>
          <w:bCs/>
          <w:sz w:val="24"/>
          <w:szCs w:val="24"/>
          <w:lang w:val="en-US"/>
        </w:rPr>
        <w:t xml:space="preserve">, A. (2013) discuss the influence of human capital efficiency within innovative economy. </w:t>
      </w:r>
      <w:r w:rsidRPr="00176315">
        <w:rPr>
          <w:rStyle w:val="a8"/>
          <w:rFonts w:ascii="Times New Roman" w:hAnsi="Times New Roman" w:cs="Times New Roman"/>
          <w:b w:val="0"/>
          <w:sz w:val="24"/>
          <w:szCs w:val="24"/>
          <w:lang w:val="en-US"/>
        </w:rPr>
        <w:t>Thus, it identifies competitive advantages with indicators characterizing the socio-economic development of the region.</w:t>
      </w:r>
    </w:p>
    <w:p w14:paraId="601E2680"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7FB7F2E2" w14:textId="77777777" w:rsidR="00321C2C" w:rsidRPr="00176315" w:rsidRDefault="00446D14"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 xml:space="preserve">M. </w:t>
      </w:r>
      <w:r w:rsidR="00321C2C" w:rsidRPr="00176315">
        <w:rPr>
          <w:rStyle w:val="a8"/>
          <w:rFonts w:ascii="Times New Roman" w:hAnsi="Times New Roman" w:cs="Times New Roman"/>
          <w:b w:val="0"/>
          <w:sz w:val="24"/>
          <w:szCs w:val="24"/>
          <w:lang w:val="en-US"/>
        </w:rPr>
        <w:t>Porter</w:t>
      </w:r>
      <w:r w:rsidRPr="00176315">
        <w:rPr>
          <w:rStyle w:val="a8"/>
          <w:rFonts w:ascii="Times New Roman" w:hAnsi="Times New Roman" w:cs="Times New Roman"/>
          <w:b w:val="0"/>
          <w:sz w:val="24"/>
          <w:szCs w:val="24"/>
          <w:lang w:val="en-US"/>
        </w:rPr>
        <w:t xml:space="preserve"> (2005)</w:t>
      </w:r>
      <w:r w:rsidR="00321C2C" w:rsidRPr="00176315">
        <w:rPr>
          <w:rStyle w:val="a8"/>
          <w:rFonts w:ascii="Times New Roman" w:hAnsi="Times New Roman" w:cs="Times New Roman"/>
          <w:b w:val="0"/>
          <w:sz w:val="24"/>
          <w:szCs w:val="24"/>
          <w:lang w:val="en-US"/>
        </w:rPr>
        <w:t xml:space="preserve"> believes that competitive advantages are expressed in lower costs than competitors, or in the ability to change and control value added, which exceeds the additional costs o</w:t>
      </w:r>
      <w:r w:rsidRPr="00176315">
        <w:rPr>
          <w:rStyle w:val="a8"/>
          <w:rFonts w:ascii="Times New Roman" w:hAnsi="Times New Roman" w:cs="Times New Roman"/>
          <w:b w:val="0"/>
          <w:sz w:val="24"/>
          <w:szCs w:val="24"/>
          <w:lang w:val="en-US"/>
        </w:rPr>
        <w:t>f differentiation</w:t>
      </w:r>
      <w:r w:rsidR="00321C2C" w:rsidRPr="00176315">
        <w:rPr>
          <w:rStyle w:val="a8"/>
          <w:rFonts w:ascii="Times New Roman" w:hAnsi="Times New Roman" w:cs="Times New Roman"/>
          <w:b w:val="0"/>
          <w:sz w:val="24"/>
          <w:szCs w:val="24"/>
          <w:lang w:val="en-US"/>
        </w:rPr>
        <w:t>.</w:t>
      </w:r>
    </w:p>
    <w:p w14:paraId="4EEDC801"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131EAA9A" w14:textId="1E092C6E"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 xml:space="preserve">Russian scientist </w:t>
      </w:r>
      <w:r w:rsidR="00446D14" w:rsidRPr="00176315">
        <w:rPr>
          <w:rStyle w:val="a8"/>
          <w:rFonts w:ascii="Times New Roman" w:hAnsi="Times New Roman" w:cs="Times New Roman"/>
          <w:b w:val="0"/>
          <w:sz w:val="24"/>
          <w:szCs w:val="24"/>
          <w:lang w:val="en-US"/>
        </w:rPr>
        <w:t xml:space="preserve">V.P. </w:t>
      </w:r>
      <w:proofErr w:type="spellStart"/>
      <w:r w:rsidRPr="00176315">
        <w:rPr>
          <w:rStyle w:val="a8"/>
          <w:rFonts w:ascii="Times New Roman" w:hAnsi="Times New Roman" w:cs="Times New Roman"/>
          <w:b w:val="0"/>
          <w:sz w:val="24"/>
          <w:szCs w:val="24"/>
          <w:lang w:val="en-US"/>
        </w:rPr>
        <w:t>Obolensk</w:t>
      </w:r>
      <w:r w:rsidR="00446D14" w:rsidRPr="00176315">
        <w:rPr>
          <w:rStyle w:val="a8"/>
          <w:rFonts w:ascii="Times New Roman" w:hAnsi="Times New Roman" w:cs="Times New Roman"/>
          <w:b w:val="0"/>
          <w:sz w:val="24"/>
          <w:szCs w:val="24"/>
          <w:lang w:val="en-US"/>
        </w:rPr>
        <w:t>i</w:t>
      </w:r>
      <w:r w:rsidRPr="00176315">
        <w:rPr>
          <w:rStyle w:val="a8"/>
          <w:rFonts w:ascii="Times New Roman" w:hAnsi="Times New Roman" w:cs="Times New Roman"/>
          <w:b w:val="0"/>
          <w:sz w:val="24"/>
          <w:szCs w:val="24"/>
          <w:lang w:val="en-US"/>
        </w:rPr>
        <w:t>y</w:t>
      </w:r>
      <w:proofErr w:type="spellEnd"/>
      <w:r w:rsidRPr="00176315">
        <w:rPr>
          <w:rStyle w:val="a8"/>
          <w:rFonts w:ascii="Times New Roman" w:hAnsi="Times New Roman" w:cs="Times New Roman"/>
          <w:b w:val="0"/>
          <w:sz w:val="24"/>
          <w:szCs w:val="24"/>
          <w:lang w:val="en-US"/>
        </w:rPr>
        <w:t xml:space="preserve"> </w:t>
      </w:r>
      <w:r w:rsidR="00446D14" w:rsidRPr="00176315">
        <w:rPr>
          <w:rStyle w:val="a8"/>
          <w:rFonts w:ascii="Times New Roman" w:hAnsi="Times New Roman" w:cs="Times New Roman"/>
          <w:b w:val="0"/>
          <w:sz w:val="24"/>
          <w:szCs w:val="24"/>
          <w:lang w:val="en-US"/>
        </w:rPr>
        <w:t xml:space="preserve">(2008) </w:t>
      </w:r>
      <w:r w:rsidRPr="00176315">
        <w:rPr>
          <w:rStyle w:val="a8"/>
          <w:rFonts w:ascii="Times New Roman" w:hAnsi="Times New Roman" w:cs="Times New Roman"/>
          <w:b w:val="0"/>
          <w:sz w:val="24"/>
          <w:szCs w:val="24"/>
          <w:lang w:val="en-US"/>
        </w:rPr>
        <w:t>according to Porter’s t</w:t>
      </w:r>
      <w:r w:rsidR="00446D14" w:rsidRPr="00176315">
        <w:rPr>
          <w:rStyle w:val="a8"/>
          <w:rFonts w:ascii="Times New Roman" w:hAnsi="Times New Roman" w:cs="Times New Roman"/>
          <w:b w:val="0"/>
          <w:sz w:val="24"/>
          <w:szCs w:val="24"/>
          <w:lang w:val="en-US"/>
        </w:rPr>
        <w:t>heory of competitive advantage – Porter’s diamond</w:t>
      </w:r>
      <w:r w:rsidRPr="00176315">
        <w:rPr>
          <w:rStyle w:val="a8"/>
          <w:rFonts w:ascii="Times New Roman" w:hAnsi="Times New Roman" w:cs="Times New Roman"/>
          <w:b w:val="0"/>
          <w:sz w:val="24"/>
          <w:szCs w:val="24"/>
          <w:lang w:val="en-US"/>
        </w:rPr>
        <w:t xml:space="preserve"> </w:t>
      </w:r>
      <w:r w:rsidR="00446D14" w:rsidRPr="00176315">
        <w:rPr>
          <w:rStyle w:val="a8"/>
          <w:rFonts w:ascii="Times New Roman" w:hAnsi="Times New Roman" w:cs="Times New Roman"/>
          <w:b w:val="0"/>
          <w:sz w:val="24"/>
          <w:szCs w:val="24"/>
          <w:lang w:val="en-US"/>
        </w:rPr>
        <w:t xml:space="preserve">– </w:t>
      </w:r>
      <w:r w:rsidRPr="00176315">
        <w:rPr>
          <w:rStyle w:val="a8"/>
          <w:rFonts w:ascii="Times New Roman" w:hAnsi="Times New Roman" w:cs="Times New Roman"/>
          <w:b w:val="0"/>
          <w:sz w:val="24"/>
          <w:szCs w:val="24"/>
          <w:lang w:val="en-US"/>
        </w:rPr>
        <w:t xml:space="preserve">analyzed the potential for competitive development of </w:t>
      </w:r>
      <w:r w:rsidR="005F02EB" w:rsidRPr="00176315">
        <w:rPr>
          <w:rStyle w:val="a8"/>
          <w:rFonts w:ascii="Times New Roman" w:hAnsi="Times New Roman" w:cs="Times New Roman"/>
          <w:b w:val="0"/>
          <w:sz w:val="24"/>
          <w:szCs w:val="24"/>
          <w:lang w:val="en-US"/>
        </w:rPr>
        <w:t>industries</w:t>
      </w:r>
      <w:r w:rsidRPr="00176315">
        <w:rPr>
          <w:rStyle w:val="a8"/>
          <w:rFonts w:ascii="Times New Roman" w:hAnsi="Times New Roman" w:cs="Times New Roman"/>
          <w:b w:val="0"/>
          <w:sz w:val="24"/>
          <w:szCs w:val="24"/>
          <w:lang w:val="en-US"/>
        </w:rPr>
        <w:t xml:space="preserve"> of the Russian Federation. </w:t>
      </w:r>
      <w:r w:rsidR="00101E19" w:rsidRPr="00176315">
        <w:rPr>
          <w:rStyle w:val="a8"/>
          <w:rFonts w:ascii="Times New Roman" w:hAnsi="Times New Roman" w:cs="Times New Roman"/>
          <w:b w:val="0"/>
          <w:sz w:val="24"/>
          <w:szCs w:val="24"/>
          <w:lang w:val="en-US"/>
        </w:rPr>
        <w:t>In addition,</w:t>
      </w:r>
      <w:r w:rsidRPr="00176315">
        <w:rPr>
          <w:rStyle w:val="a8"/>
          <w:rFonts w:ascii="Times New Roman" w:hAnsi="Times New Roman" w:cs="Times New Roman"/>
          <w:b w:val="0"/>
          <w:sz w:val="24"/>
          <w:szCs w:val="24"/>
          <w:lang w:val="en-US"/>
        </w:rPr>
        <w:t xml:space="preserve"> he </w:t>
      </w:r>
      <w:r w:rsidR="00101E19" w:rsidRPr="00176315">
        <w:rPr>
          <w:rStyle w:val="a8"/>
          <w:rFonts w:ascii="Times New Roman" w:hAnsi="Times New Roman" w:cs="Times New Roman"/>
          <w:b w:val="0"/>
          <w:sz w:val="24"/>
          <w:szCs w:val="24"/>
          <w:lang w:val="en-US"/>
        </w:rPr>
        <w:t>concluded</w:t>
      </w:r>
      <w:r w:rsidRPr="00176315">
        <w:rPr>
          <w:rStyle w:val="a8"/>
          <w:rFonts w:ascii="Times New Roman" w:hAnsi="Times New Roman" w:cs="Times New Roman"/>
          <w:b w:val="0"/>
          <w:sz w:val="24"/>
          <w:szCs w:val="24"/>
          <w:lang w:val="en-US"/>
        </w:rPr>
        <w:t xml:space="preserve"> that the reason for the successful entry of national industries and </w:t>
      </w:r>
      <w:r w:rsidR="005F02EB" w:rsidRPr="00176315">
        <w:rPr>
          <w:rStyle w:val="a8"/>
          <w:rFonts w:ascii="Times New Roman" w:hAnsi="Times New Roman" w:cs="Times New Roman"/>
          <w:b w:val="0"/>
          <w:sz w:val="24"/>
          <w:szCs w:val="24"/>
          <w:lang w:val="en-US"/>
        </w:rPr>
        <w:t xml:space="preserve">firms to foreign markets is the </w:t>
      </w:r>
      <w:r w:rsidRPr="00176315">
        <w:rPr>
          <w:rStyle w:val="a8"/>
          <w:rFonts w:ascii="Times New Roman" w:hAnsi="Times New Roman" w:cs="Times New Roman"/>
          <w:b w:val="0"/>
          <w:sz w:val="24"/>
          <w:szCs w:val="24"/>
          <w:lang w:val="en-US"/>
        </w:rPr>
        <w:t>macroeconomic environment within the country, the maturity of which ensures the maintenance of com</w:t>
      </w:r>
      <w:r w:rsidR="00446D14" w:rsidRPr="00176315">
        <w:rPr>
          <w:rStyle w:val="a8"/>
          <w:rFonts w:ascii="Times New Roman" w:hAnsi="Times New Roman" w:cs="Times New Roman"/>
          <w:b w:val="0"/>
          <w:sz w:val="24"/>
          <w:szCs w:val="24"/>
          <w:lang w:val="en-US"/>
        </w:rPr>
        <w:t>petitive advantages in dynamics</w:t>
      </w:r>
      <w:r w:rsidRPr="00176315">
        <w:rPr>
          <w:rStyle w:val="a8"/>
          <w:rFonts w:ascii="Times New Roman" w:hAnsi="Times New Roman" w:cs="Times New Roman"/>
          <w:b w:val="0"/>
          <w:sz w:val="24"/>
          <w:szCs w:val="24"/>
          <w:lang w:val="en-US"/>
        </w:rPr>
        <w:t>.</w:t>
      </w:r>
    </w:p>
    <w:p w14:paraId="1A83A06D"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46AE3E34" w14:textId="77777777"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With regard to methods for assessing competitive advantages at the industry level, many scientists also use different methods of assessment.</w:t>
      </w:r>
    </w:p>
    <w:p w14:paraId="25952B1B"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66A378F5" w14:textId="77777777" w:rsidR="00321C2C" w:rsidRPr="00176315" w:rsidRDefault="00321C2C"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r w:rsidRPr="00176315">
        <w:rPr>
          <w:rStyle w:val="a8"/>
          <w:rFonts w:ascii="Times New Roman" w:hAnsi="Times New Roman" w:cs="Times New Roman"/>
          <w:b w:val="0"/>
          <w:sz w:val="24"/>
          <w:szCs w:val="24"/>
          <w:lang w:val="en-US"/>
        </w:rPr>
        <w:t xml:space="preserve">For example, Sun K. et al. </w:t>
      </w:r>
      <w:r w:rsidR="005F02EB" w:rsidRPr="00176315">
        <w:rPr>
          <w:rStyle w:val="a8"/>
          <w:rFonts w:ascii="Times New Roman" w:hAnsi="Times New Roman" w:cs="Times New Roman"/>
          <w:b w:val="0"/>
          <w:sz w:val="24"/>
          <w:szCs w:val="24"/>
          <w:lang w:val="en-US"/>
        </w:rPr>
        <w:t>(2009) in their</w:t>
      </w:r>
      <w:r w:rsidRPr="00176315">
        <w:rPr>
          <w:rStyle w:val="a8"/>
          <w:rFonts w:ascii="Times New Roman" w:hAnsi="Times New Roman" w:cs="Times New Roman"/>
          <w:b w:val="0"/>
          <w:sz w:val="24"/>
          <w:szCs w:val="24"/>
          <w:lang w:val="en-US"/>
        </w:rPr>
        <w:t xml:space="preserve"> study uses the GIS-based analysis system to determine the competitive direction of the agricultural sector, paying particular attention to the classification of agricultural economic indicators for regional competiti</w:t>
      </w:r>
      <w:r w:rsidR="004F4250" w:rsidRPr="00176315">
        <w:rPr>
          <w:rStyle w:val="a8"/>
          <w:rFonts w:ascii="Times New Roman" w:hAnsi="Times New Roman" w:cs="Times New Roman"/>
          <w:b w:val="0"/>
          <w:sz w:val="24"/>
          <w:szCs w:val="24"/>
          <w:lang w:val="en-US"/>
        </w:rPr>
        <w:t>ve industries</w:t>
      </w:r>
      <w:r w:rsidRPr="00176315">
        <w:rPr>
          <w:rStyle w:val="a8"/>
          <w:rFonts w:ascii="Times New Roman" w:hAnsi="Times New Roman" w:cs="Times New Roman"/>
          <w:b w:val="0"/>
          <w:sz w:val="24"/>
          <w:szCs w:val="24"/>
          <w:lang w:val="en-US"/>
        </w:rPr>
        <w:t>.</w:t>
      </w:r>
    </w:p>
    <w:p w14:paraId="28643A27" w14:textId="77777777" w:rsidR="004F4250" w:rsidRPr="00176315" w:rsidRDefault="004F4250" w:rsidP="00321C2C">
      <w:pPr>
        <w:autoSpaceDE w:val="0"/>
        <w:autoSpaceDN w:val="0"/>
        <w:adjustRightInd w:val="0"/>
        <w:spacing w:after="0" w:line="240" w:lineRule="auto"/>
        <w:ind w:firstLine="567"/>
        <w:contextualSpacing/>
        <w:jc w:val="both"/>
        <w:rPr>
          <w:rStyle w:val="a8"/>
          <w:rFonts w:ascii="Times New Roman" w:hAnsi="Times New Roman" w:cs="Times New Roman"/>
          <w:b w:val="0"/>
          <w:sz w:val="24"/>
          <w:szCs w:val="24"/>
          <w:lang w:val="en-US"/>
        </w:rPr>
      </w:pPr>
    </w:p>
    <w:p w14:paraId="2817BA45" w14:textId="77777777" w:rsidR="00DB62AB" w:rsidRPr="00176315" w:rsidRDefault="004F4250" w:rsidP="00321C2C">
      <w:pPr>
        <w:autoSpaceDE w:val="0"/>
        <w:autoSpaceDN w:val="0"/>
        <w:adjustRightInd w:val="0"/>
        <w:spacing w:after="0" w:line="240" w:lineRule="auto"/>
        <w:ind w:firstLine="567"/>
        <w:contextualSpacing/>
        <w:jc w:val="both"/>
        <w:rPr>
          <w:rFonts w:ascii="Times New Roman" w:hAnsi="Times New Roman" w:cs="Times New Roman"/>
          <w:sz w:val="24"/>
          <w:szCs w:val="24"/>
          <w:lang w:val="en-US"/>
        </w:rPr>
      </w:pPr>
      <w:r w:rsidRPr="00176315">
        <w:rPr>
          <w:rStyle w:val="a8"/>
          <w:rFonts w:ascii="Times New Roman" w:hAnsi="Times New Roman" w:cs="Times New Roman"/>
          <w:b w:val="0"/>
          <w:sz w:val="24"/>
          <w:szCs w:val="24"/>
          <w:lang w:val="en-US"/>
        </w:rPr>
        <w:t xml:space="preserve">A.A. </w:t>
      </w:r>
      <w:proofErr w:type="spellStart"/>
      <w:r w:rsidRPr="00176315">
        <w:rPr>
          <w:rStyle w:val="a8"/>
          <w:rFonts w:ascii="Times New Roman" w:hAnsi="Times New Roman" w:cs="Times New Roman"/>
          <w:b w:val="0"/>
          <w:sz w:val="24"/>
          <w:szCs w:val="24"/>
          <w:lang w:val="en-US"/>
        </w:rPr>
        <w:t>Gnidchenko</w:t>
      </w:r>
      <w:proofErr w:type="spellEnd"/>
      <w:r w:rsidRPr="00176315">
        <w:rPr>
          <w:rStyle w:val="a8"/>
          <w:rFonts w:ascii="Times New Roman" w:hAnsi="Times New Roman" w:cs="Times New Roman"/>
          <w:b w:val="0"/>
          <w:sz w:val="24"/>
          <w:szCs w:val="24"/>
          <w:lang w:val="en-US"/>
        </w:rPr>
        <w:t xml:space="preserve"> (2015) compared</w:t>
      </w:r>
      <w:r w:rsidR="00321C2C" w:rsidRPr="00176315">
        <w:rPr>
          <w:rStyle w:val="a8"/>
          <w:rFonts w:ascii="Times New Roman" w:hAnsi="Times New Roman" w:cs="Times New Roman"/>
          <w:b w:val="0"/>
          <w:sz w:val="24"/>
          <w:szCs w:val="24"/>
          <w:lang w:val="en-US"/>
        </w:rPr>
        <w:t xml:space="preserve"> two assessment methods </w:t>
      </w:r>
      <w:r w:rsidRPr="00176315">
        <w:rPr>
          <w:rStyle w:val="a8"/>
          <w:rFonts w:ascii="Times New Roman" w:hAnsi="Times New Roman" w:cs="Times New Roman"/>
          <w:b w:val="0"/>
          <w:sz w:val="24"/>
          <w:szCs w:val="24"/>
          <w:lang w:val="en-US"/>
        </w:rPr>
        <w:t>–</w:t>
      </w:r>
      <w:r w:rsidR="00321C2C" w:rsidRPr="00176315">
        <w:rPr>
          <w:rStyle w:val="a8"/>
          <w:rFonts w:ascii="Times New Roman" w:hAnsi="Times New Roman" w:cs="Times New Roman"/>
          <w:b w:val="0"/>
          <w:sz w:val="24"/>
          <w:szCs w:val="24"/>
          <w:lang w:val="en-US"/>
        </w:rPr>
        <w:t xml:space="preserve"> the </w:t>
      </w:r>
      <w:proofErr w:type="spellStart"/>
      <w:r w:rsidR="00321C2C" w:rsidRPr="00176315">
        <w:rPr>
          <w:rStyle w:val="a8"/>
          <w:rFonts w:ascii="Times New Roman" w:hAnsi="Times New Roman" w:cs="Times New Roman"/>
          <w:b w:val="0"/>
          <w:sz w:val="24"/>
          <w:szCs w:val="24"/>
          <w:lang w:val="en-US"/>
        </w:rPr>
        <w:t>Balassa</w:t>
      </w:r>
      <w:proofErr w:type="spellEnd"/>
      <w:r w:rsidR="00321C2C" w:rsidRPr="00176315">
        <w:rPr>
          <w:rStyle w:val="a8"/>
          <w:rFonts w:ascii="Times New Roman" w:hAnsi="Times New Roman" w:cs="Times New Roman"/>
          <w:b w:val="0"/>
          <w:sz w:val="24"/>
          <w:szCs w:val="24"/>
          <w:lang w:val="en-US"/>
        </w:rPr>
        <w:t xml:space="preserve"> index and the method for evaluating trade variation; as a result of comparing the advantages and disadvantages of these methods, a new index is proposed </w:t>
      </w:r>
      <w:r w:rsidRPr="00176315">
        <w:rPr>
          <w:rStyle w:val="a8"/>
          <w:rFonts w:ascii="Times New Roman" w:hAnsi="Times New Roman" w:cs="Times New Roman"/>
          <w:b w:val="0"/>
          <w:sz w:val="24"/>
          <w:szCs w:val="24"/>
          <w:lang w:val="en-US"/>
        </w:rPr>
        <w:t>–</w:t>
      </w:r>
      <w:r w:rsidR="00321C2C" w:rsidRPr="00176315">
        <w:rPr>
          <w:rStyle w:val="a8"/>
          <w:rFonts w:ascii="Times New Roman" w:hAnsi="Times New Roman" w:cs="Times New Roman"/>
          <w:b w:val="0"/>
          <w:sz w:val="24"/>
          <w:szCs w:val="24"/>
          <w:lang w:val="en-US"/>
        </w:rPr>
        <w:t xml:space="preserve"> the est</w:t>
      </w:r>
      <w:r w:rsidRPr="00176315">
        <w:rPr>
          <w:rStyle w:val="a8"/>
          <w:rFonts w:ascii="Times New Roman" w:hAnsi="Times New Roman" w:cs="Times New Roman"/>
          <w:b w:val="0"/>
          <w:sz w:val="24"/>
          <w:szCs w:val="24"/>
          <w:lang w:val="en-US"/>
        </w:rPr>
        <w:t>imated level of trade imbalance.</w:t>
      </w:r>
    </w:p>
    <w:p w14:paraId="3151A336" w14:textId="77777777" w:rsidR="00321C2C" w:rsidRPr="00176315" w:rsidRDefault="00321C2C" w:rsidP="00664ACC">
      <w:pPr>
        <w:autoSpaceDE w:val="0"/>
        <w:autoSpaceDN w:val="0"/>
        <w:adjustRightInd w:val="0"/>
        <w:spacing w:after="0" w:line="240" w:lineRule="auto"/>
        <w:ind w:firstLine="567"/>
        <w:contextualSpacing/>
        <w:rPr>
          <w:rFonts w:ascii="Times New Roman" w:hAnsi="Times New Roman" w:cs="Times New Roman"/>
          <w:b/>
          <w:sz w:val="24"/>
          <w:szCs w:val="24"/>
          <w:lang w:val="en-US"/>
        </w:rPr>
      </w:pPr>
    </w:p>
    <w:p w14:paraId="23EF26A9" w14:textId="77777777" w:rsidR="00632E30" w:rsidRPr="00176315" w:rsidRDefault="00321C2C" w:rsidP="00664ACC">
      <w:pPr>
        <w:autoSpaceDE w:val="0"/>
        <w:autoSpaceDN w:val="0"/>
        <w:adjustRightInd w:val="0"/>
        <w:spacing w:after="0" w:line="240" w:lineRule="auto"/>
        <w:ind w:firstLine="567"/>
        <w:contextualSpacing/>
        <w:rPr>
          <w:rFonts w:ascii="Times New Roman" w:hAnsi="Times New Roman" w:cs="Times New Roman"/>
          <w:b/>
          <w:sz w:val="24"/>
          <w:szCs w:val="24"/>
          <w:lang w:val="en-US"/>
        </w:rPr>
      </w:pPr>
      <w:r w:rsidRPr="00176315">
        <w:rPr>
          <w:rFonts w:ascii="Times New Roman" w:hAnsi="Times New Roman" w:cs="Times New Roman"/>
          <w:b/>
          <w:sz w:val="24"/>
          <w:szCs w:val="24"/>
          <w:lang w:val="en-US"/>
        </w:rPr>
        <w:t xml:space="preserve">Method, </w:t>
      </w:r>
      <w:r w:rsidR="00DB62AB" w:rsidRPr="00176315">
        <w:rPr>
          <w:rFonts w:ascii="Times New Roman" w:hAnsi="Times New Roman" w:cs="Times New Roman"/>
          <w:b/>
          <w:sz w:val="24"/>
          <w:szCs w:val="24"/>
          <w:lang w:val="en-US"/>
        </w:rPr>
        <w:t>Data and Analysis</w:t>
      </w:r>
    </w:p>
    <w:p w14:paraId="28AAE548" w14:textId="77777777" w:rsidR="004F4250" w:rsidRPr="00176315" w:rsidRDefault="004F4250" w:rsidP="00114377">
      <w:pPr>
        <w:pStyle w:val="a7"/>
        <w:spacing w:after="0"/>
        <w:ind w:firstLine="567"/>
        <w:contextualSpacing/>
        <w:jc w:val="both"/>
        <w:rPr>
          <w:lang w:val="en-US"/>
        </w:rPr>
      </w:pPr>
      <w:r w:rsidRPr="00176315">
        <w:rPr>
          <w:rFonts w:eastAsiaTheme="minorHAnsi"/>
          <w:lang w:val="en-US" w:eastAsia="en-US"/>
        </w:rPr>
        <w:t>E</w:t>
      </w:r>
      <w:r w:rsidRPr="00176315">
        <w:rPr>
          <w:lang w:val="en-US"/>
        </w:rPr>
        <w:t xml:space="preserve">valuation of competitive industries is carried out using the index of the </w:t>
      </w:r>
      <w:r w:rsidR="00114377" w:rsidRPr="00176315">
        <w:rPr>
          <w:lang w:val="en-US"/>
        </w:rPr>
        <w:t>revealed</w:t>
      </w:r>
      <w:r w:rsidRPr="00176315">
        <w:rPr>
          <w:lang w:val="en-US"/>
        </w:rPr>
        <w:t xml:space="preserve"> comparative advantage (RCA), which is calculated as the ratio of the share of exports of products of a certain type in the total export volume of the country to the share of the same type of products in the global export volume.</w:t>
      </w:r>
    </w:p>
    <w:p w14:paraId="3F2AC45D" w14:textId="77777777" w:rsidR="00114377" w:rsidRPr="00176315" w:rsidRDefault="00114377" w:rsidP="00114377">
      <w:pPr>
        <w:pStyle w:val="a7"/>
        <w:spacing w:after="0"/>
        <w:ind w:firstLine="567"/>
        <w:contextualSpacing/>
        <w:jc w:val="both"/>
        <w:rPr>
          <w:lang w:val="en-US"/>
        </w:rPr>
      </w:pPr>
    </w:p>
    <w:p w14:paraId="66BBE904" w14:textId="77777777" w:rsidR="004F4250" w:rsidRPr="00176315" w:rsidRDefault="004F4250" w:rsidP="00114377">
      <w:pPr>
        <w:pStyle w:val="a7"/>
        <w:spacing w:before="0" w:beforeAutospacing="0" w:after="0" w:afterAutospacing="0"/>
        <w:ind w:firstLine="567"/>
        <w:contextualSpacing/>
        <w:jc w:val="both"/>
        <w:rPr>
          <w:lang w:val="en-US"/>
        </w:rPr>
      </w:pPr>
      <w:r w:rsidRPr="00176315">
        <w:rPr>
          <w:lang w:val="en-US"/>
        </w:rPr>
        <w:t xml:space="preserve">The index was proposed by B. </w:t>
      </w:r>
      <w:proofErr w:type="spellStart"/>
      <w:r w:rsidRPr="00176315">
        <w:rPr>
          <w:lang w:val="en-US"/>
        </w:rPr>
        <w:t>Balassa</w:t>
      </w:r>
      <w:proofErr w:type="spellEnd"/>
      <w:r w:rsidRPr="00176315">
        <w:rPr>
          <w:lang w:val="en-US"/>
        </w:rPr>
        <w:t xml:space="preserve"> in 1965 in order to identify ideas about the country's trade advantages in relation to industrial products, which, in his view, most closely matches the comparative advantages available in countries: its volumes are influenced by both price and non-price factors.</w:t>
      </w:r>
    </w:p>
    <w:p w14:paraId="51E7385C" w14:textId="77777777" w:rsidR="008A5907" w:rsidRPr="00176315" w:rsidRDefault="008A5907" w:rsidP="00114377">
      <w:pPr>
        <w:pStyle w:val="a7"/>
        <w:spacing w:before="0" w:beforeAutospacing="0" w:after="0" w:afterAutospacing="0"/>
        <w:ind w:firstLine="567"/>
        <w:contextualSpacing/>
        <w:jc w:val="both"/>
        <w:rPr>
          <w:lang w:val="en-US"/>
        </w:rPr>
      </w:pPr>
    </w:p>
    <w:p w14:paraId="2E6A0F91" w14:textId="77777777" w:rsidR="00632E30" w:rsidRPr="00176315" w:rsidRDefault="00B30651" w:rsidP="002D59BC">
      <w:pPr>
        <w:pStyle w:val="a7"/>
        <w:spacing w:before="0" w:beforeAutospacing="0" w:after="0" w:afterAutospacing="0"/>
        <w:ind w:firstLine="567"/>
        <w:contextualSpacing/>
        <w:rPr>
          <w:lang w:val="en-US"/>
        </w:rPr>
      </w:pPr>
      <m:oMath>
        <m:sSub>
          <m:sSubPr>
            <m:ctrlPr>
              <w:rPr>
                <w:rFonts w:ascii="Cambria Math" w:hAnsi="Cambria Math"/>
                <w:i/>
              </w:rPr>
            </m:ctrlPr>
          </m:sSubPr>
          <m:e>
            <m:r>
              <w:rPr>
                <w:rFonts w:ascii="Cambria Math" w:hAnsi="Cambria Math"/>
                <w:lang w:val="en-US"/>
              </w:rPr>
              <m:t>RCA</m:t>
            </m:r>
          </m:e>
          <m:sub>
            <m:r>
              <w:rPr>
                <w:rFonts w:ascii="Cambria Math" w:hAnsi="Cambria Math"/>
                <w:lang w:val="en-US"/>
              </w:rPr>
              <m:t>ij</m:t>
            </m:r>
          </m:sub>
        </m:sSub>
        <m:r>
          <w:rPr>
            <w:rFonts w:ascii="Cambria Math" w:hAnsi="Cambria Math"/>
            <w:lang w:val="en-US"/>
          </w:rPr>
          <m:t>=</m:t>
        </m:r>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lang w:val="en-US"/>
                      </w:rPr>
                      <m:t>x</m:t>
                    </m:r>
                  </m:e>
                  <m:sub>
                    <m:r>
                      <w:rPr>
                        <w:rFonts w:ascii="Cambria Math" w:hAnsi="Cambria Math"/>
                        <w:lang w:val="en-US"/>
                      </w:rPr>
                      <m:t>ij</m:t>
                    </m:r>
                  </m:sub>
                </m:sSub>
              </m:num>
              <m:den>
                <m:sSub>
                  <m:sSubPr>
                    <m:ctrlPr>
                      <w:rPr>
                        <w:rFonts w:ascii="Cambria Math" w:hAnsi="Cambria Math"/>
                        <w:i/>
                      </w:rPr>
                    </m:ctrlPr>
                  </m:sSubPr>
                  <m:e>
                    <m:r>
                      <w:rPr>
                        <w:rFonts w:ascii="Cambria Math" w:hAnsi="Cambria Math"/>
                        <w:lang w:val="en-US"/>
                      </w:rPr>
                      <m:t>X</m:t>
                    </m:r>
                  </m:e>
                  <m:sub>
                    <m:r>
                      <w:rPr>
                        <w:rFonts w:ascii="Cambria Math" w:hAnsi="Cambria Math"/>
                        <w:lang w:val="en-US"/>
                      </w:rPr>
                      <m:t>it</m:t>
                    </m:r>
                  </m:sub>
                </m:sSub>
              </m:den>
            </m:f>
          </m:num>
          <m:den>
            <m:f>
              <m:fPr>
                <m:ctrlPr>
                  <w:rPr>
                    <w:rFonts w:ascii="Cambria Math" w:hAnsi="Cambria Math"/>
                    <w:i/>
                  </w:rPr>
                </m:ctrlPr>
              </m:fPr>
              <m:num>
                <m:sSub>
                  <m:sSubPr>
                    <m:ctrlPr>
                      <w:rPr>
                        <w:rFonts w:ascii="Cambria Math" w:hAnsi="Cambria Math"/>
                        <w:i/>
                      </w:rPr>
                    </m:ctrlPr>
                  </m:sSubPr>
                  <m:e>
                    <m:r>
                      <w:rPr>
                        <w:rFonts w:ascii="Cambria Math" w:hAnsi="Cambria Math"/>
                        <w:lang w:val="en-US"/>
                      </w:rPr>
                      <m:t>x</m:t>
                    </m:r>
                  </m:e>
                  <m:sub>
                    <m:r>
                      <w:rPr>
                        <w:rFonts w:ascii="Cambria Math" w:hAnsi="Cambria Math"/>
                        <w:lang w:val="en-US"/>
                      </w:rPr>
                      <m:t>wj</m:t>
                    </m:r>
                  </m:sub>
                </m:sSub>
              </m:num>
              <m:den>
                <m:sSub>
                  <m:sSubPr>
                    <m:ctrlPr>
                      <w:rPr>
                        <w:rFonts w:ascii="Cambria Math" w:hAnsi="Cambria Math"/>
                        <w:i/>
                      </w:rPr>
                    </m:ctrlPr>
                  </m:sSubPr>
                  <m:e>
                    <m:r>
                      <w:rPr>
                        <w:rFonts w:ascii="Cambria Math" w:hAnsi="Cambria Math"/>
                        <w:lang w:val="en-US"/>
                      </w:rPr>
                      <m:t>X</m:t>
                    </m:r>
                  </m:e>
                  <m:sub>
                    <m:r>
                      <w:rPr>
                        <w:rFonts w:ascii="Cambria Math" w:hAnsi="Cambria Math"/>
                        <w:lang w:val="en-US"/>
                      </w:rPr>
                      <m:t>wt</m:t>
                    </m:r>
                  </m:sub>
                </m:sSub>
              </m:den>
            </m:f>
          </m:den>
        </m:f>
      </m:oMath>
      <w:r w:rsidR="00632E30" w:rsidRPr="00176315">
        <w:rPr>
          <w:lang w:val="en-US"/>
        </w:rPr>
        <w:tab/>
        <w:t xml:space="preserve">                                       </w:t>
      </w:r>
      <w:r w:rsidR="002D4A70" w:rsidRPr="00176315">
        <w:rPr>
          <w:lang w:val="en-US"/>
        </w:rPr>
        <w:tab/>
      </w:r>
      <w:r w:rsidR="002D4A70" w:rsidRPr="00176315">
        <w:rPr>
          <w:lang w:val="en-US"/>
        </w:rPr>
        <w:tab/>
      </w:r>
      <w:r w:rsidR="002D4A70" w:rsidRPr="00176315">
        <w:rPr>
          <w:lang w:val="en-US"/>
        </w:rPr>
        <w:tab/>
      </w:r>
      <w:r w:rsidR="002D59BC" w:rsidRPr="00176315">
        <w:rPr>
          <w:lang w:val="en-US"/>
        </w:rPr>
        <w:t xml:space="preserve">                                          </w:t>
      </w:r>
      <w:r w:rsidR="002D4A70" w:rsidRPr="00176315">
        <w:rPr>
          <w:lang w:val="en-US"/>
        </w:rPr>
        <w:tab/>
      </w:r>
      <w:r w:rsidR="00632E30" w:rsidRPr="00176315">
        <w:rPr>
          <w:lang w:val="en-US"/>
        </w:rPr>
        <w:t xml:space="preserve"> (1)</w:t>
      </w:r>
    </w:p>
    <w:p w14:paraId="35E407F7" w14:textId="77777777" w:rsidR="008A5907" w:rsidRPr="00176315" w:rsidRDefault="008A5907" w:rsidP="005E4790">
      <w:pPr>
        <w:pStyle w:val="a7"/>
        <w:spacing w:before="0" w:beforeAutospacing="0" w:after="0" w:afterAutospacing="0"/>
        <w:ind w:firstLine="567"/>
        <w:contextualSpacing/>
        <w:jc w:val="both"/>
        <w:rPr>
          <w:lang w:val="en-US"/>
        </w:rPr>
      </w:pPr>
    </w:p>
    <w:p w14:paraId="081263DA" w14:textId="77777777" w:rsidR="00114377" w:rsidRPr="00176315" w:rsidRDefault="00114377" w:rsidP="005E4790">
      <w:pPr>
        <w:pStyle w:val="a7"/>
        <w:spacing w:before="0" w:beforeAutospacing="0" w:after="0" w:afterAutospacing="0"/>
        <w:ind w:firstLine="567"/>
        <w:contextualSpacing/>
        <w:jc w:val="both"/>
        <w:rPr>
          <w:lang w:val="en-US"/>
        </w:rPr>
      </w:pPr>
      <w:proofErr w:type="gramStart"/>
      <w:r w:rsidRPr="00176315">
        <w:rPr>
          <w:lang w:val="en-US"/>
        </w:rPr>
        <w:t>where</w:t>
      </w:r>
      <w:proofErr w:type="gramEnd"/>
      <w:r w:rsidR="00632E30" w:rsidRPr="00176315">
        <w:rPr>
          <w:lang w:val="en-US"/>
        </w:rPr>
        <w:t xml:space="preserve"> </w:t>
      </w:r>
      <m:oMath>
        <m:sSub>
          <m:sSubPr>
            <m:ctrlPr>
              <w:rPr>
                <w:rFonts w:ascii="Cambria Math" w:hAnsi="Cambria Math"/>
              </w:rPr>
            </m:ctrlPr>
          </m:sSubPr>
          <m:e>
            <m:r>
              <m:rPr>
                <m:sty m:val="p"/>
              </m:rPr>
              <w:rPr>
                <w:rFonts w:ascii="Cambria Math" w:hAnsi="Cambria Math"/>
                <w:lang w:val="en-US"/>
              </w:rPr>
              <m:t>RCA</m:t>
            </m:r>
          </m:e>
          <m:sub>
            <m:r>
              <m:rPr>
                <m:sty m:val="p"/>
              </m:rPr>
              <w:rPr>
                <w:rFonts w:ascii="Cambria Math" w:hAnsi="Cambria Math"/>
                <w:lang w:val="en-US"/>
              </w:rPr>
              <m:t>ij</m:t>
            </m:r>
          </m:sub>
        </m:sSub>
      </m:oMath>
      <w:r w:rsidRPr="00176315">
        <w:rPr>
          <w:lang w:val="en-US"/>
        </w:rPr>
        <w:t xml:space="preserve"> –</w:t>
      </w:r>
      <w:r w:rsidR="00632E30" w:rsidRPr="00176315">
        <w:rPr>
          <w:lang w:val="en-US"/>
        </w:rPr>
        <w:t xml:space="preserve"> </w:t>
      </w:r>
      <w:r w:rsidRPr="00176315">
        <w:rPr>
          <w:lang w:val="en-US"/>
        </w:rPr>
        <w:t>the index of the revealed comparative advantage, calculated on the export of products;</w:t>
      </w:r>
    </w:p>
    <w:p w14:paraId="448D62DC" w14:textId="3232C8B1" w:rsidR="00114377" w:rsidRPr="00176315" w:rsidRDefault="00B30651" w:rsidP="00114377">
      <w:pPr>
        <w:pStyle w:val="a7"/>
        <w:spacing w:before="0" w:beforeAutospacing="0" w:after="0" w:afterAutospacing="0"/>
        <w:ind w:firstLine="567"/>
        <w:contextualSpacing/>
        <w:jc w:val="both"/>
        <w:rPr>
          <w:lang w:val="en-US"/>
        </w:rPr>
      </w:pPr>
      <m:oMath>
        <m:sSub>
          <m:sSubPr>
            <m:ctrlPr>
              <w:rPr>
                <w:rFonts w:ascii="Cambria Math" w:hAnsi="Cambria Math"/>
                <w:i/>
              </w:rPr>
            </m:ctrlPr>
          </m:sSubPr>
          <m:e>
            <m:r>
              <w:rPr>
                <w:rFonts w:ascii="Cambria Math" w:hAnsi="Cambria Math"/>
                <w:lang w:val="en-US"/>
              </w:rPr>
              <m:t>x</m:t>
            </m:r>
          </m:e>
          <m:sub>
            <m:r>
              <w:rPr>
                <w:rFonts w:ascii="Cambria Math" w:hAnsi="Cambria Math"/>
                <w:lang w:val="en-US"/>
              </w:rPr>
              <m:t>ij</m:t>
            </m:r>
          </m:sub>
        </m:sSub>
        <m:r>
          <w:rPr>
            <w:rFonts w:ascii="Cambria Math" w:hAnsi="Cambria Math"/>
            <w:lang w:val="en-US"/>
          </w:rPr>
          <m:t xml:space="preserve"> </m:t>
        </m:r>
        <m:r>
          <m:rPr>
            <m:sty m:val="p"/>
          </m:rPr>
          <w:rPr>
            <w:rFonts w:ascii="Cambria Math" w:hAnsi="Cambria Math"/>
            <w:lang w:val="en-US"/>
          </w:rPr>
          <m:t xml:space="preserve">and </m:t>
        </m:r>
        <m:sSub>
          <m:sSubPr>
            <m:ctrlPr>
              <w:rPr>
                <w:rFonts w:ascii="Cambria Math" w:hAnsi="Cambria Math"/>
              </w:rPr>
            </m:ctrlPr>
          </m:sSubPr>
          <m:e>
            <m:r>
              <m:rPr>
                <m:sty m:val="p"/>
              </m:rPr>
              <w:rPr>
                <w:rFonts w:ascii="Cambria Math" w:hAnsi="Cambria Math"/>
                <w:lang w:val="en-US"/>
              </w:rPr>
              <m:t>x</m:t>
            </m:r>
          </m:e>
          <m:sub>
            <m:r>
              <m:rPr>
                <m:sty m:val="p"/>
              </m:rPr>
              <w:rPr>
                <w:rFonts w:ascii="Cambria Math" w:hAnsi="Cambria Math"/>
                <w:lang w:val="en-US"/>
              </w:rPr>
              <m:t>wj</m:t>
            </m:r>
          </m:sub>
        </m:sSub>
      </m:oMath>
      <w:r w:rsidR="00632E30" w:rsidRPr="00176315">
        <w:rPr>
          <w:lang w:val="en-US"/>
        </w:rPr>
        <w:t xml:space="preserve"> – </w:t>
      </w:r>
      <w:proofErr w:type="gramStart"/>
      <w:r w:rsidR="00114377" w:rsidRPr="00176315">
        <w:rPr>
          <w:lang w:val="en-US"/>
        </w:rPr>
        <w:t>revenue</w:t>
      </w:r>
      <w:proofErr w:type="gramEnd"/>
      <w:r w:rsidR="00780375" w:rsidRPr="00176315">
        <w:rPr>
          <w:lang w:val="en-US"/>
        </w:rPr>
        <w:t xml:space="preserve"> from exports of goods </w:t>
      </w:r>
      <m:oMath>
        <m:r>
          <w:rPr>
            <w:rFonts w:ascii="Cambria Math" w:hAnsi="Cambria Math"/>
            <w:lang w:val="en-US"/>
          </w:rPr>
          <m:t>j</m:t>
        </m:r>
      </m:oMath>
      <w:r w:rsidR="00114377" w:rsidRPr="00176315">
        <w:rPr>
          <w:lang w:val="en-US"/>
        </w:rPr>
        <w:t xml:space="preserve"> for country</w:t>
      </w:r>
      <w:r w:rsidR="00114377" w:rsidRPr="00176315">
        <w:rPr>
          <w:i/>
          <w:lang w:val="en-US"/>
        </w:rPr>
        <w:t xml:space="preserve"> </w:t>
      </w:r>
      <m:oMath>
        <m:r>
          <w:rPr>
            <w:rFonts w:ascii="Cambria Math" w:hAnsi="Cambria Math"/>
            <w:lang w:val="en-US"/>
          </w:rPr>
          <m:t>i</m:t>
        </m:r>
      </m:oMath>
      <w:r w:rsidR="00114377" w:rsidRPr="00176315">
        <w:rPr>
          <w:lang w:val="en-US"/>
        </w:rPr>
        <w:t xml:space="preserve"> </w:t>
      </w:r>
      <w:r w:rsidR="00780375" w:rsidRPr="00176315">
        <w:rPr>
          <w:lang w:val="en-US"/>
        </w:rPr>
        <w:t xml:space="preserve">and world exports of goods </w:t>
      </w:r>
      <m:oMath>
        <m:r>
          <w:rPr>
            <w:rFonts w:ascii="Cambria Math" w:hAnsi="Cambria Math"/>
            <w:lang w:val="en-US"/>
          </w:rPr>
          <m:t>j</m:t>
        </m:r>
      </m:oMath>
      <w:r w:rsidR="00114377" w:rsidRPr="00176315">
        <w:rPr>
          <w:lang w:val="en-US"/>
        </w:rPr>
        <w:t>;</w:t>
      </w:r>
    </w:p>
    <w:p w14:paraId="7F166264" w14:textId="77777777" w:rsidR="00632E30" w:rsidRPr="00176315" w:rsidRDefault="00B30651" w:rsidP="00114377">
      <w:pPr>
        <w:pStyle w:val="a7"/>
        <w:spacing w:before="0" w:beforeAutospacing="0" w:after="0" w:afterAutospacing="0"/>
        <w:ind w:firstLine="567"/>
        <w:contextualSpacing/>
        <w:jc w:val="both"/>
        <w:rPr>
          <w:lang w:val="en-US"/>
        </w:rPr>
      </w:pPr>
      <m:oMath>
        <m:sSub>
          <m:sSubPr>
            <m:ctrlPr>
              <w:rPr>
                <w:rFonts w:ascii="Cambria Math" w:hAnsi="Cambria Math"/>
              </w:rPr>
            </m:ctrlPr>
          </m:sSubPr>
          <m:e>
            <m:r>
              <m:rPr>
                <m:sty m:val="p"/>
              </m:rPr>
              <w:rPr>
                <w:rFonts w:ascii="Cambria Math" w:hAnsi="Cambria Math"/>
                <w:lang w:val="en-US"/>
              </w:rPr>
              <m:t>X</m:t>
            </m:r>
          </m:e>
          <m:sub>
            <m:r>
              <m:rPr>
                <m:sty m:val="p"/>
              </m:rPr>
              <w:rPr>
                <w:rFonts w:ascii="Cambria Math" w:hAnsi="Cambria Math"/>
                <w:lang w:val="en-US"/>
              </w:rPr>
              <m:t>it</m:t>
            </m:r>
          </m:sub>
        </m:sSub>
        <m:r>
          <m:rPr>
            <m:sty m:val="p"/>
          </m:rPr>
          <w:rPr>
            <w:rFonts w:ascii="Cambria Math" w:hAnsi="Cambria Math"/>
            <w:lang w:val="en-US"/>
          </w:rPr>
          <m:t xml:space="preserve"> and </m:t>
        </m:r>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wt</m:t>
            </m:r>
          </m:sub>
        </m:sSub>
      </m:oMath>
      <w:r w:rsidR="00632E30" w:rsidRPr="00176315">
        <w:rPr>
          <w:lang w:val="en-US"/>
        </w:rPr>
        <w:t xml:space="preserve"> – </w:t>
      </w:r>
      <w:proofErr w:type="gramStart"/>
      <w:r w:rsidR="00114377" w:rsidRPr="00176315">
        <w:rPr>
          <w:lang w:val="en-US"/>
        </w:rPr>
        <w:t>total</w:t>
      </w:r>
      <w:proofErr w:type="gramEnd"/>
      <w:r w:rsidR="00114377" w:rsidRPr="00176315">
        <w:rPr>
          <w:lang w:val="en-US"/>
        </w:rPr>
        <w:t xml:space="preserve"> exports of the selected country and world.</w:t>
      </w:r>
    </w:p>
    <w:p w14:paraId="18C999AE" w14:textId="77777777" w:rsidR="00114377" w:rsidRPr="00176315" w:rsidRDefault="00114377" w:rsidP="00114377">
      <w:pPr>
        <w:pStyle w:val="a7"/>
        <w:spacing w:before="0" w:beforeAutospacing="0" w:after="0" w:afterAutospacing="0"/>
        <w:ind w:firstLine="567"/>
        <w:contextualSpacing/>
        <w:jc w:val="both"/>
        <w:rPr>
          <w:lang w:val="en-US"/>
        </w:rPr>
      </w:pPr>
    </w:p>
    <w:p w14:paraId="09196BBA" w14:textId="77777777" w:rsidR="00114377" w:rsidRPr="00176315" w:rsidRDefault="00114377" w:rsidP="00114377">
      <w:pPr>
        <w:pStyle w:val="a7"/>
        <w:spacing w:after="0"/>
        <w:ind w:firstLine="567"/>
        <w:contextualSpacing/>
        <w:jc w:val="both"/>
        <w:rPr>
          <w:lang w:val="en-US"/>
        </w:rPr>
      </w:pPr>
      <w:r w:rsidRPr="00176315">
        <w:rPr>
          <w:lang w:val="en-US"/>
        </w:rPr>
        <w:lastRenderedPageBreak/>
        <w:t>Index values can vary from 0 to 1, in the absence of specialization in a certain sector of the economy, and from 1 to infinity with a competitive advantage in it (</w:t>
      </w:r>
      <w:proofErr w:type="spellStart"/>
      <w:r w:rsidRPr="00176315">
        <w:rPr>
          <w:lang w:val="en-US"/>
        </w:rPr>
        <w:t>Balassa</w:t>
      </w:r>
      <w:proofErr w:type="spellEnd"/>
      <w:r w:rsidRPr="00176315">
        <w:rPr>
          <w:lang w:val="en-US"/>
        </w:rPr>
        <w:t>, 1965).</w:t>
      </w:r>
    </w:p>
    <w:p w14:paraId="2F4664EF" w14:textId="77777777" w:rsidR="00114377" w:rsidRPr="00176315" w:rsidRDefault="00114377" w:rsidP="00114377">
      <w:pPr>
        <w:pStyle w:val="a7"/>
        <w:spacing w:after="0"/>
        <w:ind w:firstLine="567"/>
        <w:contextualSpacing/>
        <w:rPr>
          <w:lang w:val="en-US"/>
        </w:rPr>
      </w:pPr>
    </w:p>
    <w:p w14:paraId="3A9AFEAA" w14:textId="77777777" w:rsidR="00114377" w:rsidRPr="00176315" w:rsidRDefault="00114377" w:rsidP="00114377">
      <w:pPr>
        <w:pStyle w:val="a7"/>
        <w:spacing w:after="0"/>
        <w:ind w:firstLine="567"/>
        <w:contextualSpacing/>
        <w:rPr>
          <w:lang w:val="en-US"/>
        </w:rPr>
      </w:pPr>
      <w:r w:rsidRPr="00176315">
        <w:rPr>
          <w:lang w:val="en-US"/>
        </w:rPr>
        <w:t>For the analysis, the World Bank data on exports of the EAEU member countries for 2017 were used (</w:t>
      </w:r>
      <w:r w:rsidRPr="00176315">
        <w:rPr>
          <w:rStyle w:val="a8"/>
          <w:b w:val="0"/>
          <w:lang w:val="en-US"/>
        </w:rPr>
        <w:t>Data of World Integrated Trade Solution of World Bank</w:t>
      </w:r>
      <w:r w:rsidRPr="00176315">
        <w:rPr>
          <w:lang w:val="en-US"/>
        </w:rPr>
        <w:t>).</w:t>
      </w:r>
    </w:p>
    <w:p w14:paraId="6728916D" w14:textId="77777777" w:rsidR="00114377" w:rsidRPr="00176315" w:rsidRDefault="00114377" w:rsidP="00114377">
      <w:pPr>
        <w:pStyle w:val="a7"/>
        <w:spacing w:after="0"/>
        <w:ind w:firstLine="567"/>
        <w:contextualSpacing/>
        <w:rPr>
          <w:lang w:val="en-US"/>
        </w:rPr>
      </w:pPr>
    </w:p>
    <w:p w14:paraId="1A60025A" w14:textId="77777777" w:rsidR="00114377" w:rsidRPr="00176315" w:rsidRDefault="00114377" w:rsidP="00114377">
      <w:pPr>
        <w:pStyle w:val="a7"/>
        <w:spacing w:before="0" w:beforeAutospacing="0" w:after="0" w:afterAutospacing="0"/>
        <w:ind w:firstLine="567"/>
        <w:contextualSpacing/>
        <w:rPr>
          <w:lang w:val="en-US"/>
        </w:rPr>
      </w:pPr>
      <w:r w:rsidRPr="00176315">
        <w:rPr>
          <w:lang w:val="en-US"/>
        </w:rPr>
        <w:t>As the main industries were selected 6 industries: chemicals, machinery and transport equipment, metals, food products, fuels and minerals.</w:t>
      </w:r>
    </w:p>
    <w:p w14:paraId="704704EB" w14:textId="77777777" w:rsidR="00114377" w:rsidRDefault="00114377" w:rsidP="00114377">
      <w:pPr>
        <w:pStyle w:val="a7"/>
        <w:spacing w:before="0" w:beforeAutospacing="0" w:after="0" w:afterAutospacing="0"/>
        <w:ind w:firstLine="567"/>
        <w:contextualSpacing/>
        <w:rPr>
          <w:sz w:val="20"/>
          <w:szCs w:val="20"/>
          <w:lang w:val="en-US"/>
        </w:rPr>
      </w:pPr>
    </w:p>
    <w:p w14:paraId="6F949D7C" w14:textId="77777777" w:rsidR="00957C8E" w:rsidRPr="009450BD" w:rsidRDefault="00957C8E" w:rsidP="00114377">
      <w:pPr>
        <w:pStyle w:val="a7"/>
        <w:spacing w:before="0" w:beforeAutospacing="0" w:after="0" w:afterAutospacing="0"/>
        <w:contextualSpacing/>
        <w:rPr>
          <w:sz w:val="20"/>
          <w:szCs w:val="20"/>
          <w:lang w:val="en-US"/>
        </w:rPr>
      </w:pPr>
      <w:r w:rsidRPr="009450BD">
        <w:rPr>
          <w:noProof/>
          <w:sz w:val="20"/>
          <w:szCs w:val="20"/>
        </w:rPr>
        <w:drawing>
          <wp:inline distT="0" distB="0" distL="0" distR="0" wp14:anchorId="15C260CD" wp14:editId="0764AC0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6A9077" w14:textId="77777777" w:rsidR="00F40868" w:rsidRPr="009450BD" w:rsidRDefault="00664ACC" w:rsidP="00664ACC">
      <w:pPr>
        <w:pStyle w:val="a7"/>
        <w:spacing w:before="0" w:beforeAutospacing="0" w:after="0" w:afterAutospacing="0"/>
        <w:ind w:firstLine="567"/>
        <w:contextualSpacing/>
        <w:rPr>
          <w:sz w:val="20"/>
          <w:szCs w:val="20"/>
          <w:lang w:val="en-US"/>
        </w:rPr>
      </w:pPr>
      <w:r w:rsidRPr="009450BD">
        <w:rPr>
          <w:sz w:val="20"/>
          <w:szCs w:val="20"/>
          <w:lang w:val="en-US"/>
        </w:rPr>
        <w:t xml:space="preserve"> </w:t>
      </w:r>
    </w:p>
    <w:p w14:paraId="1A34E6CC" w14:textId="2531051B" w:rsidR="00114377" w:rsidRPr="00176315" w:rsidRDefault="008A7020" w:rsidP="006760D0">
      <w:pPr>
        <w:spacing w:after="0" w:line="240" w:lineRule="auto"/>
        <w:ind w:firstLine="567"/>
        <w:contextualSpacing/>
        <w:jc w:val="center"/>
        <w:rPr>
          <w:rFonts w:ascii="Times New Roman" w:hAnsi="Times New Roman" w:cs="Times New Roman"/>
          <w:sz w:val="24"/>
          <w:szCs w:val="24"/>
          <w:lang w:val="en-US"/>
        </w:rPr>
      </w:pPr>
      <w:r w:rsidRPr="00176315">
        <w:rPr>
          <w:rFonts w:ascii="Times New Roman" w:hAnsi="Times New Roman" w:cs="Times New Roman"/>
          <w:sz w:val="24"/>
          <w:szCs w:val="24"/>
          <w:lang w:val="en-US"/>
        </w:rPr>
        <w:t xml:space="preserve">Figure 1: </w:t>
      </w:r>
      <w:r w:rsidR="00114377" w:rsidRPr="00176315">
        <w:rPr>
          <w:rFonts w:ascii="Times New Roman" w:hAnsi="Times New Roman" w:cs="Times New Roman"/>
          <w:sz w:val="24"/>
          <w:szCs w:val="24"/>
          <w:lang w:val="en-US"/>
        </w:rPr>
        <w:t xml:space="preserve"> Distribution of the share of industries in total exports of Kazakhstan for 2017, %</w:t>
      </w:r>
    </w:p>
    <w:p w14:paraId="7A86D11C" w14:textId="77777777" w:rsidR="002D4A70" w:rsidRPr="00176315" w:rsidRDefault="002D4A70" w:rsidP="006760D0">
      <w:pPr>
        <w:spacing w:after="0" w:line="240" w:lineRule="auto"/>
        <w:ind w:firstLine="567"/>
        <w:contextualSpacing/>
        <w:jc w:val="center"/>
        <w:rPr>
          <w:rFonts w:ascii="Times New Roman" w:hAnsi="Times New Roman" w:cs="Times New Roman"/>
          <w:sz w:val="24"/>
          <w:szCs w:val="24"/>
          <w:lang w:val="en-US"/>
        </w:rPr>
      </w:pPr>
      <w:r w:rsidRPr="00176315">
        <w:rPr>
          <w:rFonts w:ascii="Times New Roman" w:hAnsi="Times New Roman" w:cs="Times New Roman"/>
          <w:sz w:val="24"/>
          <w:szCs w:val="24"/>
          <w:lang w:val="en-US"/>
        </w:rPr>
        <w:t>Note: compiled by the authors based on data World Integrated Trade Solution of World Bank</w:t>
      </w:r>
    </w:p>
    <w:p w14:paraId="2111176F" w14:textId="77777777" w:rsidR="006760D0" w:rsidRPr="00176315" w:rsidRDefault="006760D0" w:rsidP="006760D0">
      <w:pPr>
        <w:spacing w:after="0" w:line="240" w:lineRule="auto"/>
        <w:ind w:firstLine="567"/>
        <w:contextualSpacing/>
        <w:jc w:val="center"/>
        <w:rPr>
          <w:rFonts w:ascii="Times New Roman" w:hAnsi="Times New Roman" w:cs="Times New Roman"/>
          <w:sz w:val="24"/>
          <w:szCs w:val="24"/>
          <w:lang w:val="en-US"/>
        </w:rPr>
      </w:pPr>
    </w:p>
    <w:p w14:paraId="27BCC555" w14:textId="77777777" w:rsidR="002D4A70" w:rsidRPr="00176315" w:rsidRDefault="00114377" w:rsidP="00734CE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These industries are not chosen randomly. The products of these 6 industries acc</w:t>
      </w:r>
      <w:r w:rsidR="00350EC3" w:rsidRPr="00176315">
        <w:rPr>
          <w:rFonts w:ascii="Times New Roman" w:hAnsi="Times New Roman" w:cs="Times New Roman"/>
          <w:sz w:val="24"/>
          <w:szCs w:val="24"/>
          <w:lang w:val="en-US"/>
        </w:rPr>
        <w:t>ount for 93</w:t>
      </w:r>
      <w:proofErr w:type="gramStart"/>
      <w:r w:rsidR="00350EC3" w:rsidRPr="00176315">
        <w:rPr>
          <w:rFonts w:ascii="Times New Roman" w:hAnsi="Times New Roman" w:cs="Times New Roman"/>
          <w:sz w:val="24"/>
          <w:szCs w:val="24"/>
          <w:lang w:val="en-US"/>
        </w:rPr>
        <w:t>,</w:t>
      </w:r>
      <w:r w:rsidRPr="00176315">
        <w:rPr>
          <w:rFonts w:ascii="Times New Roman" w:hAnsi="Times New Roman" w:cs="Times New Roman"/>
          <w:sz w:val="24"/>
          <w:szCs w:val="24"/>
          <w:lang w:val="en-US"/>
        </w:rPr>
        <w:t>7</w:t>
      </w:r>
      <w:proofErr w:type="gramEnd"/>
      <w:r w:rsidRPr="00176315">
        <w:rPr>
          <w:rFonts w:ascii="Times New Roman" w:hAnsi="Times New Roman" w:cs="Times New Roman"/>
          <w:sz w:val="24"/>
          <w:szCs w:val="24"/>
          <w:lang w:val="en-US"/>
        </w:rPr>
        <w:t xml:space="preserve">% of the total exports of Kazakhstan in 2017 (Figure 1). The similar indicator for other EAEU countries is lower: in Russia </w:t>
      </w:r>
      <w:r w:rsidR="00350EC3" w:rsidRPr="00176315">
        <w:rPr>
          <w:rFonts w:ascii="Times New Roman" w:hAnsi="Times New Roman" w:cs="Times New Roman"/>
          <w:sz w:val="24"/>
          <w:szCs w:val="24"/>
          <w:lang w:val="en-US"/>
        </w:rPr>
        <w:t>–</w:t>
      </w:r>
      <w:r w:rsidRPr="00176315">
        <w:rPr>
          <w:rFonts w:ascii="Times New Roman" w:hAnsi="Times New Roman" w:cs="Times New Roman"/>
          <w:sz w:val="24"/>
          <w:szCs w:val="24"/>
          <w:lang w:val="en-US"/>
        </w:rPr>
        <w:t xml:space="preserve"> 8</w:t>
      </w:r>
      <w:r w:rsidR="00350EC3" w:rsidRPr="00176315">
        <w:rPr>
          <w:rFonts w:ascii="Times New Roman" w:hAnsi="Times New Roman" w:cs="Times New Roman"/>
          <w:sz w:val="24"/>
          <w:szCs w:val="24"/>
          <w:lang w:val="en-US"/>
        </w:rPr>
        <w:t>2</w:t>
      </w:r>
      <w:proofErr w:type="gramStart"/>
      <w:r w:rsidR="00350EC3" w:rsidRPr="00176315">
        <w:rPr>
          <w:rFonts w:ascii="Times New Roman" w:hAnsi="Times New Roman" w:cs="Times New Roman"/>
          <w:sz w:val="24"/>
          <w:szCs w:val="24"/>
          <w:lang w:val="en-US"/>
        </w:rPr>
        <w:t>,</w:t>
      </w:r>
      <w:r w:rsidRPr="00176315">
        <w:rPr>
          <w:rFonts w:ascii="Times New Roman" w:hAnsi="Times New Roman" w:cs="Times New Roman"/>
          <w:sz w:val="24"/>
          <w:szCs w:val="24"/>
          <w:lang w:val="en-US"/>
        </w:rPr>
        <w:t>6</w:t>
      </w:r>
      <w:proofErr w:type="gramEnd"/>
      <w:r w:rsidRPr="00176315">
        <w:rPr>
          <w:rFonts w:ascii="Times New Roman" w:hAnsi="Times New Roman" w:cs="Times New Roman"/>
          <w:sz w:val="24"/>
          <w:szCs w:val="24"/>
          <w:lang w:val="en-US"/>
        </w:rPr>
        <w:t xml:space="preserve">%, in Armenia </w:t>
      </w:r>
      <w:r w:rsidR="00350EC3" w:rsidRPr="00176315">
        <w:rPr>
          <w:rFonts w:ascii="Times New Roman" w:hAnsi="Times New Roman" w:cs="Times New Roman"/>
          <w:sz w:val="24"/>
          <w:szCs w:val="24"/>
          <w:lang w:val="en-US"/>
        </w:rPr>
        <w:t>–</w:t>
      </w:r>
      <w:r w:rsidRPr="00176315">
        <w:rPr>
          <w:rFonts w:ascii="Times New Roman" w:hAnsi="Times New Roman" w:cs="Times New Roman"/>
          <w:sz w:val="24"/>
          <w:szCs w:val="24"/>
          <w:lang w:val="en-US"/>
        </w:rPr>
        <w:t xml:space="preserve"> 7</w:t>
      </w:r>
      <w:r w:rsidR="00350EC3" w:rsidRPr="00176315">
        <w:rPr>
          <w:rFonts w:ascii="Times New Roman" w:hAnsi="Times New Roman" w:cs="Times New Roman"/>
          <w:sz w:val="24"/>
          <w:szCs w:val="24"/>
          <w:lang w:val="en-US"/>
        </w:rPr>
        <w:t>2,4%, in Belarus – 67,4%, in Kyrgyzstan – 33,</w:t>
      </w:r>
      <w:r w:rsidRPr="00176315">
        <w:rPr>
          <w:rFonts w:ascii="Times New Roman" w:hAnsi="Times New Roman" w:cs="Times New Roman"/>
          <w:sz w:val="24"/>
          <w:szCs w:val="24"/>
          <w:lang w:val="en-US"/>
        </w:rPr>
        <w:t>6%. But the indicators of other countries participating in the EAEU are analyzed for comparison, and the main purpose of the article is to determine the competitive industries of Kazakhstan. For this reason, an assessment has been conducted for these industries.</w:t>
      </w:r>
    </w:p>
    <w:p w14:paraId="0FEB16B6" w14:textId="77777777" w:rsidR="00114377" w:rsidRPr="00176315" w:rsidRDefault="00114377" w:rsidP="00734CE3">
      <w:pPr>
        <w:spacing w:after="0" w:line="240" w:lineRule="auto"/>
        <w:ind w:firstLine="567"/>
        <w:contextualSpacing/>
        <w:jc w:val="both"/>
        <w:rPr>
          <w:rFonts w:ascii="Times New Roman" w:hAnsi="Times New Roman" w:cs="Times New Roman"/>
          <w:sz w:val="24"/>
          <w:szCs w:val="24"/>
          <w:lang w:val="en-US"/>
        </w:rPr>
      </w:pPr>
    </w:p>
    <w:p w14:paraId="48D30CDF" w14:textId="78C3245E" w:rsidR="002D4A70" w:rsidRPr="00176315" w:rsidRDefault="008A7020" w:rsidP="002D4A70">
      <w:pPr>
        <w:spacing w:after="0" w:line="240" w:lineRule="auto"/>
        <w:ind w:firstLine="567"/>
        <w:contextualSpacing/>
        <w:jc w:val="both"/>
        <w:rPr>
          <w:rStyle w:val="a8"/>
          <w:rFonts w:ascii="Times New Roman" w:hAnsi="Times New Roman" w:cs="Times New Roman"/>
          <w:b w:val="0"/>
          <w:sz w:val="24"/>
          <w:szCs w:val="24"/>
          <w:lang w:val="en-US"/>
        </w:rPr>
      </w:pPr>
      <w:r w:rsidRPr="00176315">
        <w:rPr>
          <w:rFonts w:ascii="Times New Roman" w:hAnsi="Times New Roman" w:cs="Times New Roman"/>
          <w:sz w:val="24"/>
          <w:szCs w:val="24"/>
          <w:lang w:val="en-US"/>
        </w:rPr>
        <w:t xml:space="preserve">Table 1: </w:t>
      </w:r>
      <w:r w:rsidR="00350EC3" w:rsidRPr="00176315">
        <w:rPr>
          <w:rFonts w:ascii="Times New Roman" w:hAnsi="Times New Roman" w:cs="Times New Roman"/>
          <w:sz w:val="24"/>
          <w:szCs w:val="24"/>
          <w:lang w:val="en-US"/>
        </w:rPr>
        <w:t xml:space="preserve">Index of revealed comparative advantage of the EAEU countries for 2017 </w:t>
      </w:r>
    </w:p>
    <w:tbl>
      <w:tblPr>
        <w:tblStyle w:val="ab"/>
        <w:tblW w:w="8642" w:type="dxa"/>
        <w:tblLook w:val="04A0" w:firstRow="1" w:lastRow="0" w:firstColumn="1" w:lastColumn="0" w:noHBand="0" w:noVBand="1"/>
      </w:tblPr>
      <w:tblGrid>
        <w:gridCol w:w="1555"/>
        <w:gridCol w:w="1353"/>
        <w:gridCol w:w="1340"/>
        <w:gridCol w:w="1134"/>
        <w:gridCol w:w="1134"/>
        <w:gridCol w:w="992"/>
        <w:gridCol w:w="1134"/>
      </w:tblGrid>
      <w:tr w:rsidR="00B85035" w:rsidRPr="009450BD" w14:paraId="5A138AB8" w14:textId="77777777" w:rsidTr="00B85035">
        <w:tc>
          <w:tcPr>
            <w:tcW w:w="1555" w:type="dxa"/>
            <w:tcBorders>
              <w:tl2br w:val="single" w:sz="4" w:space="0" w:color="auto"/>
            </w:tcBorders>
          </w:tcPr>
          <w:p w14:paraId="63A1AF29" w14:textId="77777777" w:rsidR="00B85035" w:rsidRPr="00176315" w:rsidRDefault="00B85035" w:rsidP="002D4A70">
            <w:pPr>
              <w:contextualSpacing/>
              <w:jc w:val="both"/>
              <w:rPr>
                <w:rFonts w:ascii="Times New Roman" w:hAnsi="Times New Roman" w:cs="Times New Roman"/>
                <w:b/>
                <w:color w:val="000000" w:themeColor="text1"/>
                <w:sz w:val="20"/>
                <w:szCs w:val="20"/>
                <w:lang w:val="en-US"/>
              </w:rPr>
            </w:pPr>
            <w:r w:rsidRPr="00176315">
              <w:rPr>
                <w:rFonts w:ascii="Times New Roman" w:hAnsi="Times New Roman" w:cs="Times New Roman"/>
                <w:b/>
                <w:color w:val="000000" w:themeColor="text1"/>
                <w:sz w:val="20"/>
                <w:szCs w:val="20"/>
                <w:lang w:val="en-US"/>
              </w:rPr>
              <w:t xml:space="preserve">    </w:t>
            </w:r>
            <w:r w:rsidR="00350EC3" w:rsidRPr="00176315">
              <w:rPr>
                <w:rFonts w:ascii="Times New Roman" w:hAnsi="Times New Roman" w:cs="Times New Roman"/>
                <w:b/>
                <w:color w:val="000000" w:themeColor="text1"/>
                <w:sz w:val="20"/>
                <w:szCs w:val="20"/>
                <w:lang w:val="en-US"/>
              </w:rPr>
              <w:t xml:space="preserve">     </w:t>
            </w:r>
            <w:r w:rsidRPr="00176315">
              <w:rPr>
                <w:rFonts w:ascii="Times New Roman" w:hAnsi="Times New Roman" w:cs="Times New Roman"/>
                <w:b/>
                <w:color w:val="000000" w:themeColor="text1"/>
                <w:sz w:val="20"/>
                <w:szCs w:val="20"/>
                <w:lang w:val="en-US"/>
              </w:rPr>
              <w:t>Industry</w:t>
            </w:r>
          </w:p>
          <w:p w14:paraId="4CC9A42A" w14:textId="77777777" w:rsidR="00B85035" w:rsidRPr="00176315" w:rsidRDefault="00B85035" w:rsidP="002D4A70">
            <w:pPr>
              <w:contextualSpacing/>
              <w:jc w:val="both"/>
              <w:rPr>
                <w:rFonts w:ascii="Times New Roman" w:hAnsi="Times New Roman" w:cs="Times New Roman"/>
                <w:b/>
                <w:color w:val="000000" w:themeColor="text1"/>
                <w:sz w:val="20"/>
                <w:szCs w:val="20"/>
              </w:rPr>
            </w:pPr>
          </w:p>
          <w:p w14:paraId="6EABCB27" w14:textId="77777777" w:rsidR="00B85035" w:rsidRPr="00176315" w:rsidRDefault="00B85035" w:rsidP="002D4A70">
            <w:pPr>
              <w:contextualSpacing/>
              <w:jc w:val="both"/>
              <w:rPr>
                <w:rFonts w:ascii="Times New Roman" w:hAnsi="Times New Roman" w:cs="Times New Roman"/>
                <w:b/>
                <w:color w:val="000000" w:themeColor="text1"/>
                <w:sz w:val="20"/>
                <w:szCs w:val="20"/>
                <w:lang w:val="en-US"/>
              </w:rPr>
            </w:pPr>
            <w:r w:rsidRPr="00176315">
              <w:rPr>
                <w:rFonts w:ascii="Times New Roman" w:hAnsi="Times New Roman" w:cs="Times New Roman"/>
                <w:b/>
                <w:color w:val="000000" w:themeColor="text1"/>
                <w:sz w:val="20"/>
                <w:szCs w:val="20"/>
                <w:lang w:val="en-US"/>
              </w:rPr>
              <w:t>Country</w:t>
            </w:r>
          </w:p>
        </w:tc>
        <w:tc>
          <w:tcPr>
            <w:tcW w:w="1353" w:type="dxa"/>
          </w:tcPr>
          <w:p w14:paraId="4F9D8696" w14:textId="77777777" w:rsidR="00B85035" w:rsidRPr="00176315" w:rsidRDefault="00B85035" w:rsidP="00B85035">
            <w:pPr>
              <w:contextualSpacing/>
              <w:jc w:val="center"/>
              <w:rPr>
                <w:rFonts w:ascii="Times New Roman" w:hAnsi="Times New Roman" w:cs="Times New Roman"/>
                <w:b/>
                <w:color w:val="000000" w:themeColor="text1"/>
                <w:sz w:val="20"/>
                <w:szCs w:val="20"/>
                <w:lang w:val="en-US"/>
              </w:rPr>
            </w:pPr>
            <w:r w:rsidRPr="00176315">
              <w:rPr>
                <w:rFonts w:ascii="Times New Roman" w:hAnsi="Times New Roman" w:cs="Times New Roman"/>
                <w:b/>
                <w:color w:val="000000" w:themeColor="text1"/>
                <w:sz w:val="20"/>
                <w:szCs w:val="20"/>
                <w:lang w:val="en-US"/>
              </w:rPr>
              <w:t>Chemicals</w:t>
            </w:r>
          </w:p>
        </w:tc>
        <w:tc>
          <w:tcPr>
            <w:tcW w:w="1340" w:type="dxa"/>
          </w:tcPr>
          <w:p w14:paraId="6941063A" w14:textId="77777777" w:rsidR="00B85035" w:rsidRPr="00176315" w:rsidRDefault="00B85035" w:rsidP="00B85035">
            <w:pPr>
              <w:contextualSpacing/>
              <w:jc w:val="center"/>
              <w:rPr>
                <w:rFonts w:ascii="Times New Roman" w:hAnsi="Times New Roman" w:cs="Times New Roman"/>
                <w:b/>
                <w:color w:val="000000" w:themeColor="text1"/>
                <w:sz w:val="20"/>
                <w:szCs w:val="20"/>
                <w:lang w:val="en-US"/>
              </w:rPr>
            </w:pPr>
            <w:r w:rsidRPr="00176315">
              <w:rPr>
                <w:rFonts w:ascii="Times New Roman" w:hAnsi="Times New Roman" w:cs="Times New Roman"/>
                <w:b/>
                <w:color w:val="000000" w:themeColor="text1"/>
                <w:sz w:val="20"/>
                <w:szCs w:val="20"/>
                <w:lang w:val="en-US"/>
              </w:rPr>
              <w:t>Machinery and transport equipment</w:t>
            </w:r>
          </w:p>
        </w:tc>
        <w:tc>
          <w:tcPr>
            <w:tcW w:w="1134" w:type="dxa"/>
          </w:tcPr>
          <w:p w14:paraId="7E98C1D3" w14:textId="77777777" w:rsidR="00B85035" w:rsidRPr="00176315" w:rsidRDefault="00B85035" w:rsidP="00B85035">
            <w:pPr>
              <w:contextualSpacing/>
              <w:jc w:val="center"/>
              <w:rPr>
                <w:rFonts w:ascii="Times New Roman" w:hAnsi="Times New Roman" w:cs="Times New Roman"/>
                <w:b/>
                <w:color w:val="000000" w:themeColor="text1"/>
                <w:sz w:val="20"/>
                <w:szCs w:val="20"/>
                <w:lang w:val="en-US"/>
              </w:rPr>
            </w:pPr>
            <w:r w:rsidRPr="00176315">
              <w:rPr>
                <w:rFonts w:ascii="Times New Roman" w:hAnsi="Times New Roman" w:cs="Times New Roman"/>
                <w:b/>
                <w:color w:val="000000" w:themeColor="text1"/>
                <w:sz w:val="20"/>
                <w:szCs w:val="20"/>
                <w:lang w:val="en-US"/>
              </w:rPr>
              <w:t>Metals</w:t>
            </w:r>
          </w:p>
        </w:tc>
        <w:tc>
          <w:tcPr>
            <w:tcW w:w="1134" w:type="dxa"/>
          </w:tcPr>
          <w:p w14:paraId="4550A4ED" w14:textId="77777777" w:rsidR="00B85035" w:rsidRPr="00176315" w:rsidRDefault="00B85035" w:rsidP="00B85035">
            <w:pPr>
              <w:contextualSpacing/>
              <w:jc w:val="center"/>
              <w:rPr>
                <w:rFonts w:ascii="Times New Roman" w:hAnsi="Times New Roman" w:cs="Times New Roman"/>
                <w:b/>
                <w:color w:val="000000" w:themeColor="text1"/>
                <w:sz w:val="20"/>
                <w:szCs w:val="20"/>
                <w:lang w:val="en-US"/>
              </w:rPr>
            </w:pPr>
            <w:r w:rsidRPr="00176315">
              <w:rPr>
                <w:rFonts w:ascii="Times New Roman" w:hAnsi="Times New Roman" w:cs="Times New Roman"/>
                <w:b/>
                <w:color w:val="000000" w:themeColor="text1"/>
                <w:sz w:val="20"/>
                <w:szCs w:val="20"/>
                <w:lang w:val="en-US"/>
              </w:rPr>
              <w:t>Food products</w:t>
            </w:r>
          </w:p>
        </w:tc>
        <w:tc>
          <w:tcPr>
            <w:tcW w:w="992" w:type="dxa"/>
          </w:tcPr>
          <w:p w14:paraId="41D3F9E1" w14:textId="77777777" w:rsidR="00B85035" w:rsidRPr="00176315" w:rsidRDefault="00B85035" w:rsidP="00B85035">
            <w:pPr>
              <w:contextualSpacing/>
              <w:jc w:val="center"/>
              <w:rPr>
                <w:rFonts w:ascii="Times New Roman" w:hAnsi="Times New Roman" w:cs="Times New Roman"/>
                <w:b/>
                <w:color w:val="000000" w:themeColor="text1"/>
                <w:sz w:val="20"/>
                <w:szCs w:val="20"/>
                <w:lang w:val="en-US"/>
              </w:rPr>
            </w:pPr>
            <w:r w:rsidRPr="00176315">
              <w:rPr>
                <w:rFonts w:ascii="Times New Roman" w:hAnsi="Times New Roman" w:cs="Times New Roman"/>
                <w:b/>
                <w:color w:val="000000" w:themeColor="text1"/>
                <w:sz w:val="20"/>
                <w:szCs w:val="20"/>
                <w:lang w:val="en-US"/>
              </w:rPr>
              <w:t>Fuels</w:t>
            </w:r>
          </w:p>
        </w:tc>
        <w:tc>
          <w:tcPr>
            <w:tcW w:w="1134" w:type="dxa"/>
          </w:tcPr>
          <w:p w14:paraId="7C260826" w14:textId="77777777" w:rsidR="00B85035" w:rsidRPr="00176315" w:rsidRDefault="00B85035" w:rsidP="00B85035">
            <w:pPr>
              <w:contextualSpacing/>
              <w:jc w:val="center"/>
              <w:rPr>
                <w:rFonts w:ascii="Times New Roman" w:hAnsi="Times New Roman" w:cs="Times New Roman"/>
                <w:b/>
                <w:color w:val="000000" w:themeColor="text1"/>
                <w:sz w:val="20"/>
                <w:szCs w:val="20"/>
                <w:lang w:val="en-US"/>
              </w:rPr>
            </w:pPr>
            <w:r w:rsidRPr="00176315">
              <w:rPr>
                <w:rFonts w:ascii="Times New Roman" w:hAnsi="Times New Roman" w:cs="Times New Roman"/>
                <w:b/>
                <w:color w:val="000000" w:themeColor="text1"/>
                <w:sz w:val="20"/>
                <w:szCs w:val="20"/>
                <w:lang w:val="en-US"/>
              </w:rPr>
              <w:t>Minerals</w:t>
            </w:r>
          </w:p>
        </w:tc>
      </w:tr>
      <w:tr w:rsidR="00B85035" w:rsidRPr="009450BD" w14:paraId="480ADDD9" w14:textId="77777777" w:rsidTr="00B85035">
        <w:tc>
          <w:tcPr>
            <w:tcW w:w="1555" w:type="dxa"/>
          </w:tcPr>
          <w:p w14:paraId="3ABDAADB" w14:textId="77777777" w:rsidR="00B85035" w:rsidRPr="009450BD" w:rsidRDefault="00B85035" w:rsidP="002D4A70">
            <w:pPr>
              <w:contextualSpacing/>
              <w:jc w:val="both"/>
              <w:rPr>
                <w:rFonts w:ascii="Times New Roman" w:hAnsi="Times New Roman" w:cs="Times New Roman"/>
                <w:sz w:val="20"/>
                <w:szCs w:val="20"/>
                <w:lang w:val="en-US"/>
              </w:rPr>
            </w:pPr>
            <w:r w:rsidRPr="009450BD">
              <w:rPr>
                <w:rFonts w:ascii="Times New Roman" w:hAnsi="Times New Roman" w:cs="Times New Roman"/>
                <w:sz w:val="20"/>
                <w:szCs w:val="20"/>
                <w:lang w:val="en-US"/>
              </w:rPr>
              <w:t>Kazakhstan</w:t>
            </w:r>
          </w:p>
        </w:tc>
        <w:tc>
          <w:tcPr>
            <w:tcW w:w="1353" w:type="dxa"/>
          </w:tcPr>
          <w:p w14:paraId="1950709F"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0,36</w:t>
            </w:r>
          </w:p>
        </w:tc>
        <w:tc>
          <w:tcPr>
            <w:tcW w:w="1340" w:type="dxa"/>
          </w:tcPr>
          <w:p w14:paraId="3DFD4E2A"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rPr>
              <w:t>0,03</w:t>
            </w:r>
          </w:p>
        </w:tc>
        <w:tc>
          <w:tcPr>
            <w:tcW w:w="1134" w:type="dxa"/>
          </w:tcPr>
          <w:p w14:paraId="39AC8942"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2,34</w:t>
            </w:r>
          </w:p>
        </w:tc>
        <w:tc>
          <w:tcPr>
            <w:tcW w:w="1134" w:type="dxa"/>
          </w:tcPr>
          <w:p w14:paraId="2B1A8750"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0,20</w:t>
            </w:r>
          </w:p>
        </w:tc>
        <w:tc>
          <w:tcPr>
            <w:tcW w:w="992" w:type="dxa"/>
          </w:tcPr>
          <w:p w14:paraId="33C5D5D7"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6,56</w:t>
            </w:r>
          </w:p>
        </w:tc>
        <w:tc>
          <w:tcPr>
            <w:tcW w:w="1134" w:type="dxa"/>
          </w:tcPr>
          <w:p w14:paraId="47A96169"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3,43</w:t>
            </w:r>
          </w:p>
        </w:tc>
      </w:tr>
      <w:tr w:rsidR="00B85035" w:rsidRPr="009450BD" w14:paraId="09183D99" w14:textId="77777777" w:rsidTr="00B85035">
        <w:tc>
          <w:tcPr>
            <w:tcW w:w="1555" w:type="dxa"/>
          </w:tcPr>
          <w:p w14:paraId="63EDAC77" w14:textId="77777777" w:rsidR="00B85035" w:rsidRPr="009450BD" w:rsidRDefault="00B85035" w:rsidP="002D4A70">
            <w:pPr>
              <w:contextualSpacing/>
              <w:jc w:val="both"/>
              <w:rPr>
                <w:rFonts w:ascii="Times New Roman" w:hAnsi="Times New Roman" w:cs="Times New Roman"/>
                <w:sz w:val="20"/>
                <w:szCs w:val="20"/>
              </w:rPr>
            </w:pPr>
            <w:r w:rsidRPr="009450BD">
              <w:rPr>
                <w:rFonts w:ascii="Times New Roman" w:hAnsi="Times New Roman" w:cs="Times New Roman"/>
                <w:sz w:val="20"/>
                <w:szCs w:val="20"/>
                <w:lang w:val="en-US"/>
              </w:rPr>
              <w:lastRenderedPageBreak/>
              <w:t>Russia</w:t>
            </w:r>
          </w:p>
        </w:tc>
        <w:tc>
          <w:tcPr>
            <w:tcW w:w="1353" w:type="dxa"/>
          </w:tcPr>
          <w:p w14:paraId="2FFE3AE1"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0,38</w:t>
            </w:r>
          </w:p>
        </w:tc>
        <w:tc>
          <w:tcPr>
            <w:tcW w:w="1340" w:type="dxa"/>
          </w:tcPr>
          <w:p w14:paraId="4725A7EC"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0,12</w:t>
            </w:r>
          </w:p>
        </w:tc>
        <w:tc>
          <w:tcPr>
            <w:tcW w:w="1134" w:type="dxa"/>
          </w:tcPr>
          <w:p w14:paraId="0AA7EEF1"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1,34</w:t>
            </w:r>
          </w:p>
        </w:tc>
        <w:tc>
          <w:tcPr>
            <w:tcW w:w="1134" w:type="dxa"/>
          </w:tcPr>
          <w:p w14:paraId="67863DBC"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0,35</w:t>
            </w:r>
          </w:p>
        </w:tc>
        <w:tc>
          <w:tcPr>
            <w:tcW w:w="992" w:type="dxa"/>
          </w:tcPr>
          <w:p w14:paraId="23FB3941"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6,10</w:t>
            </w:r>
          </w:p>
        </w:tc>
        <w:tc>
          <w:tcPr>
            <w:tcW w:w="1134" w:type="dxa"/>
          </w:tcPr>
          <w:p w14:paraId="77D031ED"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0,77</w:t>
            </w:r>
          </w:p>
        </w:tc>
      </w:tr>
      <w:tr w:rsidR="00B85035" w:rsidRPr="009450BD" w14:paraId="2D260F4E" w14:textId="77777777" w:rsidTr="00B85035">
        <w:tc>
          <w:tcPr>
            <w:tcW w:w="1555" w:type="dxa"/>
          </w:tcPr>
          <w:p w14:paraId="01FFCAA9" w14:textId="77777777" w:rsidR="00B85035" w:rsidRPr="009450BD" w:rsidRDefault="00B85035" w:rsidP="002D4A70">
            <w:pPr>
              <w:contextualSpacing/>
              <w:jc w:val="both"/>
              <w:rPr>
                <w:rFonts w:ascii="Times New Roman" w:hAnsi="Times New Roman" w:cs="Times New Roman"/>
                <w:sz w:val="20"/>
                <w:szCs w:val="20"/>
              </w:rPr>
            </w:pPr>
            <w:r w:rsidRPr="009450BD">
              <w:rPr>
                <w:rFonts w:ascii="Times New Roman" w:hAnsi="Times New Roman" w:cs="Times New Roman"/>
                <w:sz w:val="20"/>
                <w:szCs w:val="20"/>
                <w:lang w:val="en-US"/>
              </w:rPr>
              <w:t>Belarus</w:t>
            </w:r>
          </w:p>
        </w:tc>
        <w:tc>
          <w:tcPr>
            <w:tcW w:w="1353" w:type="dxa"/>
          </w:tcPr>
          <w:p w14:paraId="4D0E7216"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1,08</w:t>
            </w:r>
          </w:p>
        </w:tc>
        <w:tc>
          <w:tcPr>
            <w:tcW w:w="1340" w:type="dxa"/>
          </w:tcPr>
          <w:p w14:paraId="3E3B94C7"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0,38</w:t>
            </w:r>
          </w:p>
        </w:tc>
        <w:tc>
          <w:tcPr>
            <w:tcW w:w="1134" w:type="dxa"/>
          </w:tcPr>
          <w:p w14:paraId="0EC77E86"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0,91</w:t>
            </w:r>
          </w:p>
        </w:tc>
        <w:tc>
          <w:tcPr>
            <w:tcW w:w="1134" w:type="dxa"/>
          </w:tcPr>
          <w:p w14:paraId="164D8132"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1,04</w:t>
            </w:r>
          </w:p>
        </w:tc>
        <w:tc>
          <w:tcPr>
            <w:tcW w:w="992" w:type="dxa"/>
          </w:tcPr>
          <w:p w14:paraId="36621C94"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2,44</w:t>
            </w:r>
          </w:p>
        </w:tc>
        <w:tc>
          <w:tcPr>
            <w:tcW w:w="1134" w:type="dxa"/>
          </w:tcPr>
          <w:p w14:paraId="6CEF2331"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0,62</w:t>
            </w:r>
          </w:p>
        </w:tc>
      </w:tr>
      <w:tr w:rsidR="00B85035" w:rsidRPr="009450BD" w14:paraId="727F502A" w14:textId="77777777" w:rsidTr="00B85035">
        <w:tc>
          <w:tcPr>
            <w:tcW w:w="1555" w:type="dxa"/>
          </w:tcPr>
          <w:p w14:paraId="2825EA98" w14:textId="77777777" w:rsidR="00B85035" w:rsidRPr="009450BD" w:rsidRDefault="00B85035" w:rsidP="002D4A70">
            <w:pPr>
              <w:contextualSpacing/>
              <w:jc w:val="both"/>
              <w:rPr>
                <w:rFonts w:ascii="Times New Roman" w:hAnsi="Times New Roman" w:cs="Times New Roman"/>
                <w:sz w:val="20"/>
                <w:szCs w:val="20"/>
              </w:rPr>
            </w:pPr>
            <w:r w:rsidRPr="009450BD">
              <w:rPr>
                <w:rFonts w:ascii="Times New Roman" w:hAnsi="Times New Roman" w:cs="Times New Roman"/>
                <w:sz w:val="20"/>
                <w:szCs w:val="20"/>
                <w:lang w:val="en-US"/>
              </w:rPr>
              <w:t>Kyrgyzstan</w:t>
            </w:r>
          </w:p>
        </w:tc>
        <w:tc>
          <w:tcPr>
            <w:tcW w:w="1353" w:type="dxa"/>
          </w:tcPr>
          <w:p w14:paraId="51A59917"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0,06</w:t>
            </w:r>
          </w:p>
        </w:tc>
        <w:tc>
          <w:tcPr>
            <w:tcW w:w="1340" w:type="dxa"/>
          </w:tcPr>
          <w:p w14:paraId="58EEF952"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0,27</w:t>
            </w:r>
          </w:p>
        </w:tc>
        <w:tc>
          <w:tcPr>
            <w:tcW w:w="1134" w:type="dxa"/>
          </w:tcPr>
          <w:p w14:paraId="62DFA331"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0,53</w:t>
            </w:r>
          </w:p>
        </w:tc>
        <w:tc>
          <w:tcPr>
            <w:tcW w:w="1134" w:type="dxa"/>
          </w:tcPr>
          <w:p w14:paraId="388477ED"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0,73</w:t>
            </w:r>
          </w:p>
        </w:tc>
        <w:tc>
          <w:tcPr>
            <w:tcW w:w="992" w:type="dxa"/>
          </w:tcPr>
          <w:p w14:paraId="4CF992DE"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0,51</w:t>
            </w:r>
          </w:p>
        </w:tc>
        <w:tc>
          <w:tcPr>
            <w:tcW w:w="1134" w:type="dxa"/>
          </w:tcPr>
          <w:p w14:paraId="1D842B56"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5,86</w:t>
            </w:r>
          </w:p>
        </w:tc>
      </w:tr>
      <w:tr w:rsidR="00B85035" w:rsidRPr="009450BD" w14:paraId="4D846C15" w14:textId="77777777" w:rsidTr="00B85035">
        <w:tc>
          <w:tcPr>
            <w:tcW w:w="1555" w:type="dxa"/>
          </w:tcPr>
          <w:p w14:paraId="193357DE" w14:textId="77777777" w:rsidR="00B85035" w:rsidRPr="009450BD" w:rsidRDefault="00B85035" w:rsidP="002D4A70">
            <w:pPr>
              <w:contextualSpacing/>
              <w:jc w:val="both"/>
              <w:rPr>
                <w:rFonts w:ascii="Times New Roman" w:hAnsi="Times New Roman" w:cs="Times New Roman"/>
                <w:sz w:val="20"/>
                <w:szCs w:val="20"/>
              </w:rPr>
            </w:pPr>
            <w:r w:rsidRPr="009450BD">
              <w:rPr>
                <w:rFonts w:ascii="Times New Roman" w:hAnsi="Times New Roman" w:cs="Times New Roman"/>
                <w:sz w:val="20"/>
                <w:szCs w:val="20"/>
                <w:lang w:val="en-US"/>
              </w:rPr>
              <w:t>Armenia</w:t>
            </w:r>
          </w:p>
        </w:tc>
        <w:tc>
          <w:tcPr>
            <w:tcW w:w="1353" w:type="dxa"/>
          </w:tcPr>
          <w:p w14:paraId="61BE95D2"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0,11</w:t>
            </w:r>
          </w:p>
        </w:tc>
        <w:tc>
          <w:tcPr>
            <w:tcW w:w="1340" w:type="dxa"/>
          </w:tcPr>
          <w:p w14:paraId="67867FA4"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0,05</w:t>
            </w:r>
          </w:p>
        </w:tc>
        <w:tc>
          <w:tcPr>
            <w:tcW w:w="1134" w:type="dxa"/>
          </w:tcPr>
          <w:p w14:paraId="2DDB9510"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1,62</w:t>
            </w:r>
          </w:p>
        </w:tc>
        <w:tc>
          <w:tcPr>
            <w:tcW w:w="1134" w:type="dxa"/>
          </w:tcPr>
          <w:p w14:paraId="5BF26286"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6,19</w:t>
            </w:r>
          </w:p>
        </w:tc>
        <w:tc>
          <w:tcPr>
            <w:tcW w:w="992" w:type="dxa"/>
          </w:tcPr>
          <w:p w14:paraId="7CBA951A"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0,35</w:t>
            </w:r>
          </w:p>
        </w:tc>
        <w:tc>
          <w:tcPr>
            <w:tcW w:w="1134" w:type="dxa"/>
          </w:tcPr>
          <w:p w14:paraId="1CF71244" w14:textId="77777777" w:rsidR="00B85035" w:rsidRPr="009450BD" w:rsidRDefault="00B85035" w:rsidP="00B85035">
            <w:pPr>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18,90</w:t>
            </w:r>
          </w:p>
        </w:tc>
      </w:tr>
      <w:tr w:rsidR="00B122AF" w:rsidRPr="00176315" w14:paraId="02C5700E" w14:textId="77777777" w:rsidTr="00904EAB">
        <w:tc>
          <w:tcPr>
            <w:tcW w:w="8642" w:type="dxa"/>
            <w:gridSpan w:val="7"/>
          </w:tcPr>
          <w:p w14:paraId="6C333000" w14:textId="77777777" w:rsidR="00B122AF" w:rsidRPr="009450BD" w:rsidRDefault="00B122AF" w:rsidP="00B122AF">
            <w:pPr>
              <w:contextualSpacing/>
              <w:jc w:val="both"/>
              <w:rPr>
                <w:rFonts w:ascii="Times New Roman" w:hAnsi="Times New Roman" w:cs="Times New Roman"/>
                <w:sz w:val="20"/>
                <w:szCs w:val="20"/>
                <w:lang w:val="en-US"/>
              </w:rPr>
            </w:pPr>
            <w:r w:rsidRPr="009450BD">
              <w:rPr>
                <w:rFonts w:ascii="Times New Roman" w:hAnsi="Times New Roman" w:cs="Times New Roman"/>
                <w:sz w:val="20"/>
                <w:szCs w:val="20"/>
                <w:lang w:val="en-US"/>
              </w:rPr>
              <w:t xml:space="preserve">Note </w:t>
            </w:r>
            <w:r w:rsidR="00350EC3">
              <w:rPr>
                <w:rFonts w:ascii="Times New Roman" w:hAnsi="Times New Roman" w:cs="Times New Roman"/>
                <w:sz w:val="20"/>
                <w:szCs w:val="20"/>
                <w:lang w:val="en-US"/>
              </w:rPr>
              <w:t>–</w:t>
            </w:r>
            <w:r w:rsidRPr="009450BD">
              <w:rPr>
                <w:rFonts w:ascii="Times New Roman" w:hAnsi="Times New Roman" w:cs="Times New Roman"/>
                <w:sz w:val="20"/>
                <w:szCs w:val="20"/>
                <w:lang w:val="en-US"/>
              </w:rPr>
              <w:t xml:space="preserve"> calculated by the authors based on data World Integrated Trade Solution of World Bank, 2017</w:t>
            </w:r>
          </w:p>
        </w:tc>
      </w:tr>
    </w:tbl>
    <w:p w14:paraId="6B688CE5" w14:textId="77777777" w:rsidR="002D4A70" w:rsidRPr="00176315" w:rsidRDefault="002D4A70" w:rsidP="00B122AF">
      <w:pPr>
        <w:spacing w:after="0" w:line="240" w:lineRule="auto"/>
        <w:contextualSpacing/>
        <w:jc w:val="both"/>
        <w:rPr>
          <w:rFonts w:ascii="Times New Roman" w:hAnsi="Times New Roman" w:cs="Times New Roman"/>
          <w:sz w:val="24"/>
          <w:szCs w:val="24"/>
          <w:lang w:val="en-US"/>
        </w:rPr>
      </w:pPr>
    </w:p>
    <w:p w14:paraId="24F215CC" w14:textId="77777777" w:rsidR="00350EC3" w:rsidRPr="00176315" w:rsidRDefault="00350EC3" w:rsidP="009C111E">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Table 1 shows that for Kazakhstan the priority sectors are: metals, fuels and minerals industries. Moreover, in the fuels industry, the comparative advantage index is even higher than in Russia, although the volume of fuel exports in Russia is significantly higher than in Kazakhstan. For comparison, fuel for the total amount of $ 211993 million was exported in Russia in 2017, while in Kazakhstan in the same period $ 30679 million was earned from the export of fuel (Figure 2).</w:t>
      </w:r>
    </w:p>
    <w:p w14:paraId="763AED2D" w14:textId="77777777" w:rsidR="00350EC3" w:rsidRDefault="00350EC3" w:rsidP="009C111E">
      <w:pPr>
        <w:spacing w:after="0" w:line="240" w:lineRule="auto"/>
        <w:ind w:firstLine="567"/>
        <w:contextualSpacing/>
        <w:jc w:val="both"/>
        <w:rPr>
          <w:rFonts w:ascii="Times New Roman" w:hAnsi="Times New Roman" w:cs="Times New Roman"/>
          <w:sz w:val="20"/>
          <w:szCs w:val="20"/>
          <w:lang w:val="en-US"/>
        </w:rPr>
      </w:pPr>
    </w:p>
    <w:p w14:paraId="4DA9CEC8" w14:textId="77777777" w:rsidR="00B122AF" w:rsidRPr="00350EC3" w:rsidRDefault="00904EAB" w:rsidP="00350EC3">
      <w:pPr>
        <w:spacing w:after="0" w:line="240" w:lineRule="auto"/>
        <w:contextualSpacing/>
        <w:jc w:val="center"/>
        <w:rPr>
          <w:rFonts w:ascii="Times New Roman" w:hAnsi="Times New Roman" w:cs="Times New Roman"/>
          <w:sz w:val="20"/>
          <w:szCs w:val="20"/>
          <w:lang w:val="en-US"/>
        </w:rPr>
      </w:pPr>
      <w:r w:rsidRPr="009450BD">
        <w:rPr>
          <w:rFonts w:ascii="Times New Roman" w:hAnsi="Times New Roman" w:cs="Times New Roman"/>
          <w:noProof/>
          <w:sz w:val="20"/>
          <w:szCs w:val="20"/>
          <w:lang w:eastAsia="ru-RU"/>
        </w:rPr>
        <w:drawing>
          <wp:inline distT="0" distB="0" distL="0" distR="0" wp14:anchorId="2378CDE4" wp14:editId="6C7F5C9F">
            <wp:extent cx="4762500" cy="2209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6EBD2E" w14:textId="3B93ABDC" w:rsidR="00350EC3" w:rsidRPr="00176315" w:rsidRDefault="008A7020" w:rsidP="00BC69DB">
      <w:pPr>
        <w:spacing w:after="0" w:line="240" w:lineRule="auto"/>
        <w:ind w:firstLine="567"/>
        <w:contextualSpacing/>
        <w:jc w:val="center"/>
        <w:rPr>
          <w:rFonts w:ascii="Times New Roman" w:hAnsi="Times New Roman" w:cs="Times New Roman"/>
          <w:sz w:val="24"/>
          <w:szCs w:val="24"/>
          <w:lang w:val="en-US"/>
        </w:rPr>
      </w:pPr>
      <w:proofErr w:type="gramStart"/>
      <w:r w:rsidRPr="00176315">
        <w:rPr>
          <w:rFonts w:ascii="Times New Roman" w:hAnsi="Times New Roman" w:cs="Times New Roman"/>
          <w:sz w:val="24"/>
          <w:szCs w:val="24"/>
          <w:lang w:val="en-US"/>
        </w:rPr>
        <w:t>Figure 2</w:t>
      </w:r>
      <w:r w:rsidR="00176315" w:rsidRPr="00176315">
        <w:rPr>
          <w:rFonts w:ascii="Times New Roman" w:hAnsi="Times New Roman" w:cs="Times New Roman"/>
          <w:sz w:val="24"/>
          <w:szCs w:val="24"/>
          <w:lang w:val="en-US"/>
        </w:rPr>
        <w:t>.</w:t>
      </w:r>
      <w:proofErr w:type="gramEnd"/>
      <w:r w:rsidRPr="00176315">
        <w:rPr>
          <w:rFonts w:ascii="Times New Roman" w:hAnsi="Times New Roman" w:cs="Times New Roman"/>
          <w:sz w:val="24"/>
          <w:szCs w:val="24"/>
          <w:lang w:val="en-US"/>
        </w:rPr>
        <w:t xml:space="preserve"> </w:t>
      </w:r>
      <w:r w:rsidR="00350EC3" w:rsidRPr="00176315">
        <w:rPr>
          <w:rFonts w:ascii="Times New Roman" w:hAnsi="Times New Roman" w:cs="Times New Roman"/>
          <w:sz w:val="24"/>
          <w:szCs w:val="24"/>
          <w:lang w:val="en-US"/>
        </w:rPr>
        <w:t>Revenue from fuel exports by country for 2017, million dollars</w:t>
      </w:r>
    </w:p>
    <w:p w14:paraId="615C3E1D" w14:textId="77777777" w:rsidR="00BC69DB" w:rsidRPr="00176315" w:rsidRDefault="00BC69DB" w:rsidP="00BC69DB">
      <w:pPr>
        <w:spacing w:after="0" w:line="240" w:lineRule="auto"/>
        <w:ind w:firstLine="567"/>
        <w:contextualSpacing/>
        <w:jc w:val="center"/>
        <w:rPr>
          <w:rFonts w:ascii="Times New Roman" w:hAnsi="Times New Roman" w:cs="Times New Roman"/>
          <w:sz w:val="24"/>
          <w:szCs w:val="24"/>
          <w:lang w:val="en-US"/>
        </w:rPr>
      </w:pPr>
      <w:r w:rsidRPr="00176315">
        <w:rPr>
          <w:rFonts w:ascii="Times New Roman" w:hAnsi="Times New Roman" w:cs="Times New Roman"/>
          <w:sz w:val="24"/>
          <w:szCs w:val="24"/>
          <w:lang w:val="en-US"/>
        </w:rPr>
        <w:t>Note: compiled by the authors based on data World Integrated Trade Solution of World Bank</w:t>
      </w:r>
    </w:p>
    <w:p w14:paraId="2AC7C56A" w14:textId="77777777" w:rsidR="00353FC1" w:rsidRPr="00176315" w:rsidRDefault="00353FC1" w:rsidP="00046704">
      <w:pPr>
        <w:spacing w:after="0" w:line="240" w:lineRule="auto"/>
        <w:contextualSpacing/>
        <w:jc w:val="both"/>
        <w:rPr>
          <w:rFonts w:ascii="Times New Roman" w:hAnsi="Times New Roman" w:cs="Times New Roman"/>
          <w:sz w:val="24"/>
          <w:szCs w:val="24"/>
          <w:lang w:val="en-US"/>
        </w:rPr>
      </w:pPr>
    </w:p>
    <w:p w14:paraId="4CED360B"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Here should note the advantage of this index – it does not estimate the volume of exported product, export revenue, but estimates efficiency and feasibility of exporting a certain product.</w:t>
      </w:r>
    </w:p>
    <w:p w14:paraId="433F2939"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p>
    <w:p w14:paraId="691D58C1"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As shown in Table 1, each country of an integration association has a comparative advantage in certain industrial sectors. For example, Armenia specializes in food products and minerals, and the value of the indices of Armenia in these sectors is much higher than in other countries. The food industry has become the leading sector in Armenia in recent years: it produces about 37% of the gross industrial product in the whole country.</w:t>
      </w:r>
    </w:p>
    <w:p w14:paraId="25E2D748"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p>
    <w:p w14:paraId="0A699F9B"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Kyrgyzstan has an export advantage in only one industry out of six – minerals. Kyrgyzstan is a mountainous country, famous for its rich subsoil, containing a huge amount of various minerals, among which there are quite unique species.</w:t>
      </w:r>
    </w:p>
    <w:p w14:paraId="111CA480"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p>
    <w:p w14:paraId="12DF75E7"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 xml:space="preserve">Belarus has a comparative advantage of exporting products to the fuels industry, even though Belarus produces more than 500 types of fuel products and over 70 percent of these products are sold on the foreign market, the comparative advantage index shows that fuel export efficiency of other EAEU member countries </w:t>
      </w:r>
      <w:r w:rsidR="006A3910" w:rsidRPr="00176315">
        <w:rPr>
          <w:rFonts w:ascii="Times New Roman" w:hAnsi="Times New Roman" w:cs="Times New Roman"/>
          <w:sz w:val="24"/>
          <w:szCs w:val="24"/>
          <w:lang w:val="en-US"/>
        </w:rPr>
        <w:t>–</w:t>
      </w:r>
      <w:r w:rsidRPr="00176315">
        <w:rPr>
          <w:rFonts w:ascii="Times New Roman" w:hAnsi="Times New Roman" w:cs="Times New Roman"/>
          <w:sz w:val="24"/>
          <w:szCs w:val="24"/>
          <w:lang w:val="en-US"/>
        </w:rPr>
        <w:t xml:space="preserve"> K</w:t>
      </w:r>
      <w:r w:rsidR="006A3910" w:rsidRPr="00176315">
        <w:rPr>
          <w:rFonts w:ascii="Times New Roman" w:hAnsi="Times New Roman" w:cs="Times New Roman"/>
          <w:sz w:val="24"/>
          <w:szCs w:val="24"/>
          <w:lang w:val="en-US"/>
        </w:rPr>
        <w:t xml:space="preserve">azakhstan and </w:t>
      </w:r>
      <w:r w:rsidR="006A3910" w:rsidRPr="00176315">
        <w:rPr>
          <w:rFonts w:ascii="Times New Roman" w:hAnsi="Times New Roman" w:cs="Times New Roman"/>
          <w:sz w:val="24"/>
          <w:szCs w:val="24"/>
          <w:lang w:val="en-US"/>
        </w:rPr>
        <w:lastRenderedPageBreak/>
        <w:t>Russia – s</w:t>
      </w:r>
      <w:r w:rsidRPr="00176315">
        <w:rPr>
          <w:rFonts w:ascii="Times New Roman" w:hAnsi="Times New Roman" w:cs="Times New Roman"/>
          <w:sz w:val="24"/>
          <w:szCs w:val="24"/>
          <w:lang w:val="en-US"/>
        </w:rPr>
        <w:t>till higher. Also, judging from Table 1 in Belarus, chemicals and food products industries have a comparative advantage, but the table shows data only for 2017, and indicators 1.04 and 1.08 cannot be considered sufficiently informative to clearly conclude about the comparative advantage of data industries.</w:t>
      </w:r>
    </w:p>
    <w:p w14:paraId="21BAE9A0"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p>
    <w:p w14:paraId="1AA15646"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 xml:space="preserve">In Kazakhstan and Russia, in addition to the </w:t>
      </w:r>
      <w:r w:rsidR="006A3910" w:rsidRPr="00176315">
        <w:rPr>
          <w:rFonts w:ascii="Times New Roman" w:hAnsi="Times New Roman" w:cs="Times New Roman"/>
          <w:sz w:val="24"/>
          <w:szCs w:val="24"/>
          <w:lang w:val="en-US"/>
        </w:rPr>
        <w:t>fuels industry, the metals</w:t>
      </w:r>
      <w:r w:rsidRPr="00176315">
        <w:rPr>
          <w:rFonts w:ascii="Times New Roman" w:hAnsi="Times New Roman" w:cs="Times New Roman"/>
          <w:sz w:val="24"/>
          <w:szCs w:val="24"/>
          <w:lang w:val="en-US"/>
        </w:rPr>
        <w:t xml:space="preserve"> industry also has the advantage. Russia ranks fourth in the world in steel production and third in the export of products made from steel.</w:t>
      </w:r>
    </w:p>
    <w:p w14:paraId="3A778948" w14:textId="77777777" w:rsidR="006A3910" w:rsidRPr="00176315" w:rsidRDefault="006A3910" w:rsidP="00350EC3">
      <w:pPr>
        <w:spacing w:after="0" w:line="240" w:lineRule="auto"/>
        <w:ind w:firstLine="567"/>
        <w:contextualSpacing/>
        <w:jc w:val="both"/>
        <w:rPr>
          <w:rFonts w:ascii="Times New Roman" w:hAnsi="Times New Roman" w:cs="Times New Roman"/>
          <w:sz w:val="24"/>
          <w:szCs w:val="24"/>
          <w:lang w:val="en-US"/>
        </w:rPr>
      </w:pPr>
    </w:p>
    <w:p w14:paraId="16DA5E6F"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In</w:t>
      </w:r>
      <w:r w:rsidR="006A3910" w:rsidRPr="00176315">
        <w:rPr>
          <w:rFonts w:ascii="Times New Roman" w:hAnsi="Times New Roman" w:cs="Times New Roman"/>
          <w:sz w:val="24"/>
          <w:szCs w:val="24"/>
          <w:lang w:val="en-US"/>
        </w:rPr>
        <w:t xml:space="preserve"> recent years, the metals</w:t>
      </w:r>
      <w:r w:rsidRPr="00176315">
        <w:rPr>
          <w:rFonts w:ascii="Times New Roman" w:hAnsi="Times New Roman" w:cs="Times New Roman"/>
          <w:sz w:val="24"/>
          <w:szCs w:val="24"/>
          <w:lang w:val="en-US"/>
        </w:rPr>
        <w:t xml:space="preserve"> industry in Kazakhstan has become one of the leading industries, after </w:t>
      </w:r>
      <w:r w:rsidR="006A3910" w:rsidRPr="00176315">
        <w:rPr>
          <w:rFonts w:ascii="Times New Roman" w:hAnsi="Times New Roman" w:cs="Times New Roman"/>
          <w:sz w:val="24"/>
          <w:szCs w:val="24"/>
          <w:lang w:val="en-US"/>
        </w:rPr>
        <w:t>fuel</w:t>
      </w:r>
      <w:r w:rsidRPr="00176315">
        <w:rPr>
          <w:rFonts w:ascii="Times New Roman" w:hAnsi="Times New Roman" w:cs="Times New Roman"/>
          <w:sz w:val="24"/>
          <w:szCs w:val="24"/>
          <w:lang w:val="en-US"/>
        </w:rPr>
        <w:t xml:space="preserve"> production. Today, Kazakhstan is among the world leaders in metallurgy. According to official data, this country is the eighth in the world ranking of iron ore reserves. The share of Kazakhstan in the world on this indicator is about six percent. The country's </w:t>
      </w:r>
      <w:proofErr w:type="gramStart"/>
      <w:r w:rsidRPr="00176315">
        <w:rPr>
          <w:rFonts w:ascii="Times New Roman" w:hAnsi="Times New Roman" w:cs="Times New Roman"/>
          <w:sz w:val="24"/>
          <w:szCs w:val="24"/>
          <w:lang w:val="en-US"/>
        </w:rPr>
        <w:t>enterprises are engaged in the production of metals such as zinc, lead, copper and other, and also smelts</w:t>
      </w:r>
      <w:proofErr w:type="gramEnd"/>
      <w:r w:rsidRPr="00176315">
        <w:rPr>
          <w:rFonts w:ascii="Times New Roman" w:hAnsi="Times New Roman" w:cs="Times New Roman"/>
          <w:sz w:val="24"/>
          <w:szCs w:val="24"/>
          <w:lang w:val="en-US"/>
        </w:rPr>
        <w:t xml:space="preserve"> rare metals. In addition to copper and other metals, Kazakhstan does not occupy the last position in the world market for the extraction and production of gold. At the present stage, more than 170 deposits of this precious metal have been officially confirmed in the republic</w:t>
      </w:r>
      <w:r w:rsidR="00772FDA" w:rsidRPr="00176315">
        <w:rPr>
          <w:rFonts w:ascii="Times New Roman" w:hAnsi="Times New Roman" w:cs="Times New Roman"/>
          <w:sz w:val="24"/>
          <w:szCs w:val="24"/>
          <w:lang w:val="en-US"/>
        </w:rPr>
        <w:t xml:space="preserve"> (Metallurgical portal)</w:t>
      </w:r>
      <w:r w:rsidRPr="00176315">
        <w:rPr>
          <w:rFonts w:ascii="Times New Roman" w:hAnsi="Times New Roman" w:cs="Times New Roman"/>
          <w:sz w:val="24"/>
          <w:szCs w:val="24"/>
          <w:lang w:val="en-US"/>
        </w:rPr>
        <w:t>.</w:t>
      </w:r>
    </w:p>
    <w:p w14:paraId="5265828B" w14:textId="77777777" w:rsidR="00604F8E" w:rsidRPr="00176315" w:rsidRDefault="00604F8E" w:rsidP="00350EC3">
      <w:pPr>
        <w:spacing w:after="0" w:line="240" w:lineRule="auto"/>
        <w:ind w:firstLine="567"/>
        <w:contextualSpacing/>
        <w:jc w:val="both"/>
        <w:rPr>
          <w:rFonts w:ascii="Times New Roman" w:hAnsi="Times New Roman" w:cs="Times New Roman"/>
          <w:sz w:val="24"/>
          <w:szCs w:val="24"/>
          <w:lang w:val="en-US"/>
        </w:rPr>
      </w:pPr>
    </w:p>
    <w:p w14:paraId="1B4DED82"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 xml:space="preserve">It should also be noted that no EAEU country has a comparative advantage in the machinery and transport equipment </w:t>
      </w:r>
      <w:proofErr w:type="gramStart"/>
      <w:r w:rsidRPr="00176315">
        <w:rPr>
          <w:rFonts w:ascii="Times New Roman" w:hAnsi="Times New Roman" w:cs="Times New Roman"/>
          <w:sz w:val="24"/>
          <w:szCs w:val="24"/>
          <w:lang w:val="en-US"/>
        </w:rPr>
        <w:t>industry,</w:t>
      </w:r>
      <w:proofErr w:type="gramEnd"/>
      <w:r w:rsidRPr="00176315">
        <w:rPr>
          <w:rFonts w:ascii="Times New Roman" w:hAnsi="Times New Roman" w:cs="Times New Roman"/>
          <w:sz w:val="24"/>
          <w:szCs w:val="24"/>
          <w:lang w:val="en-US"/>
        </w:rPr>
        <w:t xml:space="preserve"> a</w:t>
      </w:r>
      <w:r w:rsidR="00604F8E" w:rsidRPr="00176315">
        <w:rPr>
          <w:rFonts w:ascii="Times New Roman" w:hAnsi="Times New Roman" w:cs="Times New Roman"/>
          <w:sz w:val="24"/>
          <w:szCs w:val="24"/>
          <w:lang w:val="en-US"/>
        </w:rPr>
        <w:t>lthough the global export revenue</w:t>
      </w:r>
      <w:r w:rsidRPr="00176315">
        <w:rPr>
          <w:rFonts w:ascii="Times New Roman" w:hAnsi="Times New Roman" w:cs="Times New Roman"/>
          <w:sz w:val="24"/>
          <w:szCs w:val="24"/>
          <w:lang w:val="en-US"/>
        </w:rPr>
        <w:t xml:space="preserve"> in this in</w:t>
      </w:r>
      <w:r w:rsidR="00772FDA" w:rsidRPr="00176315">
        <w:rPr>
          <w:rFonts w:ascii="Times New Roman" w:hAnsi="Times New Roman" w:cs="Times New Roman"/>
          <w:sz w:val="24"/>
          <w:szCs w:val="24"/>
          <w:lang w:val="en-US"/>
        </w:rPr>
        <w:t xml:space="preserve">dustry is more than 7 trillion </w:t>
      </w:r>
      <w:r w:rsidRPr="00176315">
        <w:rPr>
          <w:rFonts w:ascii="Times New Roman" w:hAnsi="Times New Roman" w:cs="Times New Roman"/>
          <w:sz w:val="24"/>
          <w:szCs w:val="24"/>
          <w:lang w:val="en-US"/>
        </w:rPr>
        <w:t xml:space="preserve">dollars for 2017, which is almost 5 times more than the global </w:t>
      </w:r>
      <w:r w:rsidR="00604F8E" w:rsidRPr="00176315">
        <w:rPr>
          <w:rFonts w:ascii="Times New Roman" w:hAnsi="Times New Roman" w:cs="Times New Roman"/>
          <w:sz w:val="24"/>
          <w:szCs w:val="24"/>
          <w:lang w:val="en-US"/>
        </w:rPr>
        <w:t>revenue</w:t>
      </w:r>
      <w:r w:rsidRPr="00176315">
        <w:rPr>
          <w:rFonts w:ascii="Times New Roman" w:hAnsi="Times New Roman" w:cs="Times New Roman"/>
          <w:sz w:val="24"/>
          <w:szCs w:val="24"/>
          <w:lang w:val="en-US"/>
        </w:rPr>
        <w:t xml:space="preserve"> from fuel</w:t>
      </w:r>
      <w:r w:rsidR="00604F8E" w:rsidRPr="00176315">
        <w:rPr>
          <w:rFonts w:ascii="Times New Roman" w:hAnsi="Times New Roman" w:cs="Times New Roman"/>
          <w:sz w:val="24"/>
          <w:szCs w:val="24"/>
          <w:lang w:val="en-US"/>
        </w:rPr>
        <w:t>s</w:t>
      </w:r>
      <w:r w:rsidRPr="00176315">
        <w:rPr>
          <w:rFonts w:ascii="Times New Roman" w:hAnsi="Times New Roman" w:cs="Times New Roman"/>
          <w:sz w:val="24"/>
          <w:szCs w:val="24"/>
          <w:lang w:val="en-US"/>
        </w:rPr>
        <w:t xml:space="preserve"> exports.</w:t>
      </w:r>
    </w:p>
    <w:p w14:paraId="179D53FE" w14:textId="77777777" w:rsidR="00604F8E" w:rsidRPr="00176315" w:rsidRDefault="00604F8E" w:rsidP="00350EC3">
      <w:pPr>
        <w:spacing w:after="0" w:line="240" w:lineRule="auto"/>
        <w:ind w:firstLine="567"/>
        <w:contextualSpacing/>
        <w:jc w:val="both"/>
        <w:rPr>
          <w:rFonts w:ascii="Times New Roman" w:hAnsi="Times New Roman" w:cs="Times New Roman"/>
          <w:sz w:val="24"/>
          <w:szCs w:val="24"/>
          <w:lang w:val="en-US"/>
        </w:rPr>
      </w:pPr>
    </w:p>
    <w:p w14:paraId="09AC00DB" w14:textId="77777777" w:rsidR="007B2B9C" w:rsidRPr="00176315" w:rsidRDefault="00350EC3" w:rsidP="00350EC3">
      <w:pPr>
        <w:spacing w:after="0" w:line="240" w:lineRule="auto"/>
        <w:ind w:firstLine="567"/>
        <w:contextualSpacing/>
        <w:jc w:val="both"/>
        <w:rPr>
          <w:rFonts w:ascii="Times New Roman" w:hAnsi="Times New Roman" w:cs="Times New Roman"/>
          <w:sz w:val="24"/>
          <w:szCs w:val="24"/>
          <w:lang w:val="en-US"/>
        </w:rPr>
      </w:pPr>
      <w:r w:rsidRPr="00176315">
        <w:rPr>
          <w:rFonts w:ascii="Times New Roman" w:hAnsi="Times New Roman" w:cs="Times New Roman"/>
          <w:sz w:val="24"/>
          <w:szCs w:val="24"/>
          <w:lang w:val="en-US"/>
        </w:rPr>
        <w:t>Using the index of the revealed comparative advantage, not only the preferential industries of the EAEU member countries were evaluated, but also the entire integration association as a whole (Table 2).</w:t>
      </w:r>
    </w:p>
    <w:p w14:paraId="26A99346" w14:textId="77777777" w:rsidR="00350EC3" w:rsidRPr="00176315" w:rsidRDefault="00350EC3" w:rsidP="00350EC3">
      <w:pPr>
        <w:spacing w:after="0" w:line="240" w:lineRule="auto"/>
        <w:ind w:firstLine="567"/>
        <w:contextualSpacing/>
        <w:jc w:val="both"/>
        <w:rPr>
          <w:rFonts w:ascii="Times New Roman" w:hAnsi="Times New Roman" w:cs="Times New Roman"/>
          <w:sz w:val="24"/>
          <w:szCs w:val="24"/>
          <w:lang w:val="en-US"/>
        </w:rPr>
      </w:pPr>
    </w:p>
    <w:p w14:paraId="5283A35E" w14:textId="45933198" w:rsidR="007B2B9C" w:rsidRPr="00176315" w:rsidRDefault="008A7020" w:rsidP="007B2B9C">
      <w:pPr>
        <w:spacing w:after="0" w:line="240" w:lineRule="auto"/>
        <w:ind w:firstLine="567"/>
        <w:contextualSpacing/>
        <w:jc w:val="both"/>
        <w:rPr>
          <w:rStyle w:val="a8"/>
          <w:rFonts w:ascii="Times New Roman" w:hAnsi="Times New Roman" w:cs="Times New Roman"/>
          <w:b w:val="0"/>
          <w:sz w:val="24"/>
          <w:szCs w:val="24"/>
          <w:lang w:val="en-US"/>
        </w:rPr>
      </w:pPr>
      <w:r w:rsidRPr="00176315">
        <w:rPr>
          <w:rFonts w:ascii="Times New Roman" w:hAnsi="Times New Roman" w:cs="Times New Roman"/>
          <w:sz w:val="24"/>
          <w:szCs w:val="24"/>
          <w:lang w:val="en-US"/>
        </w:rPr>
        <w:t xml:space="preserve">Table 2: </w:t>
      </w:r>
      <w:r w:rsidR="00604F8E" w:rsidRPr="00176315">
        <w:rPr>
          <w:rFonts w:ascii="Times New Roman" w:hAnsi="Times New Roman" w:cs="Times New Roman"/>
          <w:sz w:val="24"/>
          <w:szCs w:val="24"/>
          <w:lang w:val="en-US"/>
        </w:rPr>
        <w:t xml:space="preserve">Assessment of the index of the </w:t>
      </w:r>
      <w:r w:rsidR="003C064B" w:rsidRPr="00176315">
        <w:rPr>
          <w:rFonts w:ascii="Times New Roman" w:hAnsi="Times New Roman" w:cs="Times New Roman"/>
          <w:sz w:val="24"/>
          <w:szCs w:val="24"/>
          <w:lang w:val="en-US"/>
        </w:rPr>
        <w:t>revealed</w:t>
      </w:r>
      <w:r w:rsidR="00604F8E" w:rsidRPr="00176315">
        <w:rPr>
          <w:rFonts w:ascii="Times New Roman" w:hAnsi="Times New Roman" w:cs="Times New Roman"/>
          <w:sz w:val="24"/>
          <w:szCs w:val="24"/>
          <w:lang w:val="en-US"/>
        </w:rPr>
        <w:t xml:space="preserve"> comparative advantage of the EAEU</w:t>
      </w:r>
    </w:p>
    <w:tbl>
      <w:tblPr>
        <w:tblStyle w:val="ab"/>
        <w:tblW w:w="0" w:type="auto"/>
        <w:tblLook w:val="04A0" w:firstRow="1" w:lastRow="0" w:firstColumn="1" w:lastColumn="0" w:noHBand="0" w:noVBand="1"/>
      </w:tblPr>
      <w:tblGrid>
        <w:gridCol w:w="4247"/>
        <w:gridCol w:w="4247"/>
      </w:tblGrid>
      <w:tr w:rsidR="007B2B9C" w:rsidRPr="009450BD" w14:paraId="4E406227" w14:textId="77777777" w:rsidTr="007B2B9C">
        <w:tc>
          <w:tcPr>
            <w:tcW w:w="4247" w:type="dxa"/>
          </w:tcPr>
          <w:p w14:paraId="1F1F3D2B" w14:textId="77777777" w:rsidR="007B2B9C" w:rsidRPr="007C63E7" w:rsidRDefault="006B7863" w:rsidP="007B2B9C">
            <w:pPr>
              <w:contextualSpacing/>
              <w:jc w:val="center"/>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Industry</w:t>
            </w:r>
          </w:p>
        </w:tc>
        <w:tc>
          <w:tcPr>
            <w:tcW w:w="4247" w:type="dxa"/>
          </w:tcPr>
          <w:p w14:paraId="0C7A634E" w14:textId="77777777" w:rsidR="007B2B9C" w:rsidRPr="007C63E7" w:rsidRDefault="007B2B9C" w:rsidP="007B2B9C">
            <w:pPr>
              <w:contextualSpacing/>
              <w:jc w:val="center"/>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RCA</w:t>
            </w:r>
          </w:p>
        </w:tc>
      </w:tr>
      <w:tr w:rsidR="006B7863" w:rsidRPr="009450BD" w14:paraId="0108358A" w14:textId="77777777" w:rsidTr="007B2B9C">
        <w:tc>
          <w:tcPr>
            <w:tcW w:w="4247" w:type="dxa"/>
          </w:tcPr>
          <w:p w14:paraId="17026290" w14:textId="77777777" w:rsidR="006B7863" w:rsidRPr="009450BD" w:rsidRDefault="006B7863" w:rsidP="006B7863">
            <w:pPr>
              <w:contextualSpacing/>
              <w:jc w:val="center"/>
              <w:rPr>
                <w:rStyle w:val="a8"/>
                <w:rFonts w:ascii="Times New Roman" w:hAnsi="Times New Roman" w:cs="Times New Roman"/>
                <w:b w:val="0"/>
                <w:sz w:val="20"/>
                <w:szCs w:val="20"/>
                <w:lang w:val="en-US"/>
              </w:rPr>
            </w:pPr>
            <w:r w:rsidRPr="009450BD">
              <w:rPr>
                <w:rStyle w:val="a8"/>
                <w:rFonts w:ascii="Times New Roman" w:hAnsi="Times New Roman" w:cs="Times New Roman"/>
                <w:b w:val="0"/>
                <w:sz w:val="20"/>
                <w:szCs w:val="20"/>
                <w:lang w:val="en-US"/>
              </w:rPr>
              <w:t>Chemicals</w:t>
            </w:r>
          </w:p>
        </w:tc>
        <w:tc>
          <w:tcPr>
            <w:tcW w:w="4247" w:type="dxa"/>
          </w:tcPr>
          <w:p w14:paraId="518BF378" w14:textId="77777777" w:rsidR="006B7863" w:rsidRPr="009450BD" w:rsidRDefault="006B7863" w:rsidP="006B7863">
            <w:pPr>
              <w:jc w:val="center"/>
              <w:rPr>
                <w:rFonts w:ascii="Times New Roman" w:hAnsi="Times New Roman" w:cs="Times New Roman"/>
                <w:sz w:val="20"/>
                <w:szCs w:val="20"/>
              </w:rPr>
            </w:pPr>
            <w:r w:rsidRPr="009450BD">
              <w:rPr>
                <w:rFonts w:ascii="Times New Roman" w:hAnsi="Times New Roman" w:cs="Times New Roman"/>
                <w:sz w:val="20"/>
                <w:szCs w:val="20"/>
              </w:rPr>
              <w:t>0,421</w:t>
            </w:r>
          </w:p>
        </w:tc>
      </w:tr>
      <w:tr w:rsidR="006B7863" w:rsidRPr="009450BD" w14:paraId="25E68133" w14:textId="77777777" w:rsidTr="007B2B9C">
        <w:tc>
          <w:tcPr>
            <w:tcW w:w="4247" w:type="dxa"/>
          </w:tcPr>
          <w:p w14:paraId="32FA94AC" w14:textId="77777777" w:rsidR="006B7863" w:rsidRPr="009450BD" w:rsidRDefault="006B7863" w:rsidP="006B7863">
            <w:pPr>
              <w:contextualSpacing/>
              <w:jc w:val="center"/>
              <w:rPr>
                <w:rStyle w:val="a8"/>
                <w:rFonts w:ascii="Times New Roman" w:hAnsi="Times New Roman" w:cs="Times New Roman"/>
                <w:b w:val="0"/>
                <w:sz w:val="20"/>
                <w:szCs w:val="20"/>
                <w:lang w:val="en-US"/>
              </w:rPr>
            </w:pPr>
            <w:r w:rsidRPr="009450BD">
              <w:rPr>
                <w:rStyle w:val="a8"/>
                <w:rFonts w:ascii="Times New Roman" w:hAnsi="Times New Roman" w:cs="Times New Roman"/>
                <w:b w:val="0"/>
                <w:sz w:val="20"/>
                <w:szCs w:val="20"/>
                <w:lang w:val="en-US"/>
              </w:rPr>
              <w:t>Machinery and transport equipment</w:t>
            </w:r>
          </w:p>
        </w:tc>
        <w:tc>
          <w:tcPr>
            <w:tcW w:w="4247" w:type="dxa"/>
          </w:tcPr>
          <w:p w14:paraId="52266466" w14:textId="77777777" w:rsidR="006B7863" w:rsidRPr="009450BD" w:rsidRDefault="006B7863" w:rsidP="006B7863">
            <w:pPr>
              <w:jc w:val="center"/>
              <w:rPr>
                <w:rFonts w:ascii="Times New Roman" w:hAnsi="Times New Roman" w:cs="Times New Roman"/>
                <w:sz w:val="20"/>
                <w:szCs w:val="20"/>
              </w:rPr>
            </w:pPr>
            <w:r w:rsidRPr="009450BD">
              <w:rPr>
                <w:rFonts w:ascii="Times New Roman" w:hAnsi="Times New Roman" w:cs="Times New Roman"/>
                <w:sz w:val="20"/>
                <w:szCs w:val="20"/>
              </w:rPr>
              <w:t>0,131</w:t>
            </w:r>
          </w:p>
        </w:tc>
      </w:tr>
      <w:tr w:rsidR="006B7863" w:rsidRPr="009450BD" w14:paraId="17EFBEE7" w14:textId="77777777" w:rsidTr="007B2B9C">
        <w:tc>
          <w:tcPr>
            <w:tcW w:w="4247" w:type="dxa"/>
          </w:tcPr>
          <w:p w14:paraId="16F73F1F" w14:textId="77777777" w:rsidR="006B7863" w:rsidRPr="009450BD" w:rsidRDefault="006B7863" w:rsidP="006B7863">
            <w:pPr>
              <w:contextualSpacing/>
              <w:jc w:val="center"/>
              <w:rPr>
                <w:rStyle w:val="a8"/>
                <w:rFonts w:ascii="Times New Roman" w:hAnsi="Times New Roman" w:cs="Times New Roman"/>
                <w:b w:val="0"/>
                <w:sz w:val="20"/>
                <w:szCs w:val="20"/>
                <w:lang w:val="en-US"/>
              </w:rPr>
            </w:pPr>
            <w:r w:rsidRPr="009450BD">
              <w:rPr>
                <w:rStyle w:val="a8"/>
                <w:rFonts w:ascii="Times New Roman" w:hAnsi="Times New Roman" w:cs="Times New Roman"/>
                <w:b w:val="0"/>
                <w:sz w:val="20"/>
                <w:szCs w:val="20"/>
                <w:lang w:val="en-US"/>
              </w:rPr>
              <w:t>Metals</w:t>
            </w:r>
          </w:p>
        </w:tc>
        <w:tc>
          <w:tcPr>
            <w:tcW w:w="4247" w:type="dxa"/>
          </w:tcPr>
          <w:p w14:paraId="263D4794" w14:textId="77777777" w:rsidR="006B7863" w:rsidRPr="009450BD" w:rsidRDefault="006B7863" w:rsidP="006B7863">
            <w:pPr>
              <w:jc w:val="center"/>
              <w:rPr>
                <w:rFonts w:ascii="Times New Roman" w:hAnsi="Times New Roman" w:cs="Times New Roman"/>
                <w:sz w:val="20"/>
                <w:szCs w:val="20"/>
              </w:rPr>
            </w:pPr>
            <w:r w:rsidRPr="009450BD">
              <w:rPr>
                <w:rFonts w:ascii="Times New Roman" w:hAnsi="Times New Roman" w:cs="Times New Roman"/>
                <w:sz w:val="20"/>
                <w:szCs w:val="20"/>
              </w:rPr>
              <w:t>1,424</w:t>
            </w:r>
          </w:p>
        </w:tc>
      </w:tr>
      <w:tr w:rsidR="006B7863" w:rsidRPr="009450BD" w14:paraId="20C00B4D" w14:textId="77777777" w:rsidTr="007B2B9C">
        <w:tc>
          <w:tcPr>
            <w:tcW w:w="4247" w:type="dxa"/>
          </w:tcPr>
          <w:p w14:paraId="637B57FE" w14:textId="77777777" w:rsidR="006B7863" w:rsidRPr="009450BD" w:rsidRDefault="006B7863" w:rsidP="006B7863">
            <w:pPr>
              <w:contextualSpacing/>
              <w:jc w:val="center"/>
              <w:rPr>
                <w:rStyle w:val="a8"/>
                <w:rFonts w:ascii="Times New Roman" w:hAnsi="Times New Roman" w:cs="Times New Roman"/>
                <w:b w:val="0"/>
                <w:sz w:val="20"/>
                <w:szCs w:val="20"/>
                <w:lang w:val="en-US"/>
              </w:rPr>
            </w:pPr>
            <w:r w:rsidRPr="009450BD">
              <w:rPr>
                <w:rStyle w:val="a8"/>
                <w:rFonts w:ascii="Times New Roman" w:hAnsi="Times New Roman" w:cs="Times New Roman"/>
                <w:b w:val="0"/>
                <w:sz w:val="20"/>
                <w:szCs w:val="20"/>
                <w:lang w:val="en-US"/>
              </w:rPr>
              <w:t>Food products</w:t>
            </w:r>
          </w:p>
        </w:tc>
        <w:tc>
          <w:tcPr>
            <w:tcW w:w="4247" w:type="dxa"/>
          </w:tcPr>
          <w:p w14:paraId="0DEB8E55" w14:textId="77777777" w:rsidR="006B7863" w:rsidRPr="009450BD" w:rsidRDefault="006B7863" w:rsidP="006B7863">
            <w:pPr>
              <w:jc w:val="center"/>
              <w:rPr>
                <w:rFonts w:ascii="Times New Roman" w:hAnsi="Times New Roman" w:cs="Times New Roman"/>
                <w:sz w:val="20"/>
                <w:szCs w:val="20"/>
                <w:lang w:val="en-US"/>
              </w:rPr>
            </w:pPr>
            <w:r w:rsidRPr="009450BD">
              <w:rPr>
                <w:rFonts w:ascii="Times New Roman" w:hAnsi="Times New Roman" w:cs="Times New Roman"/>
                <w:sz w:val="20"/>
                <w:szCs w:val="20"/>
              </w:rPr>
              <w:t>0,40</w:t>
            </w:r>
            <w:r w:rsidRPr="009450BD">
              <w:rPr>
                <w:rFonts w:ascii="Times New Roman" w:hAnsi="Times New Roman" w:cs="Times New Roman"/>
                <w:sz w:val="20"/>
                <w:szCs w:val="20"/>
                <w:lang w:val="en-US"/>
              </w:rPr>
              <w:t>9</w:t>
            </w:r>
          </w:p>
        </w:tc>
      </w:tr>
      <w:tr w:rsidR="006B7863" w:rsidRPr="009450BD" w14:paraId="599220C3" w14:textId="77777777" w:rsidTr="007B2B9C">
        <w:tc>
          <w:tcPr>
            <w:tcW w:w="4247" w:type="dxa"/>
          </w:tcPr>
          <w:p w14:paraId="027E5A33" w14:textId="77777777" w:rsidR="006B7863" w:rsidRPr="009450BD" w:rsidRDefault="006B7863" w:rsidP="006B7863">
            <w:pPr>
              <w:contextualSpacing/>
              <w:jc w:val="center"/>
              <w:rPr>
                <w:rStyle w:val="a8"/>
                <w:rFonts w:ascii="Times New Roman" w:hAnsi="Times New Roman" w:cs="Times New Roman"/>
                <w:b w:val="0"/>
                <w:sz w:val="20"/>
                <w:szCs w:val="20"/>
                <w:lang w:val="en-US"/>
              </w:rPr>
            </w:pPr>
            <w:r w:rsidRPr="009450BD">
              <w:rPr>
                <w:rStyle w:val="a8"/>
                <w:rFonts w:ascii="Times New Roman" w:hAnsi="Times New Roman" w:cs="Times New Roman"/>
                <w:b w:val="0"/>
                <w:sz w:val="20"/>
                <w:szCs w:val="20"/>
                <w:lang w:val="en-US"/>
              </w:rPr>
              <w:t>Fuels</w:t>
            </w:r>
          </w:p>
        </w:tc>
        <w:tc>
          <w:tcPr>
            <w:tcW w:w="4247" w:type="dxa"/>
          </w:tcPr>
          <w:p w14:paraId="4457061B" w14:textId="77777777" w:rsidR="006B7863" w:rsidRPr="009450BD" w:rsidRDefault="006B7863" w:rsidP="006B7863">
            <w:pPr>
              <w:jc w:val="center"/>
              <w:rPr>
                <w:rFonts w:ascii="Times New Roman" w:hAnsi="Times New Roman" w:cs="Times New Roman"/>
                <w:sz w:val="20"/>
                <w:szCs w:val="20"/>
                <w:lang w:val="en-US"/>
              </w:rPr>
            </w:pPr>
            <w:r w:rsidRPr="009450BD">
              <w:rPr>
                <w:rFonts w:ascii="Times New Roman" w:hAnsi="Times New Roman" w:cs="Times New Roman"/>
                <w:sz w:val="20"/>
                <w:szCs w:val="20"/>
              </w:rPr>
              <w:t>5,86</w:t>
            </w:r>
            <w:r w:rsidRPr="009450BD">
              <w:rPr>
                <w:rFonts w:ascii="Times New Roman" w:hAnsi="Times New Roman" w:cs="Times New Roman"/>
                <w:sz w:val="20"/>
                <w:szCs w:val="20"/>
                <w:lang w:val="en-US"/>
              </w:rPr>
              <w:t>1</w:t>
            </w:r>
          </w:p>
        </w:tc>
      </w:tr>
      <w:tr w:rsidR="006B7863" w:rsidRPr="009450BD" w14:paraId="2ECF1DC3" w14:textId="77777777" w:rsidTr="007B2B9C">
        <w:tc>
          <w:tcPr>
            <w:tcW w:w="4247" w:type="dxa"/>
          </w:tcPr>
          <w:p w14:paraId="55FFB959" w14:textId="77777777" w:rsidR="006B7863" w:rsidRPr="009450BD" w:rsidRDefault="006B7863" w:rsidP="006B7863">
            <w:pPr>
              <w:contextualSpacing/>
              <w:jc w:val="center"/>
              <w:rPr>
                <w:rStyle w:val="a8"/>
                <w:rFonts w:ascii="Times New Roman" w:hAnsi="Times New Roman" w:cs="Times New Roman"/>
                <w:b w:val="0"/>
                <w:sz w:val="20"/>
                <w:szCs w:val="20"/>
                <w:lang w:val="en-US"/>
              </w:rPr>
            </w:pPr>
            <w:r w:rsidRPr="009450BD">
              <w:rPr>
                <w:rStyle w:val="a8"/>
                <w:rFonts w:ascii="Times New Roman" w:hAnsi="Times New Roman" w:cs="Times New Roman"/>
                <w:b w:val="0"/>
                <w:sz w:val="20"/>
                <w:szCs w:val="20"/>
                <w:lang w:val="en-US"/>
              </w:rPr>
              <w:t>Minerals</w:t>
            </w:r>
          </w:p>
        </w:tc>
        <w:tc>
          <w:tcPr>
            <w:tcW w:w="4247" w:type="dxa"/>
          </w:tcPr>
          <w:p w14:paraId="4E76635F" w14:textId="77777777" w:rsidR="006B7863" w:rsidRPr="009450BD" w:rsidRDefault="006B7863" w:rsidP="006B7863">
            <w:pPr>
              <w:jc w:val="center"/>
              <w:rPr>
                <w:rFonts w:ascii="Times New Roman" w:hAnsi="Times New Roman" w:cs="Times New Roman"/>
                <w:sz w:val="20"/>
                <w:szCs w:val="20"/>
              </w:rPr>
            </w:pPr>
            <w:r w:rsidRPr="009450BD">
              <w:rPr>
                <w:rFonts w:ascii="Times New Roman" w:hAnsi="Times New Roman" w:cs="Times New Roman"/>
                <w:sz w:val="20"/>
                <w:szCs w:val="20"/>
              </w:rPr>
              <w:t>1,159</w:t>
            </w:r>
          </w:p>
        </w:tc>
      </w:tr>
      <w:tr w:rsidR="006B7863" w:rsidRPr="00176315" w14:paraId="01A41099" w14:textId="77777777" w:rsidTr="008D772E">
        <w:tc>
          <w:tcPr>
            <w:tcW w:w="8494" w:type="dxa"/>
            <w:gridSpan w:val="2"/>
          </w:tcPr>
          <w:p w14:paraId="5AB58B0B" w14:textId="77777777" w:rsidR="006B7863" w:rsidRPr="009450BD" w:rsidRDefault="006B7863" w:rsidP="006B7863">
            <w:pPr>
              <w:contextualSpacing/>
              <w:jc w:val="both"/>
              <w:rPr>
                <w:rFonts w:ascii="Times New Roman" w:hAnsi="Times New Roman" w:cs="Times New Roman"/>
                <w:sz w:val="20"/>
                <w:szCs w:val="20"/>
                <w:lang w:val="en-US"/>
              </w:rPr>
            </w:pPr>
            <w:r w:rsidRPr="009450BD">
              <w:rPr>
                <w:rFonts w:ascii="Times New Roman" w:hAnsi="Times New Roman" w:cs="Times New Roman"/>
                <w:sz w:val="20"/>
                <w:szCs w:val="20"/>
                <w:lang w:val="en-US"/>
              </w:rPr>
              <w:t xml:space="preserve">Note </w:t>
            </w:r>
            <w:r w:rsidR="003C064B">
              <w:rPr>
                <w:rFonts w:ascii="Times New Roman" w:hAnsi="Times New Roman" w:cs="Times New Roman"/>
                <w:sz w:val="20"/>
                <w:szCs w:val="20"/>
                <w:lang w:val="en-US"/>
              </w:rPr>
              <w:t>–</w:t>
            </w:r>
            <w:r w:rsidRPr="009450BD">
              <w:rPr>
                <w:rFonts w:ascii="Times New Roman" w:hAnsi="Times New Roman" w:cs="Times New Roman"/>
                <w:sz w:val="20"/>
                <w:szCs w:val="20"/>
                <w:lang w:val="en-US"/>
              </w:rPr>
              <w:t xml:space="preserve"> calculated by the authors based on data World Integrated Trade Solution of World Bank, 2017</w:t>
            </w:r>
          </w:p>
        </w:tc>
      </w:tr>
    </w:tbl>
    <w:p w14:paraId="0E1D6AC4" w14:textId="77777777" w:rsidR="007B2B9C" w:rsidRPr="009450BD" w:rsidRDefault="007B2B9C" w:rsidP="007B2B9C">
      <w:pPr>
        <w:spacing w:after="0" w:line="240" w:lineRule="auto"/>
        <w:ind w:firstLine="567"/>
        <w:contextualSpacing/>
        <w:jc w:val="both"/>
        <w:rPr>
          <w:rStyle w:val="a8"/>
          <w:rFonts w:ascii="Times New Roman" w:hAnsi="Times New Roman" w:cs="Times New Roman"/>
          <w:b w:val="0"/>
          <w:sz w:val="20"/>
          <w:szCs w:val="20"/>
          <w:lang w:val="en-US"/>
        </w:rPr>
      </w:pPr>
    </w:p>
    <w:p w14:paraId="1995A8FD" w14:textId="77777777" w:rsidR="003C064B" w:rsidRPr="007C63E7" w:rsidRDefault="003C064B" w:rsidP="003C064B">
      <w:pPr>
        <w:spacing w:after="0" w:line="240" w:lineRule="auto"/>
        <w:ind w:firstLine="567"/>
        <w:contextualSpacing/>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If we consider the integration association as a whole, then the indices are lower than for each country separately. For example, the index in the food products industry of Armenia is 6.19, which is quite a high indicator on a global scale, but as can be seen in table 2, the EAEU does not have a comparative advantage in this industry. This is due to the fact that this indicator does not significantly exceed 1 in any other country except Armenia.</w:t>
      </w:r>
    </w:p>
    <w:p w14:paraId="1D80B157" w14:textId="77777777" w:rsidR="003C064B" w:rsidRPr="007C63E7" w:rsidRDefault="003C064B" w:rsidP="003C064B">
      <w:pPr>
        <w:spacing w:after="0" w:line="240" w:lineRule="auto"/>
        <w:ind w:firstLine="567"/>
        <w:contextualSpacing/>
        <w:jc w:val="both"/>
        <w:rPr>
          <w:rStyle w:val="a8"/>
          <w:rFonts w:ascii="Times New Roman" w:hAnsi="Times New Roman" w:cs="Times New Roman"/>
          <w:b w:val="0"/>
          <w:sz w:val="24"/>
          <w:szCs w:val="24"/>
          <w:lang w:val="en-US"/>
        </w:rPr>
      </w:pPr>
    </w:p>
    <w:p w14:paraId="6D201402" w14:textId="77777777" w:rsidR="003C064B" w:rsidRPr="007C63E7" w:rsidRDefault="003C064B" w:rsidP="003C064B">
      <w:pPr>
        <w:spacing w:after="0" w:line="240" w:lineRule="auto"/>
        <w:ind w:firstLine="567"/>
        <w:contextualSpacing/>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Analyzing tables 1 and 2, it can be noted that the EAEU as a whole has a comparative advantage only in those industries in which 3 or more countries of the association have the advantages, namely, in industries - metals, fuels and minerals.</w:t>
      </w:r>
    </w:p>
    <w:p w14:paraId="2D8AC6FD" w14:textId="77777777" w:rsidR="00BF2062" w:rsidRPr="007C63E7" w:rsidRDefault="003C064B" w:rsidP="003C064B">
      <w:pPr>
        <w:spacing w:after="0" w:line="240" w:lineRule="auto"/>
        <w:ind w:firstLine="567"/>
        <w:contextualSpacing/>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lastRenderedPageBreak/>
        <w:t>Comparative advantages are not a static indicator: some of them weaken over time and can be lost, others are acquired. Actual for each country is the analysis of the dynamics of changes in comparative advantages, which allows you to build a specific strategy for the development of foreign economic relations of the country. Below we consider the dynamics of export revenues in Kazakhstan over the past 10 years (2008-2017).</w:t>
      </w:r>
    </w:p>
    <w:p w14:paraId="4000A8AF" w14:textId="77777777" w:rsidR="00956DFF" w:rsidRPr="007C63E7" w:rsidRDefault="00956DFF" w:rsidP="003C064B">
      <w:pPr>
        <w:spacing w:after="0" w:line="240" w:lineRule="auto"/>
        <w:ind w:firstLine="567"/>
        <w:contextualSpacing/>
        <w:jc w:val="both"/>
        <w:rPr>
          <w:rStyle w:val="a8"/>
          <w:rFonts w:ascii="Times New Roman" w:hAnsi="Times New Roman" w:cs="Times New Roman"/>
          <w:b w:val="0"/>
          <w:sz w:val="24"/>
          <w:szCs w:val="24"/>
          <w:lang w:val="en-US"/>
        </w:rPr>
      </w:pPr>
    </w:p>
    <w:p w14:paraId="74542B12" w14:textId="77777777" w:rsidR="00623CAE" w:rsidRPr="009450BD" w:rsidRDefault="00BF2062" w:rsidP="00BF2062">
      <w:pPr>
        <w:spacing w:after="0" w:line="240" w:lineRule="auto"/>
        <w:contextualSpacing/>
        <w:jc w:val="both"/>
        <w:rPr>
          <w:noProof/>
          <w:sz w:val="20"/>
          <w:szCs w:val="20"/>
          <w:lang w:eastAsia="ru-RU"/>
        </w:rPr>
      </w:pPr>
      <w:r w:rsidRPr="009450BD">
        <w:rPr>
          <w:noProof/>
          <w:sz w:val="20"/>
          <w:szCs w:val="20"/>
          <w:lang w:eastAsia="ru-RU"/>
        </w:rPr>
        <w:drawing>
          <wp:inline distT="0" distB="0" distL="0" distR="0" wp14:anchorId="6D1133D3" wp14:editId="47FE0D6E">
            <wp:extent cx="2705100" cy="14382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450BD">
        <w:rPr>
          <w:noProof/>
          <w:sz w:val="20"/>
          <w:szCs w:val="20"/>
          <w:lang w:eastAsia="ru-RU"/>
        </w:rPr>
        <w:t xml:space="preserve"> </w:t>
      </w:r>
      <w:r w:rsidRPr="009450BD">
        <w:rPr>
          <w:noProof/>
          <w:sz w:val="20"/>
          <w:szCs w:val="20"/>
          <w:lang w:eastAsia="ru-RU"/>
        </w:rPr>
        <w:drawing>
          <wp:inline distT="0" distB="0" distL="0" distR="0" wp14:anchorId="7855FE76" wp14:editId="160FFC57">
            <wp:extent cx="2647950" cy="14382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054826" w14:textId="77777777" w:rsidR="00BF2062" w:rsidRPr="009450BD" w:rsidRDefault="00BF2062" w:rsidP="00BF2062">
      <w:pPr>
        <w:spacing w:after="0" w:line="240" w:lineRule="auto"/>
        <w:contextualSpacing/>
        <w:jc w:val="center"/>
        <w:rPr>
          <w:rStyle w:val="a8"/>
          <w:rFonts w:ascii="Times New Roman" w:hAnsi="Times New Roman" w:cs="Times New Roman"/>
          <w:b w:val="0"/>
          <w:sz w:val="20"/>
          <w:szCs w:val="20"/>
        </w:rPr>
      </w:pPr>
      <w:r w:rsidRPr="009450BD">
        <w:rPr>
          <w:noProof/>
          <w:sz w:val="20"/>
          <w:szCs w:val="20"/>
          <w:lang w:eastAsia="ru-RU"/>
        </w:rPr>
        <w:drawing>
          <wp:inline distT="0" distB="0" distL="0" distR="0" wp14:anchorId="7E5058AA" wp14:editId="6B666166">
            <wp:extent cx="2705100" cy="16383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ADC853" w14:textId="77777777" w:rsidR="00BF2062" w:rsidRPr="009450BD" w:rsidRDefault="00BF2062" w:rsidP="00BF2062">
      <w:pPr>
        <w:spacing w:after="0" w:line="240" w:lineRule="auto"/>
        <w:contextualSpacing/>
        <w:jc w:val="center"/>
        <w:rPr>
          <w:rStyle w:val="a8"/>
          <w:rFonts w:ascii="Times New Roman" w:hAnsi="Times New Roman" w:cs="Times New Roman"/>
          <w:b w:val="0"/>
          <w:sz w:val="20"/>
          <w:szCs w:val="20"/>
        </w:rPr>
      </w:pPr>
    </w:p>
    <w:p w14:paraId="12EAEEEC" w14:textId="4F37B1B2" w:rsidR="00956DFF" w:rsidRPr="007C63E7" w:rsidRDefault="008A7020" w:rsidP="0002712B">
      <w:pPr>
        <w:spacing w:after="0" w:line="240" w:lineRule="auto"/>
        <w:contextualSpacing/>
        <w:jc w:val="center"/>
        <w:rPr>
          <w:rStyle w:val="a8"/>
          <w:rFonts w:ascii="Times New Roman" w:hAnsi="Times New Roman" w:cs="Times New Roman"/>
          <w:b w:val="0"/>
          <w:sz w:val="24"/>
          <w:szCs w:val="24"/>
          <w:lang w:val="en-US"/>
        </w:rPr>
      </w:pPr>
      <w:proofErr w:type="gramStart"/>
      <w:r w:rsidRPr="007C63E7">
        <w:rPr>
          <w:rStyle w:val="a8"/>
          <w:rFonts w:ascii="Times New Roman" w:hAnsi="Times New Roman" w:cs="Times New Roman"/>
          <w:b w:val="0"/>
          <w:sz w:val="24"/>
          <w:szCs w:val="24"/>
          <w:lang w:val="en-US"/>
        </w:rPr>
        <w:t>Figure 3</w:t>
      </w:r>
      <w:r w:rsidR="007C63E7" w:rsidRPr="007C63E7">
        <w:rPr>
          <w:rStyle w:val="a8"/>
          <w:rFonts w:ascii="Times New Roman" w:hAnsi="Times New Roman" w:cs="Times New Roman"/>
          <w:b w:val="0"/>
          <w:sz w:val="24"/>
          <w:szCs w:val="24"/>
          <w:lang w:val="en-US"/>
        </w:rPr>
        <w:t>.</w:t>
      </w:r>
      <w:proofErr w:type="gramEnd"/>
      <w:r w:rsidR="007C63E7" w:rsidRPr="007C63E7">
        <w:rPr>
          <w:rStyle w:val="a8"/>
          <w:rFonts w:ascii="Times New Roman" w:hAnsi="Times New Roman" w:cs="Times New Roman"/>
          <w:b w:val="0"/>
          <w:sz w:val="24"/>
          <w:szCs w:val="24"/>
          <w:lang w:val="en-US"/>
        </w:rPr>
        <w:t xml:space="preserve"> </w:t>
      </w:r>
      <w:r w:rsidR="00956DFF" w:rsidRPr="007C63E7">
        <w:rPr>
          <w:rStyle w:val="a8"/>
          <w:rFonts w:ascii="Times New Roman" w:hAnsi="Times New Roman" w:cs="Times New Roman"/>
          <w:b w:val="0"/>
          <w:sz w:val="24"/>
          <w:szCs w:val="24"/>
          <w:lang w:val="en-US"/>
        </w:rPr>
        <w:t xml:space="preserve">Dynamics of export revenues of Kazakhstan’s industries with no comparative advantage for 2008-2017, </w:t>
      </w:r>
      <w:proofErr w:type="spellStart"/>
      <w:r w:rsidR="00956DFF" w:rsidRPr="007C63E7">
        <w:rPr>
          <w:rStyle w:val="a8"/>
          <w:rFonts w:ascii="Times New Roman" w:hAnsi="Times New Roman" w:cs="Times New Roman"/>
          <w:b w:val="0"/>
          <w:sz w:val="24"/>
          <w:szCs w:val="24"/>
          <w:lang w:val="en-US"/>
        </w:rPr>
        <w:t>mln</w:t>
      </w:r>
      <w:proofErr w:type="spellEnd"/>
      <w:r w:rsidR="00956DFF" w:rsidRPr="007C63E7">
        <w:rPr>
          <w:rStyle w:val="a8"/>
          <w:rFonts w:ascii="Times New Roman" w:hAnsi="Times New Roman" w:cs="Times New Roman"/>
          <w:b w:val="0"/>
          <w:sz w:val="24"/>
          <w:szCs w:val="24"/>
          <w:lang w:val="en-US"/>
        </w:rPr>
        <w:t xml:space="preserve"> dollars</w:t>
      </w:r>
    </w:p>
    <w:p w14:paraId="59DC943F" w14:textId="77777777" w:rsidR="003015D4" w:rsidRPr="009450BD" w:rsidRDefault="003015D4" w:rsidP="0002712B">
      <w:pPr>
        <w:spacing w:after="0" w:line="240" w:lineRule="auto"/>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t>Source: World Integrated Trade Solution of World Bank, 2008-2017</w:t>
      </w:r>
    </w:p>
    <w:p w14:paraId="7E301DC8" w14:textId="77777777" w:rsidR="003015D4" w:rsidRPr="009450BD" w:rsidRDefault="003015D4" w:rsidP="003015D4">
      <w:pPr>
        <w:spacing w:after="0" w:line="240" w:lineRule="auto"/>
        <w:ind w:firstLine="567"/>
        <w:contextualSpacing/>
        <w:jc w:val="center"/>
        <w:rPr>
          <w:rFonts w:ascii="Times New Roman" w:hAnsi="Times New Roman" w:cs="Times New Roman"/>
          <w:sz w:val="20"/>
          <w:szCs w:val="20"/>
          <w:lang w:val="en-US"/>
        </w:rPr>
      </w:pPr>
    </w:p>
    <w:p w14:paraId="16F38D40" w14:textId="77777777" w:rsidR="003015D4" w:rsidRPr="009450BD" w:rsidRDefault="003015D4" w:rsidP="003015D4">
      <w:pPr>
        <w:spacing w:after="0" w:line="240" w:lineRule="auto"/>
        <w:contextualSpacing/>
        <w:jc w:val="center"/>
        <w:rPr>
          <w:rFonts w:ascii="Times New Roman" w:hAnsi="Times New Roman" w:cs="Times New Roman"/>
          <w:sz w:val="20"/>
          <w:szCs w:val="20"/>
          <w:lang w:val="en-US"/>
        </w:rPr>
      </w:pPr>
      <w:r w:rsidRPr="009450BD">
        <w:rPr>
          <w:noProof/>
          <w:sz w:val="20"/>
          <w:szCs w:val="20"/>
          <w:lang w:eastAsia="ru-RU"/>
        </w:rPr>
        <w:drawing>
          <wp:inline distT="0" distB="0" distL="0" distR="0" wp14:anchorId="51B378C5" wp14:editId="6D2CFB00">
            <wp:extent cx="2676525" cy="14668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450BD">
        <w:rPr>
          <w:noProof/>
          <w:sz w:val="20"/>
          <w:szCs w:val="20"/>
          <w:lang w:eastAsia="ru-RU"/>
        </w:rPr>
        <w:drawing>
          <wp:inline distT="0" distB="0" distL="0" distR="0" wp14:anchorId="71A61C3E" wp14:editId="0C96706F">
            <wp:extent cx="2667000" cy="14668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450BD">
        <w:rPr>
          <w:noProof/>
          <w:sz w:val="20"/>
          <w:szCs w:val="20"/>
          <w:lang w:eastAsia="ru-RU"/>
        </w:rPr>
        <w:drawing>
          <wp:inline distT="0" distB="0" distL="0" distR="0" wp14:anchorId="02641A2F" wp14:editId="554D37F8">
            <wp:extent cx="2676525" cy="14097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7E9304" w14:textId="77777777" w:rsidR="00956DFF" w:rsidRDefault="00956DFF" w:rsidP="0002712B">
      <w:pPr>
        <w:spacing w:after="0" w:line="240" w:lineRule="auto"/>
        <w:contextualSpacing/>
        <w:jc w:val="center"/>
        <w:rPr>
          <w:rStyle w:val="a8"/>
          <w:rFonts w:ascii="Times New Roman" w:hAnsi="Times New Roman" w:cs="Times New Roman"/>
          <w:b w:val="0"/>
          <w:sz w:val="20"/>
          <w:szCs w:val="20"/>
          <w:lang w:val="en-US"/>
        </w:rPr>
      </w:pPr>
    </w:p>
    <w:p w14:paraId="4ADAADDC" w14:textId="2A114CF9" w:rsidR="00956DFF" w:rsidRPr="007C63E7" w:rsidRDefault="007C63E7" w:rsidP="0002712B">
      <w:pPr>
        <w:spacing w:after="0" w:line="240" w:lineRule="auto"/>
        <w:contextualSpacing/>
        <w:jc w:val="center"/>
        <w:rPr>
          <w:rStyle w:val="a8"/>
          <w:rFonts w:ascii="Times New Roman" w:hAnsi="Times New Roman" w:cs="Times New Roman"/>
          <w:b w:val="0"/>
          <w:sz w:val="24"/>
          <w:szCs w:val="24"/>
          <w:lang w:val="en-US"/>
        </w:rPr>
      </w:pPr>
      <w:proofErr w:type="gramStart"/>
      <w:r w:rsidRPr="007C63E7">
        <w:rPr>
          <w:rStyle w:val="a8"/>
          <w:rFonts w:ascii="Times New Roman" w:hAnsi="Times New Roman" w:cs="Times New Roman"/>
          <w:b w:val="0"/>
          <w:sz w:val="24"/>
          <w:szCs w:val="24"/>
          <w:lang w:val="en-US"/>
        </w:rPr>
        <w:t>Figure 4.</w:t>
      </w:r>
      <w:proofErr w:type="gramEnd"/>
      <w:r w:rsidR="00956DFF" w:rsidRPr="007C63E7">
        <w:rPr>
          <w:rStyle w:val="a8"/>
          <w:rFonts w:ascii="Times New Roman" w:hAnsi="Times New Roman" w:cs="Times New Roman"/>
          <w:b w:val="0"/>
          <w:sz w:val="24"/>
          <w:szCs w:val="24"/>
          <w:lang w:val="en-US"/>
        </w:rPr>
        <w:t xml:space="preserve"> Dynamics of export revenues of Kazakhstan’s industries with a comparative advantage for 2008-2017, </w:t>
      </w:r>
      <w:proofErr w:type="spellStart"/>
      <w:r w:rsidR="00956DFF" w:rsidRPr="007C63E7">
        <w:rPr>
          <w:rStyle w:val="a8"/>
          <w:rFonts w:ascii="Times New Roman" w:hAnsi="Times New Roman" w:cs="Times New Roman"/>
          <w:b w:val="0"/>
          <w:sz w:val="24"/>
          <w:szCs w:val="24"/>
          <w:lang w:val="en-US"/>
        </w:rPr>
        <w:t>mln</w:t>
      </w:r>
      <w:proofErr w:type="spellEnd"/>
      <w:r w:rsidR="00956DFF" w:rsidRPr="007C63E7">
        <w:rPr>
          <w:rStyle w:val="a8"/>
          <w:rFonts w:ascii="Times New Roman" w:hAnsi="Times New Roman" w:cs="Times New Roman"/>
          <w:b w:val="0"/>
          <w:sz w:val="24"/>
          <w:szCs w:val="24"/>
          <w:lang w:val="en-US"/>
        </w:rPr>
        <w:t xml:space="preserve"> dollars</w:t>
      </w:r>
    </w:p>
    <w:p w14:paraId="424CAD9C" w14:textId="77777777" w:rsidR="0002712B" w:rsidRPr="009450BD" w:rsidRDefault="0002712B" w:rsidP="0002712B">
      <w:pPr>
        <w:spacing w:after="0" w:line="240" w:lineRule="auto"/>
        <w:contextualSpacing/>
        <w:jc w:val="center"/>
        <w:rPr>
          <w:rFonts w:ascii="Times New Roman" w:hAnsi="Times New Roman" w:cs="Times New Roman"/>
          <w:sz w:val="20"/>
          <w:szCs w:val="20"/>
          <w:lang w:val="en-US"/>
        </w:rPr>
      </w:pPr>
      <w:r w:rsidRPr="009450BD">
        <w:rPr>
          <w:rFonts w:ascii="Times New Roman" w:hAnsi="Times New Roman" w:cs="Times New Roman"/>
          <w:sz w:val="20"/>
          <w:szCs w:val="20"/>
          <w:lang w:val="en-US"/>
        </w:rPr>
        <w:lastRenderedPageBreak/>
        <w:t>Source: World Integrated Trade Solution of World Bank, 2008-2017</w:t>
      </w:r>
    </w:p>
    <w:p w14:paraId="12AD079A" w14:textId="77777777" w:rsidR="0002712B" w:rsidRPr="009450BD" w:rsidRDefault="0002712B" w:rsidP="0002712B">
      <w:pPr>
        <w:spacing w:after="0" w:line="240" w:lineRule="auto"/>
        <w:contextualSpacing/>
        <w:jc w:val="center"/>
        <w:rPr>
          <w:rFonts w:ascii="Times New Roman" w:hAnsi="Times New Roman" w:cs="Times New Roman"/>
          <w:sz w:val="20"/>
          <w:szCs w:val="20"/>
          <w:lang w:val="en-US"/>
        </w:rPr>
      </w:pPr>
    </w:p>
    <w:p w14:paraId="13094ED4" w14:textId="77777777" w:rsidR="00956DFF" w:rsidRPr="007C63E7" w:rsidRDefault="00956DFF" w:rsidP="00956DFF">
      <w:pPr>
        <w:spacing w:after="0" w:line="240" w:lineRule="auto"/>
        <w:ind w:firstLine="567"/>
        <w:contextualSpacing/>
        <w:jc w:val="both"/>
        <w:rPr>
          <w:rFonts w:ascii="Times New Roman" w:hAnsi="Times New Roman" w:cs="Times New Roman"/>
          <w:sz w:val="24"/>
          <w:szCs w:val="24"/>
          <w:lang w:val="en-US"/>
        </w:rPr>
      </w:pPr>
      <w:r w:rsidRPr="007C63E7">
        <w:rPr>
          <w:rFonts w:ascii="Times New Roman" w:hAnsi="Times New Roman" w:cs="Times New Roman"/>
          <w:sz w:val="24"/>
          <w:szCs w:val="24"/>
          <w:lang w:val="en-US"/>
        </w:rPr>
        <w:t xml:space="preserve">Figures 3 and 4 </w:t>
      </w:r>
      <w:proofErr w:type="gramStart"/>
      <w:r w:rsidRPr="007C63E7">
        <w:rPr>
          <w:rFonts w:ascii="Times New Roman" w:hAnsi="Times New Roman" w:cs="Times New Roman"/>
          <w:sz w:val="24"/>
          <w:szCs w:val="24"/>
          <w:lang w:val="en-US"/>
        </w:rPr>
        <w:t>show</w:t>
      </w:r>
      <w:proofErr w:type="gramEnd"/>
      <w:r w:rsidRPr="007C63E7">
        <w:rPr>
          <w:rFonts w:ascii="Times New Roman" w:hAnsi="Times New Roman" w:cs="Times New Roman"/>
          <w:sz w:val="24"/>
          <w:szCs w:val="24"/>
          <w:lang w:val="en-US"/>
        </w:rPr>
        <w:t xml:space="preserve"> the effect of global economic crises on the economy of Kazakhstan. For example, after the crisis of 2008, in all industries of Kazakhstan in 2009, a sharp decline in revenues from exports of products is noticeable. Then, the export volume gradually increases and reaches a peak in 2011-2012, and in 2015, a sharp decline not only in exports, but also in the entire economy of Kazakhstan as a whole, is noticeable, which is associated with a rapid fall in the world oil price and devaluation of the national currency. It is worth noting that in 2016-2017 the situation is gradually leveling, and the export of industries with a comparative advantage is gradually approaching the level of 10 years ago.</w:t>
      </w:r>
    </w:p>
    <w:p w14:paraId="6721D11D" w14:textId="77777777" w:rsidR="00956DFF" w:rsidRPr="007C63E7" w:rsidRDefault="00956DFF" w:rsidP="00956DFF">
      <w:pPr>
        <w:spacing w:after="0" w:line="240" w:lineRule="auto"/>
        <w:ind w:firstLine="567"/>
        <w:contextualSpacing/>
        <w:jc w:val="both"/>
        <w:rPr>
          <w:rFonts w:ascii="Times New Roman" w:hAnsi="Times New Roman" w:cs="Times New Roman"/>
          <w:sz w:val="24"/>
          <w:szCs w:val="24"/>
          <w:lang w:val="en-US"/>
        </w:rPr>
      </w:pPr>
    </w:p>
    <w:p w14:paraId="176024EC" w14:textId="77777777" w:rsidR="00BF2062" w:rsidRPr="007C63E7" w:rsidRDefault="00956DFF" w:rsidP="00956DFF">
      <w:pPr>
        <w:spacing w:after="0" w:line="240" w:lineRule="auto"/>
        <w:ind w:firstLine="567"/>
        <w:contextualSpacing/>
        <w:jc w:val="both"/>
        <w:rPr>
          <w:rFonts w:ascii="Times New Roman" w:hAnsi="Times New Roman" w:cs="Times New Roman"/>
          <w:sz w:val="24"/>
          <w:szCs w:val="24"/>
          <w:lang w:val="en-US"/>
        </w:rPr>
      </w:pPr>
      <w:r w:rsidRPr="007C63E7">
        <w:rPr>
          <w:rFonts w:ascii="Times New Roman" w:hAnsi="Times New Roman" w:cs="Times New Roman"/>
          <w:sz w:val="24"/>
          <w:szCs w:val="24"/>
          <w:lang w:val="en-US"/>
        </w:rPr>
        <w:t>However, all these fluctuations and shocks did not affect the indicators of the index of the revealed comparative advantage of the export of these industries (table 3).</w:t>
      </w:r>
    </w:p>
    <w:p w14:paraId="5E752DFA" w14:textId="77777777" w:rsidR="00956DFF" w:rsidRPr="007C63E7" w:rsidRDefault="00956DFF" w:rsidP="00956DFF">
      <w:pPr>
        <w:spacing w:after="0" w:line="240" w:lineRule="auto"/>
        <w:ind w:firstLine="567"/>
        <w:contextualSpacing/>
        <w:jc w:val="both"/>
        <w:rPr>
          <w:rStyle w:val="a8"/>
          <w:rFonts w:ascii="Times New Roman" w:hAnsi="Times New Roman" w:cs="Times New Roman"/>
          <w:b w:val="0"/>
          <w:bCs w:val="0"/>
          <w:sz w:val="24"/>
          <w:szCs w:val="24"/>
          <w:lang w:val="en-US"/>
        </w:rPr>
      </w:pPr>
    </w:p>
    <w:p w14:paraId="5071AB28" w14:textId="25EC7835" w:rsidR="00E94F36" w:rsidRPr="007C63E7" w:rsidRDefault="008A7020" w:rsidP="00956DFF">
      <w:pPr>
        <w:spacing w:after="0" w:line="240" w:lineRule="auto"/>
        <w:ind w:firstLine="567"/>
        <w:contextualSpacing/>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Table 3:</w:t>
      </w:r>
      <w:r w:rsidR="00956DFF" w:rsidRPr="007C63E7">
        <w:rPr>
          <w:rStyle w:val="a8"/>
          <w:rFonts w:ascii="Times New Roman" w:hAnsi="Times New Roman" w:cs="Times New Roman"/>
          <w:b w:val="0"/>
          <w:sz w:val="24"/>
          <w:szCs w:val="24"/>
          <w:lang w:val="en-US"/>
        </w:rPr>
        <w:t xml:space="preserve"> Index of revealed comparative advantage of Kazakhstan’s industries for 2008-2017</w:t>
      </w:r>
    </w:p>
    <w:tbl>
      <w:tblPr>
        <w:tblStyle w:val="ab"/>
        <w:tblW w:w="0" w:type="auto"/>
        <w:tblLook w:val="04A0" w:firstRow="1" w:lastRow="0" w:firstColumn="1" w:lastColumn="0" w:noHBand="0" w:noVBand="1"/>
      </w:tblPr>
      <w:tblGrid>
        <w:gridCol w:w="1345"/>
        <w:gridCol w:w="1230"/>
        <w:gridCol w:w="1256"/>
        <w:gridCol w:w="1155"/>
        <w:gridCol w:w="1185"/>
        <w:gridCol w:w="1133"/>
        <w:gridCol w:w="1190"/>
      </w:tblGrid>
      <w:tr w:rsidR="00F004B0" w:rsidRPr="009450BD" w14:paraId="67E9EF03" w14:textId="77777777" w:rsidTr="00F004B0">
        <w:tc>
          <w:tcPr>
            <w:tcW w:w="1345" w:type="dxa"/>
            <w:tcBorders>
              <w:tl2br w:val="single" w:sz="4" w:space="0" w:color="auto"/>
            </w:tcBorders>
          </w:tcPr>
          <w:p w14:paraId="33C0077B" w14:textId="77777777" w:rsidR="00E94F36" w:rsidRPr="007C63E7" w:rsidRDefault="00F004B0" w:rsidP="00E94F36">
            <w:pPr>
              <w:contextualSpacing/>
              <w:jc w:val="both"/>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 xml:space="preserve">     Industry</w:t>
            </w:r>
          </w:p>
          <w:p w14:paraId="68EBCD60" w14:textId="77777777" w:rsidR="00F004B0" w:rsidRPr="007C63E7" w:rsidRDefault="00F004B0" w:rsidP="00E94F36">
            <w:pPr>
              <w:contextualSpacing/>
              <w:jc w:val="both"/>
              <w:rPr>
                <w:rStyle w:val="a8"/>
                <w:rFonts w:ascii="Times New Roman" w:hAnsi="Times New Roman" w:cs="Times New Roman"/>
                <w:sz w:val="20"/>
                <w:szCs w:val="20"/>
              </w:rPr>
            </w:pPr>
          </w:p>
          <w:p w14:paraId="3932D7F5" w14:textId="77777777" w:rsidR="00F004B0" w:rsidRPr="007C63E7" w:rsidRDefault="00F004B0" w:rsidP="00E94F36">
            <w:pPr>
              <w:contextualSpacing/>
              <w:jc w:val="both"/>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Year</w:t>
            </w:r>
          </w:p>
        </w:tc>
        <w:tc>
          <w:tcPr>
            <w:tcW w:w="1230" w:type="dxa"/>
          </w:tcPr>
          <w:p w14:paraId="6E93A40C" w14:textId="77777777" w:rsidR="00E94F36" w:rsidRPr="007C63E7" w:rsidRDefault="00F004B0" w:rsidP="00F004B0">
            <w:pPr>
              <w:contextualSpacing/>
              <w:jc w:val="center"/>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Chemicals</w:t>
            </w:r>
          </w:p>
        </w:tc>
        <w:tc>
          <w:tcPr>
            <w:tcW w:w="1256" w:type="dxa"/>
          </w:tcPr>
          <w:p w14:paraId="31095C97" w14:textId="77777777" w:rsidR="00E94F36" w:rsidRPr="007C63E7" w:rsidRDefault="00F004B0" w:rsidP="00F004B0">
            <w:pPr>
              <w:contextualSpacing/>
              <w:jc w:val="center"/>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Machinery and transport equipment</w:t>
            </w:r>
          </w:p>
        </w:tc>
        <w:tc>
          <w:tcPr>
            <w:tcW w:w="1155" w:type="dxa"/>
          </w:tcPr>
          <w:p w14:paraId="4F31ECFD" w14:textId="77777777" w:rsidR="00E94F36" w:rsidRPr="007C63E7" w:rsidRDefault="00F004B0" w:rsidP="00F004B0">
            <w:pPr>
              <w:contextualSpacing/>
              <w:jc w:val="center"/>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Metals</w:t>
            </w:r>
          </w:p>
        </w:tc>
        <w:tc>
          <w:tcPr>
            <w:tcW w:w="1185" w:type="dxa"/>
          </w:tcPr>
          <w:p w14:paraId="495D8179" w14:textId="77777777" w:rsidR="00E94F36" w:rsidRPr="007C63E7" w:rsidRDefault="00F004B0" w:rsidP="00F004B0">
            <w:pPr>
              <w:contextualSpacing/>
              <w:jc w:val="center"/>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Food products</w:t>
            </w:r>
          </w:p>
        </w:tc>
        <w:tc>
          <w:tcPr>
            <w:tcW w:w="1133" w:type="dxa"/>
          </w:tcPr>
          <w:p w14:paraId="233CD773" w14:textId="77777777" w:rsidR="00E94F36" w:rsidRPr="007C63E7" w:rsidRDefault="00F004B0" w:rsidP="00F004B0">
            <w:pPr>
              <w:contextualSpacing/>
              <w:jc w:val="center"/>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Fuels</w:t>
            </w:r>
          </w:p>
        </w:tc>
        <w:tc>
          <w:tcPr>
            <w:tcW w:w="1190" w:type="dxa"/>
          </w:tcPr>
          <w:p w14:paraId="70221E1B" w14:textId="77777777" w:rsidR="00E94F36" w:rsidRPr="007C63E7" w:rsidRDefault="00F004B0" w:rsidP="00F004B0">
            <w:pPr>
              <w:contextualSpacing/>
              <w:jc w:val="center"/>
              <w:rPr>
                <w:rStyle w:val="a8"/>
                <w:rFonts w:ascii="Times New Roman" w:hAnsi="Times New Roman" w:cs="Times New Roman"/>
                <w:sz w:val="20"/>
                <w:szCs w:val="20"/>
                <w:lang w:val="en-US"/>
              </w:rPr>
            </w:pPr>
            <w:r w:rsidRPr="007C63E7">
              <w:rPr>
                <w:rStyle w:val="a8"/>
                <w:rFonts w:ascii="Times New Roman" w:hAnsi="Times New Roman" w:cs="Times New Roman"/>
                <w:sz w:val="20"/>
                <w:szCs w:val="20"/>
                <w:lang w:val="en-US"/>
              </w:rPr>
              <w:t>Minerals</w:t>
            </w:r>
          </w:p>
        </w:tc>
      </w:tr>
      <w:tr w:rsidR="00F004B0" w:rsidRPr="009450BD" w14:paraId="28F54553" w14:textId="77777777" w:rsidTr="00A57B33">
        <w:tc>
          <w:tcPr>
            <w:tcW w:w="1345" w:type="dxa"/>
            <w:vAlign w:val="bottom"/>
          </w:tcPr>
          <w:p w14:paraId="14833403"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2008</w:t>
            </w:r>
          </w:p>
        </w:tc>
        <w:tc>
          <w:tcPr>
            <w:tcW w:w="1230" w:type="dxa"/>
            <w:vAlign w:val="bottom"/>
          </w:tcPr>
          <w:p w14:paraId="086F1C7A"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0,383</w:t>
            </w:r>
          </w:p>
        </w:tc>
        <w:tc>
          <w:tcPr>
            <w:tcW w:w="1256" w:type="dxa"/>
            <w:vAlign w:val="bottom"/>
          </w:tcPr>
          <w:p w14:paraId="29A42F71" w14:textId="77777777" w:rsidR="00F004B0" w:rsidRPr="009450BD" w:rsidRDefault="00F004B0" w:rsidP="00F004B0">
            <w:pPr>
              <w:jc w:val="center"/>
              <w:rPr>
                <w:rFonts w:ascii="Times New Roman" w:hAnsi="Times New Roman" w:cs="Times New Roman"/>
                <w:color w:val="000000"/>
                <w:sz w:val="20"/>
                <w:szCs w:val="20"/>
                <w:lang w:val="en-US"/>
              </w:rPr>
            </w:pPr>
            <w:r w:rsidRPr="009450BD">
              <w:rPr>
                <w:rFonts w:ascii="Times New Roman" w:hAnsi="Times New Roman" w:cs="Times New Roman"/>
                <w:color w:val="000000"/>
                <w:sz w:val="20"/>
                <w:szCs w:val="20"/>
              </w:rPr>
              <w:t>0,05</w:t>
            </w:r>
            <w:r w:rsidRPr="009450BD">
              <w:rPr>
                <w:rFonts w:ascii="Times New Roman" w:hAnsi="Times New Roman" w:cs="Times New Roman"/>
                <w:color w:val="000000"/>
                <w:sz w:val="20"/>
                <w:szCs w:val="20"/>
                <w:lang w:val="en-US"/>
              </w:rPr>
              <w:t>0</w:t>
            </w:r>
          </w:p>
        </w:tc>
        <w:tc>
          <w:tcPr>
            <w:tcW w:w="1155" w:type="dxa"/>
            <w:vAlign w:val="bottom"/>
          </w:tcPr>
          <w:p w14:paraId="1ABCC198"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1,849</w:t>
            </w:r>
          </w:p>
        </w:tc>
        <w:tc>
          <w:tcPr>
            <w:tcW w:w="1185" w:type="dxa"/>
            <w:vAlign w:val="bottom"/>
          </w:tcPr>
          <w:p w14:paraId="565B98E4" w14:textId="77777777" w:rsidR="00F004B0" w:rsidRPr="009450BD" w:rsidRDefault="00F004B0" w:rsidP="00F004B0">
            <w:pPr>
              <w:jc w:val="center"/>
              <w:rPr>
                <w:rFonts w:ascii="Times New Roman" w:hAnsi="Times New Roman" w:cs="Times New Roman"/>
                <w:color w:val="000000"/>
                <w:sz w:val="20"/>
                <w:szCs w:val="20"/>
                <w:lang w:val="en-US"/>
              </w:rPr>
            </w:pPr>
            <w:r w:rsidRPr="009450BD">
              <w:rPr>
                <w:rFonts w:ascii="Times New Roman" w:hAnsi="Times New Roman" w:cs="Times New Roman"/>
                <w:color w:val="000000"/>
                <w:sz w:val="20"/>
                <w:szCs w:val="20"/>
              </w:rPr>
              <w:t>0,09</w:t>
            </w:r>
            <w:r w:rsidRPr="009450BD">
              <w:rPr>
                <w:rFonts w:ascii="Times New Roman" w:hAnsi="Times New Roman" w:cs="Times New Roman"/>
                <w:color w:val="000000"/>
                <w:sz w:val="20"/>
                <w:szCs w:val="20"/>
                <w:lang w:val="en-US"/>
              </w:rPr>
              <w:t>8</w:t>
            </w:r>
          </w:p>
        </w:tc>
        <w:tc>
          <w:tcPr>
            <w:tcW w:w="1133" w:type="dxa"/>
            <w:vAlign w:val="bottom"/>
          </w:tcPr>
          <w:p w14:paraId="13055745"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4,575</w:t>
            </w:r>
          </w:p>
        </w:tc>
        <w:tc>
          <w:tcPr>
            <w:tcW w:w="1190" w:type="dxa"/>
            <w:vAlign w:val="bottom"/>
          </w:tcPr>
          <w:p w14:paraId="4EF1AFE2" w14:textId="77777777" w:rsidR="00F004B0" w:rsidRPr="009450BD" w:rsidRDefault="00F004B0" w:rsidP="00F004B0">
            <w:pPr>
              <w:jc w:val="center"/>
              <w:rPr>
                <w:rFonts w:ascii="Times New Roman" w:hAnsi="Times New Roman" w:cs="Times New Roman"/>
                <w:color w:val="000000"/>
                <w:sz w:val="20"/>
                <w:szCs w:val="20"/>
                <w:lang w:val="en-US"/>
              </w:rPr>
            </w:pPr>
            <w:r w:rsidRPr="009450BD">
              <w:rPr>
                <w:rFonts w:ascii="Times New Roman" w:hAnsi="Times New Roman" w:cs="Times New Roman"/>
                <w:color w:val="000000"/>
                <w:sz w:val="20"/>
                <w:szCs w:val="20"/>
              </w:rPr>
              <w:t>4,01</w:t>
            </w:r>
            <w:r w:rsidRPr="009450BD">
              <w:rPr>
                <w:rFonts w:ascii="Times New Roman" w:hAnsi="Times New Roman" w:cs="Times New Roman"/>
                <w:color w:val="000000"/>
                <w:sz w:val="20"/>
                <w:szCs w:val="20"/>
                <w:lang w:val="en-US"/>
              </w:rPr>
              <w:t>5</w:t>
            </w:r>
          </w:p>
        </w:tc>
      </w:tr>
      <w:tr w:rsidR="00F004B0" w:rsidRPr="009450BD" w14:paraId="411BEB27" w14:textId="77777777" w:rsidTr="004C1C12">
        <w:tc>
          <w:tcPr>
            <w:tcW w:w="1345" w:type="dxa"/>
            <w:vAlign w:val="bottom"/>
          </w:tcPr>
          <w:p w14:paraId="64713AEC"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2009</w:t>
            </w:r>
          </w:p>
        </w:tc>
        <w:tc>
          <w:tcPr>
            <w:tcW w:w="1230" w:type="dxa"/>
            <w:vAlign w:val="bottom"/>
          </w:tcPr>
          <w:p w14:paraId="66EE4B4B"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0,512</w:t>
            </w:r>
          </w:p>
        </w:tc>
        <w:tc>
          <w:tcPr>
            <w:tcW w:w="1256" w:type="dxa"/>
            <w:vAlign w:val="bottom"/>
          </w:tcPr>
          <w:p w14:paraId="5ECB7B19"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0,027</w:t>
            </w:r>
          </w:p>
        </w:tc>
        <w:tc>
          <w:tcPr>
            <w:tcW w:w="1155" w:type="dxa"/>
            <w:vAlign w:val="bottom"/>
          </w:tcPr>
          <w:p w14:paraId="3F3E5BC7"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1,864</w:t>
            </w:r>
          </w:p>
        </w:tc>
        <w:tc>
          <w:tcPr>
            <w:tcW w:w="1185" w:type="dxa"/>
            <w:vAlign w:val="bottom"/>
          </w:tcPr>
          <w:p w14:paraId="5653B822"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0,103</w:t>
            </w:r>
          </w:p>
        </w:tc>
        <w:tc>
          <w:tcPr>
            <w:tcW w:w="1133" w:type="dxa"/>
            <w:vAlign w:val="bottom"/>
          </w:tcPr>
          <w:p w14:paraId="64CBDE32"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5,699</w:t>
            </w:r>
          </w:p>
        </w:tc>
        <w:tc>
          <w:tcPr>
            <w:tcW w:w="1190" w:type="dxa"/>
            <w:vAlign w:val="bottom"/>
          </w:tcPr>
          <w:p w14:paraId="7C1808F0"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4,187</w:t>
            </w:r>
          </w:p>
        </w:tc>
      </w:tr>
      <w:tr w:rsidR="00F004B0" w:rsidRPr="009450BD" w14:paraId="1BCB9094" w14:textId="77777777" w:rsidTr="00471DE2">
        <w:tc>
          <w:tcPr>
            <w:tcW w:w="1345" w:type="dxa"/>
            <w:vAlign w:val="bottom"/>
          </w:tcPr>
          <w:p w14:paraId="67191CB2"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2010</w:t>
            </w:r>
          </w:p>
        </w:tc>
        <w:tc>
          <w:tcPr>
            <w:tcW w:w="1230" w:type="dxa"/>
            <w:vAlign w:val="bottom"/>
          </w:tcPr>
          <w:p w14:paraId="496EB739"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0,498</w:t>
            </w:r>
          </w:p>
        </w:tc>
        <w:tc>
          <w:tcPr>
            <w:tcW w:w="1256" w:type="dxa"/>
            <w:vAlign w:val="bottom"/>
          </w:tcPr>
          <w:p w14:paraId="3777E863"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0,019</w:t>
            </w:r>
          </w:p>
        </w:tc>
        <w:tc>
          <w:tcPr>
            <w:tcW w:w="1155" w:type="dxa"/>
            <w:vAlign w:val="bottom"/>
          </w:tcPr>
          <w:p w14:paraId="0E1B0046"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1,749</w:t>
            </w:r>
          </w:p>
        </w:tc>
        <w:tc>
          <w:tcPr>
            <w:tcW w:w="1185" w:type="dxa"/>
            <w:vAlign w:val="bottom"/>
          </w:tcPr>
          <w:p w14:paraId="3CE63CE5"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0,110</w:t>
            </w:r>
          </w:p>
        </w:tc>
        <w:tc>
          <w:tcPr>
            <w:tcW w:w="1133" w:type="dxa"/>
            <w:vAlign w:val="bottom"/>
          </w:tcPr>
          <w:p w14:paraId="67BAF142"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5,106</w:t>
            </w:r>
          </w:p>
        </w:tc>
        <w:tc>
          <w:tcPr>
            <w:tcW w:w="1190" w:type="dxa"/>
            <w:vAlign w:val="bottom"/>
          </w:tcPr>
          <w:p w14:paraId="09C6698A"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3,185</w:t>
            </w:r>
          </w:p>
        </w:tc>
      </w:tr>
      <w:tr w:rsidR="00F004B0" w:rsidRPr="009450BD" w14:paraId="0BE9F589" w14:textId="77777777" w:rsidTr="00876E16">
        <w:tc>
          <w:tcPr>
            <w:tcW w:w="1345" w:type="dxa"/>
            <w:vAlign w:val="bottom"/>
          </w:tcPr>
          <w:p w14:paraId="6B762F24"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2011</w:t>
            </w:r>
          </w:p>
        </w:tc>
        <w:tc>
          <w:tcPr>
            <w:tcW w:w="1230" w:type="dxa"/>
            <w:vAlign w:val="bottom"/>
          </w:tcPr>
          <w:p w14:paraId="2FFB6CD1"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0,397</w:t>
            </w:r>
          </w:p>
        </w:tc>
        <w:tc>
          <w:tcPr>
            <w:tcW w:w="1256" w:type="dxa"/>
            <w:vAlign w:val="bottom"/>
          </w:tcPr>
          <w:p w14:paraId="5B8A67C3"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0,027</w:t>
            </w:r>
          </w:p>
        </w:tc>
        <w:tc>
          <w:tcPr>
            <w:tcW w:w="1155" w:type="dxa"/>
            <w:vAlign w:val="bottom"/>
          </w:tcPr>
          <w:p w14:paraId="67BB9BDF"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1,812</w:t>
            </w:r>
          </w:p>
        </w:tc>
        <w:tc>
          <w:tcPr>
            <w:tcW w:w="1185" w:type="dxa"/>
            <w:vAlign w:val="bottom"/>
          </w:tcPr>
          <w:p w14:paraId="2357B9C4"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0,100</w:t>
            </w:r>
          </w:p>
        </w:tc>
        <w:tc>
          <w:tcPr>
            <w:tcW w:w="1133" w:type="dxa"/>
            <w:vAlign w:val="bottom"/>
          </w:tcPr>
          <w:p w14:paraId="777E626D"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4,487</w:t>
            </w:r>
          </w:p>
        </w:tc>
        <w:tc>
          <w:tcPr>
            <w:tcW w:w="1190" w:type="dxa"/>
            <w:vAlign w:val="bottom"/>
          </w:tcPr>
          <w:p w14:paraId="4692E1B7"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3,909</w:t>
            </w:r>
          </w:p>
        </w:tc>
      </w:tr>
      <w:tr w:rsidR="00F004B0" w:rsidRPr="009450BD" w14:paraId="7378AC68" w14:textId="77777777" w:rsidTr="005F0420">
        <w:tc>
          <w:tcPr>
            <w:tcW w:w="1345" w:type="dxa"/>
            <w:vAlign w:val="bottom"/>
          </w:tcPr>
          <w:p w14:paraId="297D4A42"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2012</w:t>
            </w:r>
          </w:p>
        </w:tc>
        <w:tc>
          <w:tcPr>
            <w:tcW w:w="1230" w:type="dxa"/>
            <w:vAlign w:val="bottom"/>
          </w:tcPr>
          <w:p w14:paraId="46969660"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0,450</w:t>
            </w:r>
          </w:p>
        </w:tc>
        <w:tc>
          <w:tcPr>
            <w:tcW w:w="1256" w:type="dxa"/>
            <w:vAlign w:val="bottom"/>
          </w:tcPr>
          <w:p w14:paraId="1A13B6E5"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0,043</w:t>
            </w:r>
          </w:p>
        </w:tc>
        <w:tc>
          <w:tcPr>
            <w:tcW w:w="1155" w:type="dxa"/>
            <w:vAlign w:val="bottom"/>
          </w:tcPr>
          <w:p w14:paraId="015C36C1"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1,912</w:t>
            </w:r>
          </w:p>
        </w:tc>
        <w:tc>
          <w:tcPr>
            <w:tcW w:w="1185" w:type="dxa"/>
            <w:vAlign w:val="bottom"/>
          </w:tcPr>
          <w:p w14:paraId="49AD2922"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0,127</w:t>
            </w:r>
          </w:p>
        </w:tc>
        <w:tc>
          <w:tcPr>
            <w:tcW w:w="1133" w:type="dxa"/>
            <w:vAlign w:val="bottom"/>
          </w:tcPr>
          <w:p w14:paraId="130FDED6"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4,432</w:t>
            </w:r>
          </w:p>
        </w:tc>
        <w:tc>
          <w:tcPr>
            <w:tcW w:w="1190" w:type="dxa"/>
            <w:vAlign w:val="bottom"/>
          </w:tcPr>
          <w:p w14:paraId="62E482BE"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3,792</w:t>
            </w:r>
          </w:p>
        </w:tc>
      </w:tr>
      <w:tr w:rsidR="00F004B0" w:rsidRPr="009450BD" w14:paraId="42122940" w14:textId="77777777" w:rsidTr="00C94410">
        <w:tc>
          <w:tcPr>
            <w:tcW w:w="1345" w:type="dxa"/>
            <w:vAlign w:val="bottom"/>
          </w:tcPr>
          <w:p w14:paraId="777AF582"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2013</w:t>
            </w:r>
          </w:p>
        </w:tc>
        <w:tc>
          <w:tcPr>
            <w:tcW w:w="1230" w:type="dxa"/>
            <w:vAlign w:val="bottom"/>
          </w:tcPr>
          <w:p w14:paraId="43297370"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0,440</w:t>
            </w:r>
          </w:p>
        </w:tc>
        <w:tc>
          <w:tcPr>
            <w:tcW w:w="1256" w:type="dxa"/>
            <w:vAlign w:val="bottom"/>
          </w:tcPr>
          <w:p w14:paraId="283E693B"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0,047</w:t>
            </w:r>
          </w:p>
        </w:tc>
        <w:tc>
          <w:tcPr>
            <w:tcW w:w="1155" w:type="dxa"/>
            <w:vAlign w:val="bottom"/>
          </w:tcPr>
          <w:p w14:paraId="7D57B23B"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1,422</w:t>
            </w:r>
          </w:p>
        </w:tc>
        <w:tc>
          <w:tcPr>
            <w:tcW w:w="1185" w:type="dxa"/>
            <w:vAlign w:val="bottom"/>
          </w:tcPr>
          <w:p w14:paraId="285D6B4F"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0,145</w:t>
            </w:r>
          </w:p>
        </w:tc>
        <w:tc>
          <w:tcPr>
            <w:tcW w:w="1133" w:type="dxa"/>
            <w:vAlign w:val="bottom"/>
          </w:tcPr>
          <w:p w14:paraId="22EA8281"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4,874</w:t>
            </w:r>
          </w:p>
        </w:tc>
        <w:tc>
          <w:tcPr>
            <w:tcW w:w="1190" w:type="dxa"/>
            <w:vAlign w:val="bottom"/>
          </w:tcPr>
          <w:p w14:paraId="199D494F"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2,815</w:t>
            </w:r>
          </w:p>
        </w:tc>
      </w:tr>
      <w:tr w:rsidR="00F004B0" w:rsidRPr="009450BD" w14:paraId="1024893E" w14:textId="77777777" w:rsidTr="00853B6E">
        <w:tc>
          <w:tcPr>
            <w:tcW w:w="1345" w:type="dxa"/>
            <w:vAlign w:val="bottom"/>
          </w:tcPr>
          <w:p w14:paraId="4DC55603"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2014</w:t>
            </w:r>
          </w:p>
        </w:tc>
        <w:tc>
          <w:tcPr>
            <w:tcW w:w="1230" w:type="dxa"/>
            <w:vAlign w:val="bottom"/>
          </w:tcPr>
          <w:p w14:paraId="2681A229"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0,421</w:t>
            </w:r>
          </w:p>
        </w:tc>
        <w:tc>
          <w:tcPr>
            <w:tcW w:w="1256" w:type="dxa"/>
            <w:vAlign w:val="bottom"/>
          </w:tcPr>
          <w:p w14:paraId="5636B60A"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0,070</w:t>
            </w:r>
          </w:p>
        </w:tc>
        <w:tc>
          <w:tcPr>
            <w:tcW w:w="1155" w:type="dxa"/>
            <w:vAlign w:val="bottom"/>
          </w:tcPr>
          <w:p w14:paraId="0BF291DA"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1,277</w:t>
            </w:r>
          </w:p>
        </w:tc>
        <w:tc>
          <w:tcPr>
            <w:tcW w:w="1185" w:type="dxa"/>
            <w:vAlign w:val="bottom"/>
          </w:tcPr>
          <w:p w14:paraId="73D2011A"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0,160</w:t>
            </w:r>
          </w:p>
        </w:tc>
        <w:tc>
          <w:tcPr>
            <w:tcW w:w="1133" w:type="dxa"/>
            <w:vAlign w:val="bottom"/>
          </w:tcPr>
          <w:p w14:paraId="5A814964"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5,349</w:t>
            </w:r>
          </w:p>
        </w:tc>
        <w:tc>
          <w:tcPr>
            <w:tcW w:w="1190" w:type="dxa"/>
            <w:vAlign w:val="bottom"/>
          </w:tcPr>
          <w:p w14:paraId="2CE9606A"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3,164</w:t>
            </w:r>
          </w:p>
        </w:tc>
      </w:tr>
      <w:tr w:rsidR="00F004B0" w:rsidRPr="009450BD" w14:paraId="1B0946E0" w14:textId="77777777" w:rsidTr="006979EA">
        <w:tc>
          <w:tcPr>
            <w:tcW w:w="1345" w:type="dxa"/>
            <w:vAlign w:val="bottom"/>
          </w:tcPr>
          <w:p w14:paraId="64B1D4FB"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2015</w:t>
            </w:r>
          </w:p>
        </w:tc>
        <w:tc>
          <w:tcPr>
            <w:tcW w:w="1230" w:type="dxa"/>
            <w:vAlign w:val="bottom"/>
          </w:tcPr>
          <w:p w14:paraId="154489A3"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0,740</w:t>
            </w:r>
          </w:p>
        </w:tc>
        <w:tc>
          <w:tcPr>
            <w:tcW w:w="1256" w:type="dxa"/>
            <w:vAlign w:val="bottom"/>
          </w:tcPr>
          <w:p w14:paraId="0160EDA3"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0,040</w:t>
            </w:r>
          </w:p>
        </w:tc>
        <w:tc>
          <w:tcPr>
            <w:tcW w:w="1155" w:type="dxa"/>
            <w:vAlign w:val="bottom"/>
          </w:tcPr>
          <w:p w14:paraId="7E893B43"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2,008</w:t>
            </w:r>
          </w:p>
        </w:tc>
        <w:tc>
          <w:tcPr>
            <w:tcW w:w="1185" w:type="dxa"/>
            <w:vAlign w:val="bottom"/>
          </w:tcPr>
          <w:p w14:paraId="71B36A41"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0,229</w:t>
            </w:r>
          </w:p>
        </w:tc>
        <w:tc>
          <w:tcPr>
            <w:tcW w:w="1133" w:type="dxa"/>
            <w:vAlign w:val="bottom"/>
          </w:tcPr>
          <w:p w14:paraId="0B00412B"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7,047</w:t>
            </w:r>
          </w:p>
        </w:tc>
        <w:tc>
          <w:tcPr>
            <w:tcW w:w="1190" w:type="dxa"/>
            <w:vAlign w:val="bottom"/>
          </w:tcPr>
          <w:p w14:paraId="23D0C459"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3,276</w:t>
            </w:r>
          </w:p>
        </w:tc>
      </w:tr>
      <w:tr w:rsidR="00F004B0" w:rsidRPr="009450BD" w14:paraId="4CE6A8E3" w14:textId="77777777" w:rsidTr="0049220A">
        <w:tc>
          <w:tcPr>
            <w:tcW w:w="1345" w:type="dxa"/>
            <w:vAlign w:val="bottom"/>
          </w:tcPr>
          <w:p w14:paraId="4DF0D039"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2016</w:t>
            </w:r>
          </w:p>
        </w:tc>
        <w:tc>
          <w:tcPr>
            <w:tcW w:w="1230" w:type="dxa"/>
            <w:vAlign w:val="bottom"/>
          </w:tcPr>
          <w:p w14:paraId="2A70F42C"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0,718</w:t>
            </w:r>
          </w:p>
        </w:tc>
        <w:tc>
          <w:tcPr>
            <w:tcW w:w="1256" w:type="dxa"/>
            <w:vAlign w:val="bottom"/>
          </w:tcPr>
          <w:p w14:paraId="4A54112D"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0,052</w:t>
            </w:r>
          </w:p>
        </w:tc>
        <w:tc>
          <w:tcPr>
            <w:tcW w:w="1155" w:type="dxa"/>
            <w:vAlign w:val="bottom"/>
          </w:tcPr>
          <w:p w14:paraId="1623D958"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2,694</w:t>
            </w:r>
          </w:p>
        </w:tc>
        <w:tc>
          <w:tcPr>
            <w:tcW w:w="1185" w:type="dxa"/>
            <w:vAlign w:val="bottom"/>
          </w:tcPr>
          <w:p w14:paraId="7855D151"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0,266</w:t>
            </w:r>
          </w:p>
        </w:tc>
        <w:tc>
          <w:tcPr>
            <w:tcW w:w="1133" w:type="dxa"/>
            <w:vAlign w:val="bottom"/>
          </w:tcPr>
          <w:p w14:paraId="0F4C1427"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7,329</w:t>
            </w:r>
          </w:p>
        </w:tc>
        <w:tc>
          <w:tcPr>
            <w:tcW w:w="1190" w:type="dxa"/>
            <w:vAlign w:val="bottom"/>
          </w:tcPr>
          <w:p w14:paraId="74ADDC3B"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3,827</w:t>
            </w:r>
          </w:p>
        </w:tc>
      </w:tr>
      <w:tr w:rsidR="00F004B0" w:rsidRPr="009450BD" w14:paraId="641EF132" w14:textId="77777777" w:rsidTr="0053232C">
        <w:tc>
          <w:tcPr>
            <w:tcW w:w="1345" w:type="dxa"/>
            <w:vAlign w:val="bottom"/>
          </w:tcPr>
          <w:p w14:paraId="47E9E435"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2017</w:t>
            </w:r>
          </w:p>
        </w:tc>
        <w:tc>
          <w:tcPr>
            <w:tcW w:w="1230" w:type="dxa"/>
            <w:vAlign w:val="bottom"/>
          </w:tcPr>
          <w:p w14:paraId="72E493A0"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0,361</w:t>
            </w:r>
          </w:p>
        </w:tc>
        <w:tc>
          <w:tcPr>
            <w:tcW w:w="1256" w:type="dxa"/>
            <w:vAlign w:val="bottom"/>
          </w:tcPr>
          <w:p w14:paraId="4600612D"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0,031</w:t>
            </w:r>
          </w:p>
        </w:tc>
        <w:tc>
          <w:tcPr>
            <w:tcW w:w="1155" w:type="dxa"/>
            <w:vAlign w:val="bottom"/>
          </w:tcPr>
          <w:p w14:paraId="179CE586"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2,343</w:t>
            </w:r>
          </w:p>
        </w:tc>
        <w:tc>
          <w:tcPr>
            <w:tcW w:w="1185" w:type="dxa"/>
            <w:vAlign w:val="bottom"/>
          </w:tcPr>
          <w:p w14:paraId="791E07EA"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0,202</w:t>
            </w:r>
          </w:p>
        </w:tc>
        <w:tc>
          <w:tcPr>
            <w:tcW w:w="1133" w:type="dxa"/>
            <w:vAlign w:val="bottom"/>
          </w:tcPr>
          <w:p w14:paraId="10228BBB"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6,563</w:t>
            </w:r>
          </w:p>
        </w:tc>
        <w:tc>
          <w:tcPr>
            <w:tcW w:w="1190" w:type="dxa"/>
            <w:vAlign w:val="bottom"/>
          </w:tcPr>
          <w:p w14:paraId="185731D2" w14:textId="77777777" w:rsidR="00F004B0" w:rsidRPr="009450BD" w:rsidRDefault="00F004B0" w:rsidP="00F004B0">
            <w:pPr>
              <w:jc w:val="center"/>
              <w:rPr>
                <w:rFonts w:ascii="Times New Roman" w:hAnsi="Times New Roman" w:cs="Times New Roman"/>
                <w:color w:val="000000"/>
                <w:sz w:val="20"/>
                <w:szCs w:val="20"/>
              </w:rPr>
            </w:pPr>
            <w:r w:rsidRPr="009450BD">
              <w:rPr>
                <w:rFonts w:ascii="Times New Roman" w:hAnsi="Times New Roman" w:cs="Times New Roman"/>
                <w:color w:val="000000"/>
                <w:sz w:val="20"/>
                <w:szCs w:val="20"/>
              </w:rPr>
              <w:t>3,427</w:t>
            </w:r>
          </w:p>
        </w:tc>
      </w:tr>
      <w:tr w:rsidR="00CD3AA7" w:rsidRPr="00176315" w14:paraId="3C42CBCF" w14:textId="77777777" w:rsidTr="00C05B5F">
        <w:tc>
          <w:tcPr>
            <w:tcW w:w="8494" w:type="dxa"/>
            <w:gridSpan w:val="7"/>
            <w:vAlign w:val="bottom"/>
          </w:tcPr>
          <w:p w14:paraId="1217F5F1" w14:textId="77777777" w:rsidR="00CD3AA7" w:rsidRPr="009450BD" w:rsidRDefault="00CD3AA7" w:rsidP="00CD3AA7">
            <w:pPr>
              <w:rPr>
                <w:rFonts w:ascii="Times New Roman" w:hAnsi="Times New Roman" w:cs="Times New Roman"/>
                <w:color w:val="000000"/>
                <w:sz w:val="20"/>
                <w:szCs w:val="20"/>
                <w:lang w:val="en-US"/>
              </w:rPr>
            </w:pPr>
            <w:r w:rsidRPr="009450BD">
              <w:rPr>
                <w:rFonts w:ascii="Times New Roman" w:hAnsi="Times New Roman" w:cs="Times New Roman"/>
                <w:sz w:val="20"/>
                <w:szCs w:val="20"/>
                <w:lang w:val="en-US"/>
              </w:rPr>
              <w:t>Note - calculated by the authors based on data World Integrated Trade Solution of World Bank, 2008-2017</w:t>
            </w:r>
          </w:p>
        </w:tc>
      </w:tr>
    </w:tbl>
    <w:p w14:paraId="699192F2" w14:textId="77777777" w:rsidR="00E94F36" w:rsidRPr="009450BD" w:rsidRDefault="00E94F36" w:rsidP="00E94F36">
      <w:pPr>
        <w:spacing w:after="0" w:line="240" w:lineRule="auto"/>
        <w:contextualSpacing/>
        <w:jc w:val="both"/>
        <w:rPr>
          <w:rStyle w:val="a8"/>
          <w:rFonts w:ascii="Times New Roman" w:hAnsi="Times New Roman" w:cs="Times New Roman"/>
          <w:b w:val="0"/>
          <w:sz w:val="20"/>
          <w:szCs w:val="20"/>
          <w:lang w:val="en-US"/>
        </w:rPr>
      </w:pPr>
    </w:p>
    <w:p w14:paraId="10BF4A73" w14:textId="77777777" w:rsidR="00956DFF" w:rsidRPr="007C63E7" w:rsidRDefault="00956DFF" w:rsidP="00956DFF">
      <w:pPr>
        <w:spacing w:after="0" w:line="240" w:lineRule="auto"/>
        <w:ind w:firstLine="567"/>
        <w:contextualSpacing/>
        <w:jc w:val="both"/>
        <w:rPr>
          <w:rStyle w:val="a8"/>
          <w:rFonts w:ascii="Times New Roman" w:hAnsi="Times New Roman" w:cs="Times New Roman"/>
          <w:b w:val="0"/>
          <w:sz w:val="24"/>
          <w:szCs w:val="24"/>
          <w:lang w:val="en-US"/>
        </w:rPr>
      </w:pPr>
      <w:bookmarkStart w:id="0" w:name="_GoBack"/>
      <w:r w:rsidRPr="007C63E7">
        <w:rPr>
          <w:rStyle w:val="a8"/>
          <w:rFonts w:ascii="Times New Roman" w:hAnsi="Times New Roman" w:cs="Times New Roman"/>
          <w:b w:val="0"/>
          <w:sz w:val="24"/>
          <w:szCs w:val="24"/>
          <w:lang w:val="en-US"/>
        </w:rPr>
        <w:t xml:space="preserve">Based on the RCA assessment of Kazakhstan’s industries for 2008–2017, which are reflected in Table 3, it can be concluded that 3 industries — fuels, minerals and metals — are always priorities for Kazakhstan’s exports, as economic shocks are like a global economic crisis, fall </w:t>
      </w:r>
      <w:r w:rsidR="007814F5" w:rsidRPr="007C63E7">
        <w:rPr>
          <w:rStyle w:val="a8"/>
          <w:rFonts w:ascii="Times New Roman" w:hAnsi="Times New Roman" w:cs="Times New Roman"/>
          <w:b w:val="0"/>
          <w:sz w:val="24"/>
          <w:szCs w:val="24"/>
          <w:lang w:val="en-US"/>
        </w:rPr>
        <w:t xml:space="preserve">of </w:t>
      </w:r>
      <w:r w:rsidRPr="007C63E7">
        <w:rPr>
          <w:rStyle w:val="a8"/>
          <w:rFonts w:ascii="Times New Roman" w:hAnsi="Times New Roman" w:cs="Times New Roman"/>
          <w:b w:val="0"/>
          <w:sz w:val="24"/>
          <w:szCs w:val="24"/>
          <w:lang w:val="en-US"/>
        </w:rPr>
        <w:t xml:space="preserve">products </w:t>
      </w:r>
      <w:r w:rsidR="007814F5" w:rsidRPr="007C63E7">
        <w:rPr>
          <w:rStyle w:val="a8"/>
          <w:rFonts w:ascii="Times New Roman" w:hAnsi="Times New Roman" w:cs="Times New Roman"/>
          <w:b w:val="0"/>
          <w:sz w:val="24"/>
          <w:szCs w:val="24"/>
          <w:lang w:val="en-US"/>
        </w:rPr>
        <w:t xml:space="preserve">prices </w:t>
      </w:r>
      <w:r w:rsidRPr="007C63E7">
        <w:rPr>
          <w:rStyle w:val="a8"/>
          <w:rFonts w:ascii="Times New Roman" w:hAnsi="Times New Roman" w:cs="Times New Roman"/>
          <w:b w:val="0"/>
          <w:sz w:val="24"/>
          <w:szCs w:val="24"/>
          <w:lang w:val="en-US"/>
        </w:rPr>
        <w:t>and the devaluation of the national currency only slightly changed the value of the RCA index, and for all 10 years under consideration it changed in these industries by no more than 30% from the previous year.</w:t>
      </w:r>
    </w:p>
    <w:p w14:paraId="1597CCE9" w14:textId="77777777" w:rsidR="00956DFF" w:rsidRPr="007C63E7" w:rsidRDefault="00956DFF" w:rsidP="00956DFF">
      <w:pPr>
        <w:spacing w:after="0" w:line="240" w:lineRule="auto"/>
        <w:ind w:firstLine="567"/>
        <w:contextualSpacing/>
        <w:jc w:val="both"/>
        <w:rPr>
          <w:rStyle w:val="a8"/>
          <w:rFonts w:ascii="Times New Roman" w:hAnsi="Times New Roman" w:cs="Times New Roman"/>
          <w:b w:val="0"/>
          <w:sz w:val="24"/>
          <w:szCs w:val="24"/>
          <w:lang w:val="en-US"/>
        </w:rPr>
      </w:pPr>
    </w:p>
    <w:p w14:paraId="7B9CC3C8" w14:textId="77777777" w:rsidR="00956DFF" w:rsidRPr="007C63E7" w:rsidRDefault="00956DFF" w:rsidP="00956DFF">
      <w:pPr>
        <w:spacing w:after="0" w:line="240" w:lineRule="auto"/>
        <w:ind w:firstLine="567"/>
        <w:contextualSpacing/>
        <w:jc w:val="both"/>
        <w:rPr>
          <w:rStyle w:val="a8"/>
          <w:rFonts w:ascii="Times New Roman" w:hAnsi="Times New Roman" w:cs="Times New Roman"/>
          <w:sz w:val="24"/>
          <w:szCs w:val="24"/>
          <w:lang w:val="en-US"/>
        </w:rPr>
      </w:pPr>
      <w:r w:rsidRPr="007C63E7">
        <w:rPr>
          <w:rStyle w:val="a8"/>
          <w:rFonts w:ascii="Times New Roman" w:hAnsi="Times New Roman" w:cs="Times New Roman"/>
          <w:sz w:val="24"/>
          <w:szCs w:val="24"/>
          <w:lang w:val="en-US"/>
        </w:rPr>
        <w:t>Conclusion</w:t>
      </w:r>
    </w:p>
    <w:p w14:paraId="480FD840" w14:textId="77777777" w:rsidR="007814F5" w:rsidRPr="007C63E7" w:rsidRDefault="007814F5" w:rsidP="00956DFF">
      <w:pPr>
        <w:spacing w:after="0" w:line="240" w:lineRule="auto"/>
        <w:ind w:firstLine="567"/>
        <w:contextualSpacing/>
        <w:jc w:val="both"/>
        <w:rPr>
          <w:rStyle w:val="a8"/>
          <w:rFonts w:ascii="Times New Roman" w:hAnsi="Times New Roman" w:cs="Times New Roman"/>
          <w:b w:val="0"/>
          <w:sz w:val="24"/>
          <w:szCs w:val="24"/>
          <w:lang w:val="en-US"/>
        </w:rPr>
      </w:pPr>
    </w:p>
    <w:p w14:paraId="22E7EE30" w14:textId="77777777" w:rsidR="00956DFF" w:rsidRPr="007C63E7" w:rsidRDefault="00956DFF" w:rsidP="00956DFF">
      <w:pPr>
        <w:spacing w:after="0" w:line="240" w:lineRule="auto"/>
        <w:ind w:firstLine="567"/>
        <w:contextualSpacing/>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Based on the assessment of the comparative advantages, we can conclude that Kazakhstan needs to support priority industries, namely, metals, f</w:t>
      </w:r>
      <w:r w:rsidR="00A6767E" w:rsidRPr="007C63E7">
        <w:rPr>
          <w:rStyle w:val="a8"/>
          <w:rFonts w:ascii="Times New Roman" w:hAnsi="Times New Roman" w:cs="Times New Roman"/>
          <w:b w:val="0"/>
          <w:sz w:val="24"/>
          <w:szCs w:val="24"/>
          <w:lang w:val="en-US"/>
        </w:rPr>
        <w:t>uels and minerals industries. For</w:t>
      </w:r>
      <w:r w:rsidRPr="007C63E7">
        <w:rPr>
          <w:rStyle w:val="a8"/>
          <w:rFonts w:ascii="Times New Roman" w:hAnsi="Times New Roman" w:cs="Times New Roman"/>
          <w:b w:val="0"/>
          <w:sz w:val="24"/>
          <w:szCs w:val="24"/>
          <w:lang w:val="en-US"/>
        </w:rPr>
        <w:t xml:space="preserve"> retain</w:t>
      </w:r>
      <w:r w:rsidR="00A6767E" w:rsidRPr="007C63E7">
        <w:rPr>
          <w:rStyle w:val="a8"/>
          <w:rFonts w:ascii="Times New Roman" w:hAnsi="Times New Roman" w:cs="Times New Roman"/>
          <w:b w:val="0"/>
          <w:sz w:val="24"/>
          <w:szCs w:val="24"/>
          <w:lang w:val="en-US"/>
        </w:rPr>
        <w:t>ing</w:t>
      </w:r>
      <w:r w:rsidRPr="007C63E7">
        <w:rPr>
          <w:rStyle w:val="a8"/>
          <w:rFonts w:ascii="Times New Roman" w:hAnsi="Times New Roman" w:cs="Times New Roman"/>
          <w:b w:val="0"/>
          <w:sz w:val="24"/>
          <w:szCs w:val="24"/>
          <w:lang w:val="en-US"/>
        </w:rPr>
        <w:t xml:space="preserve"> the advantages, </w:t>
      </w:r>
      <w:r w:rsidR="00A6767E" w:rsidRPr="007C63E7">
        <w:rPr>
          <w:rStyle w:val="a8"/>
          <w:rFonts w:ascii="Times New Roman" w:hAnsi="Times New Roman" w:cs="Times New Roman"/>
          <w:b w:val="0"/>
          <w:sz w:val="24"/>
          <w:szCs w:val="24"/>
          <w:lang w:val="en-US"/>
        </w:rPr>
        <w:t xml:space="preserve">weaknesses of the industry </w:t>
      </w:r>
      <w:r w:rsidRPr="007C63E7">
        <w:rPr>
          <w:rStyle w:val="a8"/>
          <w:rFonts w:ascii="Times New Roman" w:hAnsi="Times New Roman" w:cs="Times New Roman"/>
          <w:b w:val="0"/>
          <w:sz w:val="24"/>
          <w:szCs w:val="24"/>
          <w:lang w:val="en-US"/>
        </w:rPr>
        <w:t>such as aging of production assets, technological lag, threat of depletion of the raw material base</w:t>
      </w:r>
      <w:r w:rsidR="00A6767E" w:rsidRPr="007C63E7">
        <w:rPr>
          <w:rStyle w:val="a8"/>
          <w:rFonts w:ascii="Times New Roman" w:hAnsi="Times New Roman" w:cs="Times New Roman"/>
          <w:b w:val="0"/>
          <w:sz w:val="24"/>
          <w:szCs w:val="24"/>
          <w:lang w:val="en-US"/>
        </w:rPr>
        <w:t xml:space="preserve"> should always be assessed</w:t>
      </w:r>
      <w:r w:rsidRPr="007C63E7">
        <w:rPr>
          <w:rStyle w:val="a8"/>
          <w:rFonts w:ascii="Times New Roman" w:hAnsi="Times New Roman" w:cs="Times New Roman"/>
          <w:b w:val="0"/>
          <w:sz w:val="24"/>
          <w:szCs w:val="24"/>
          <w:lang w:val="en-US"/>
        </w:rPr>
        <w:t xml:space="preserve">; and take steps to modernize these industries. For example, to strengthen production facilities using innovative technologies, to export products not in the form of raw materials, but in the form of finished products, to finance </w:t>
      </w:r>
      <w:r w:rsidR="00A6767E" w:rsidRPr="007C63E7">
        <w:rPr>
          <w:rStyle w:val="a8"/>
          <w:rFonts w:ascii="Times New Roman" w:hAnsi="Times New Roman" w:cs="Times New Roman"/>
          <w:b w:val="0"/>
          <w:sz w:val="24"/>
          <w:szCs w:val="24"/>
          <w:lang w:val="en-US"/>
        </w:rPr>
        <w:t>R&amp;D</w:t>
      </w:r>
      <w:r w:rsidRPr="007C63E7">
        <w:rPr>
          <w:rStyle w:val="a8"/>
          <w:rFonts w:ascii="Times New Roman" w:hAnsi="Times New Roman" w:cs="Times New Roman"/>
          <w:b w:val="0"/>
          <w:sz w:val="24"/>
          <w:szCs w:val="24"/>
          <w:lang w:val="en-US"/>
        </w:rPr>
        <w:t xml:space="preserve"> for the </w:t>
      </w:r>
      <w:r w:rsidRPr="007C63E7">
        <w:rPr>
          <w:rStyle w:val="a8"/>
          <w:rFonts w:ascii="Times New Roman" w:hAnsi="Times New Roman" w:cs="Times New Roman"/>
          <w:b w:val="0"/>
          <w:sz w:val="24"/>
          <w:szCs w:val="24"/>
          <w:lang w:val="en-US"/>
        </w:rPr>
        <w:lastRenderedPageBreak/>
        <w:t xml:space="preserve">development of innovative technologies in these industries. Of course, all these measures require substantial funding. Solving this issue will be attracting significant budget and private resources, including through public-private partnerships, for the implementation of technological renewal, the introduction of resource-saving innovations in enterprises, support for cost-effective projects aimed at developing the infrastructure of production. It is advisable to use the mechanism of "financial leverage", that is, for every </w:t>
      </w:r>
      <w:proofErr w:type="spellStart"/>
      <w:r w:rsidRPr="007C63E7">
        <w:rPr>
          <w:rStyle w:val="a8"/>
          <w:rFonts w:ascii="Times New Roman" w:hAnsi="Times New Roman" w:cs="Times New Roman"/>
          <w:b w:val="0"/>
          <w:sz w:val="24"/>
          <w:szCs w:val="24"/>
          <w:lang w:val="en-US"/>
        </w:rPr>
        <w:t>tenge</w:t>
      </w:r>
      <w:proofErr w:type="spellEnd"/>
      <w:r w:rsidRPr="007C63E7">
        <w:rPr>
          <w:rStyle w:val="a8"/>
          <w:rFonts w:ascii="Times New Roman" w:hAnsi="Times New Roman" w:cs="Times New Roman"/>
          <w:b w:val="0"/>
          <w:sz w:val="24"/>
          <w:szCs w:val="24"/>
          <w:lang w:val="en-US"/>
        </w:rPr>
        <w:t xml:space="preserve"> invested by the state, to attract 3-4 </w:t>
      </w:r>
      <w:proofErr w:type="spellStart"/>
      <w:r w:rsidRPr="007C63E7">
        <w:rPr>
          <w:rStyle w:val="a8"/>
          <w:rFonts w:ascii="Times New Roman" w:hAnsi="Times New Roman" w:cs="Times New Roman"/>
          <w:b w:val="0"/>
          <w:sz w:val="24"/>
          <w:szCs w:val="24"/>
          <w:lang w:val="en-US"/>
        </w:rPr>
        <w:t>tenge</w:t>
      </w:r>
      <w:proofErr w:type="spellEnd"/>
      <w:r w:rsidRPr="007C63E7">
        <w:rPr>
          <w:rStyle w:val="a8"/>
          <w:rFonts w:ascii="Times New Roman" w:hAnsi="Times New Roman" w:cs="Times New Roman"/>
          <w:b w:val="0"/>
          <w:sz w:val="24"/>
          <w:szCs w:val="24"/>
          <w:lang w:val="en-US"/>
        </w:rPr>
        <w:t xml:space="preserve"> of private investment.</w:t>
      </w:r>
    </w:p>
    <w:p w14:paraId="36A9603C" w14:textId="77777777" w:rsidR="00DB4CD9" w:rsidRPr="007C63E7" w:rsidRDefault="00956DFF" w:rsidP="00956DFF">
      <w:pPr>
        <w:spacing w:after="0" w:line="240" w:lineRule="auto"/>
        <w:ind w:firstLine="567"/>
        <w:contextualSpacing/>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 xml:space="preserve">As for the competitive advantages of the Eurasian Economic Union, it should be noted that over the 3 years of its operation, the integration association </w:t>
      </w:r>
      <w:r w:rsidR="00AF6401" w:rsidRPr="007C63E7">
        <w:rPr>
          <w:rStyle w:val="a8"/>
          <w:rFonts w:ascii="Times New Roman" w:hAnsi="Times New Roman" w:cs="Times New Roman"/>
          <w:b w:val="0"/>
          <w:sz w:val="24"/>
          <w:szCs w:val="24"/>
          <w:lang w:val="en-US"/>
        </w:rPr>
        <w:t>cannot</w:t>
      </w:r>
      <w:r w:rsidRPr="007C63E7">
        <w:rPr>
          <w:rStyle w:val="a8"/>
          <w:rFonts w:ascii="Times New Roman" w:hAnsi="Times New Roman" w:cs="Times New Roman"/>
          <w:b w:val="0"/>
          <w:sz w:val="24"/>
          <w:szCs w:val="24"/>
          <w:lang w:val="en-US"/>
        </w:rPr>
        <w:t xml:space="preserve"> integrate into the global value chains. For successful integration and development in global value chains, it is necessary to create regional trade agreements, within which national producers have the opportunity to maximize their comparative advantage. In this case, the partner countries assume certain obligations, which are governed by the legal framework established for the fulfillment of these obligations, and the partner countries should work together to study the conditions for economic integration.</w:t>
      </w:r>
    </w:p>
    <w:p w14:paraId="1ADDAB80" w14:textId="77777777" w:rsidR="007B2B9C" w:rsidRPr="007C63E7" w:rsidRDefault="007B2B9C" w:rsidP="00734CE3">
      <w:pPr>
        <w:spacing w:after="0" w:line="240" w:lineRule="auto"/>
        <w:ind w:firstLine="567"/>
        <w:contextualSpacing/>
        <w:jc w:val="both"/>
        <w:rPr>
          <w:rStyle w:val="a8"/>
          <w:rFonts w:ascii="Times New Roman" w:hAnsi="Times New Roman" w:cs="Times New Roman"/>
          <w:b w:val="0"/>
          <w:sz w:val="24"/>
          <w:szCs w:val="24"/>
          <w:lang w:val="en-US"/>
        </w:rPr>
      </w:pPr>
    </w:p>
    <w:p w14:paraId="45090ED6" w14:textId="77777777" w:rsidR="00734CE3" w:rsidRPr="007C63E7" w:rsidRDefault="001370E3" w:rsidP="00AC2659">
      <w:pPr>
        <w:spacing w:after="0" w:line="240" w:lineRule="auto"/>
        <w:contextualSpacing/>
        <w:jc w:val="center"/>
        <w:rPr>
          <w:rStyle w:val="a8"/>
          <w:rFonts w:ascii="Times New Roman" w:hAnsi="Times New Roman" w:cs="Times New Roman"/>
          <w:sz w:val="24"/>
          <w:szCs w:val="24"/>
          <w:lang w:val="en-US"/>
        </w:rPr>
      </w:pPr>
      <w:r w:rsidRPr="007C63E7">
        <w:rPr>
          <w:rStyle w:val="a8"/>
          <w:rFonts w:ascii="Times New Roman" w:hAnsi="Times New Roman" w:cs="Times New Roman"/>
          <w:sz w:val="24"/>
          <w:szCs w:val="24"/>
          <w:lang w:val="en-US"/>
        </w:rPr>
        <w:t>References</w:t>
      </w:r>
    </w:p>
    <w:p w14:paraId="078B1092" w14:textId="77777777" w:rsidR="00AC2659" w:rsidRPr="007C63E7" w:rsidRDefault="00AC2659" w:rsidP="00AC2659">
      <w:pPr>
        <w:spacing w:after="0" w:line="240" w:lineRule="auto"/>
        <w:contextualSpacing/>
        <w:jc w:val="center"/>
        <w:rPr>
          <w:rStyle w:val="a8"/>
          <w:rFonts w:ascii="Times New Roman" w:hAnsi="Times New Roman" w:cs="Times New Roman"/>
          <w:b w:val="0"/>
          <w:sz w:val="24"/>
          <w:szCs w:val="24"/>
          <w:lang w:val="en-US"/>
        </w:rPr>
      </w:pPr>
    </w:p>
    <w:p w14:paraId="52E84B26" w14:textId="458D5D55"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 xml:space="preserve">Analytical review of the integration processes of </w:t>
      </w:r>
      <w:proofErr w:type="gramStart"/>
      <w:r w:rsidRPr="007C63E7">
        <w:rPr>
          <w:rStyle w:val="a8"/>
          <w:rFonts w:ascii="Times New Roman" w:hAnsi="Times New Roman" w:cs="Times New Roman"/>
          <w:b w:val="0"/>
          <w:sz w:val="24"/>
          <w:szCs w:val="24"/>
          <w:lang w:val="en-US"/>
        </w:rPr>
        <w:t>Kazakhstan,</w:t>
      </w:r>
      <w:proofErr w:type="gramEnd"/>
      <w:r w:rsidRPr="007C63E7">
        <w:rPr>
          <w:rStyle w:val="a8"/>
          <w:rFonts w:ascii="Times New Roman" w:hAnsi="Times New Roman" w:cs="Times New Roman"/>
          <w:b w:val="0"/>
          <w:sz w:val="24"/>
          <w:szCs w:val="24"/>
          <w:lang w:val="en-US"/>
        </w:rPr>
        <w:t xml:space="preserve"> including value chains (Digest) (2015) KIDI, Astana</w:t>
      </w:r>
      <w:r w:rsidR="00101E19" w:rsidRPr="007C63E7">
        <w:rPr>
          <w:rStyle w:val="a8"/>
          <w:rFonts w:ascii="Times New Roman" w:hAnsi="Times New Roman" w:cs="Times New Roman"/>
          <w:b w:val="0"/>
          <w:sz w:val="24"/>
          <w:szCs w:val="24"/>
          <w:lang w:val="en-US"/>
        </w:rPr>
        <w:t>.</w:t>
      </w:r>
    </w:p>
    <w:p w14:paraId="3497D4C3" w14:textId="77777777"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proofErr w:type="spellStart"/>
      <w:r w:rsidRPr="007C63E7">
        <w:rPr>
          <w:rStyle w:val="a8"/>
          <w:rFonts w:ascii="Times New Roman" w:hAnsi="Times New Roman" w:cs="Times New Roman"/>
          <w:b w:val="0"/>
          <w:sz w:val="24"/>
          <w:szCs w:val="24"/>
          <w:lang w:val="en-US"/>
        </w:rPr>
        <w:t>Balassa</w:t>
      </w:r>
      <w:proofErr w:type="spellEnd"/>
      <w:r w:rsidRPr="007C63E7">
        <w:rPr>
          <w:rStyle w:val="a8"/>
          <w:rFonts w:ascii="Times New Roman" w:hAnsi="Times New Roman" w:cs="Times New Roman"/>
          <w:b w:val="0"/>
          <w:sz w:val="24"/>
          <w:szCs w:val="24"/>
          <w:lang w:val="en-US"/>
        </w:rPr>
        <w:t xml:space="preserve">, </w:t>
      </w:r>
      <w:proofErr w:type="spellStart"/>
      <w:r w:rsidRPr="007C63E7">
        <w:rPr>
          <w:rStyle w:val="a8"/>
          <w:rFonts w:ascii="Times New Roman" w:hAnsi="Times New Roman" w:cs="Times New Roman"/>
          <w:b w:val="0"/>
          <w:sz w:val="24"/>
          <w:szCs w:val="24"/>
          <w:lang w:val="en-US"/>
        </w:rPr>
        <w:t>Bela</w:t>
      </w:r>
      <w:proofErr w:type="spellEnd"/>
      <w:r w:rsidRPr="007C63E7">
        <w:rPr>
          <w:rStyle w:val="a8"/>
          <w:rFonts w:ascii="Times New Roman" w:hAnsi="Times New Roman" w:cs="Times New Roman"/>
          <w:b w:val="0"/>
          <w:sz w:val="24"/>
          <w:szCs w:val="24"/>
          <w:lang w:val="en-US"/>
        </w:rPr>
        <w:t xml:space="preserve"> (1965) Trade </w:t>
      </w:r>
      <w:proofErr w:type="spellStart"/>
      <w:r w:rsidRPr="007C63E7">
        <w:rPr>
          <w:rStyle w:val="a8"/>
          <w:rFonts w:ascii="Times New Roman" w:hAnsi="Times New Roman" w:cs="Times New Roman"/>
          <w:b w:val="0"/>
          <w:sz w:val="24"/>
          <w:szCs w:val="24"/>
          <w:lang w:val="en-US"/>
        </w:rPr>
        <w:t>Liberalisation</w:t>
      </w:r>
      <w:proofErr w:type="spellEnd"/>
      <w:r w:rsidRPr="007C63E7">
        <w:rPr>
          <w:rStyle w:val="a8"/>
          <w:rFonts w:ascii="Times New Roman" w:hAnsi="Times New Roman" w:cs="Times New Roman"/>
          <w:b w:val="0"/>
          <w:sz w:val="24"/>
          <w:szCs w:val="24"/>
          <w:lang w:val="en-US"/>
        </w:rPr>
        <w:t xml:space="preserve"> and Revealed Comparative Advantage, </w:t>
      </w:r>
      <w:proofErr w:type="gramStart"/>
      <w:r w:rsidRPr="007C63E7">
        <w:rPr>
          <w:rStyle w:val="a8"/>
          <w:rFonts w:ascii="Times New Roman" w:hAnsi="Times New Roman" w:cs="Times New Roman"/>
          <w:b w:val="0"/>
          <w:sz w:val="24"/>
          <w:szCs w:val="24"/>
          <w:lang w:val="en-US"/>
        </w:rPr>
        <w:t>The</w:t>
      </w:r>
      <w:proofErr w:type="gramEnd"/>
      <w:r w:rsidRPr="007C63E7">
        <w:rPr>
          <w:rStyle w:val="a8"/>
          <w:rFonts w:ascii="Times New Roman" w:hAnsi="Times New Roman" w:cs="Times New Roman"/>
          <w:b w:val="0"/>
          <w:sz w:val="24"/>
          <w:szCs w:val="24"/>
          <w:lang w:val="en-US"/>
        </w:rPr>
        <w:t xml:space="preserve"> Manchester School of Economic and Social Studies, pp. 99-123.</w:t>
      </w:r>
    </w:p>
    <w:p w14:paraId="3FC9FC28" w14:textId="47AF5C02"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proofErr w:type="spellStart"/>
      <w:r w:rsidRPr="007C63E7">
        <w:rPr>
          <w:rStyle w:val="a8"/>
          <w:rFonts w:ascii="Times New Roman" w:hAnsi="Times New Roman" w:cs="Times New Roman"/>
          <w:b w:val="0"/>
          <w:sz w:val="24"/>
          <w:szCs w:val="24"/>
          <w:lang w:val="en-US"/>
        </w:rPr>
        <w:t>Belkin</w:t>
      </w:r>
      <w:proofErr w:type="spellEnd"/>
      <w:r w:rsidRPr="007C63E7">
        <w:rPr>
          <w:rStyle w:val="a8"/>
          <w:rFonts w:ascii="Times New Roman" w:hAnsi="Times New Roman" w:cs="Times New Roman"/>
          <w:b w:val="0"/>
          <w:sz w:val="24"/>
          <w:szCs w:val="24"/>
          <w:lang w:val="en-US"/>
        </w:rPr>
        <w:t xml:space="preserve"> V. </w:t>
      </w:r>
      <w:proofErr w:type="gramStart"/>
      <w:r w:rsidRPr="007C63E7">
        <w:rPr>
          <w:rStyle w:val="a8"/>
          <w:rFonts w:ascii="Times New Roman" w:hAnsi="Times New Roman" w:cs="Times New Roman"/>
          <w:b w:val="0"/>
          <w:sz w:val="24"/>
          <w:szCs w:val="24"/>
          <w:lang w:val="en-US"/>
        </w:rPr>
        <w:t>G.,</w:t>
      </w:r>
      <w:proofErr w:type="gramEnd"/>
      <w:r w:rsidRPr="007C63E7">
        <w:rPr>
          <w:rStyle w:val="a8"/>
          <w:rFonts w:ascii="Times New Roman" w:hAnsi="Times New Roman" w:cs="Times New Roman"/>
          <w:b w:val="0"/>
          <w:sz w:val="24"/>
          <w:szCs w:val="24"/>
          <w:lang w:val="en-US"/>
        </w:rPr>
        <w:t xml:space="preserve"> </w:t>
      </w:r>
      <w:r w:rsidR="00101E19" w:rsidRPr="007C63E7">
        <w:rPr>
          <w:rStyle w:val="a8"/>
          <w:rFonts w:ascii="Times New Roman" w:hAnsi="Times New Roman" w:cs="Times New Roman"/>
          <w:b w:val="0"/>
          <w:sz w:val="24"/>
          <w:szCs w:val="24"/>
          <w:lang w:val="en-US"/>
        </w:rPr>
        <w:t xml:space="preserve">&amp; </w:t>
      </w:r>
      <w:proofErr w:type="spellStart"/>
      <w:r w:rsidRPr="007C63E7">
        <w:rPr>
          <w:rStyle w:val="a8"/>
          <w:rFonts w:ascii="Times New Roman" w:hAnsi="Times New Roman" w:cs="Times New Roman"/>
          <w:b w:val="0"/>
          <w:sz w:val="24"/>
          <w:szCs w:val="24"/>
          <w:lang w:val="en-US"/>
        </w:rPr>
        <w:t>Khlystova</w:t>
      </w:r>
      <w:proofErr w:type="spellEnd"/>
      <w:r w:rsidRPr="007C63E7">
        <w:rPr>
          <w:rStyle w:val="a8"/>
          <w:rFonts w:ascii="Times New Roman" w:hAnsi="Times New Roman" w:cs="Times New Roman"/>
          <w:b w:val="0"/>
          <w:sz w:val="24"/>
          <w:szCs w:val="24"/>
          <w:lang w:val="en-US"/>
        </w:rPr>
        <w:t xml:space="preserve"> O. V. (2012) Problems of using the resource theory in strategic management. </w:t>
      </w:r>
      <w:proofErr w:type="gramStart"/>
      <w:r w:rsidRPr="007C63E7">
        <w:rPr>
          <w:rStyle w:val="a8"/>
          <w:rFonts w:ascii="Times New Roman" w:hAnsi="Times New Roman" w:cs="Times New Roman"/>
          <w:b w:val="0"/>
          <w:i/>
          <w:sz w:val="24"/>
          <w:szCs w:val="24"/>
          <w:lang w:val="en-US"/>
        </w:rPr>
        <w:t>Management in Russia and abroad</w:t>
      </w:r>
      <w:r w:rsidRPr="007C63E7">
        <w:rPr>
          <w:rStyle w:val="a8"/>
          <w:rFonts w:ascii="Times New Roman" w:hAnsi="Times New Roman" w:cs="Times New Roman"/>
          <w:b w:val="0"/>
          <w:sz w:val="24"/>
          <w:szCs w:val="24"/>
          <w:lang w:val="en-US"/>
        </w:rPr>
        <w:t>, vol. 2.</w:t>
      </w:r>
      <w:proofErr w:type="gramEnd"/>
      <w:r w:rsidRPr="007C63E7">
        <w:rPr>
          <w:rStyle w:val="a8"/>
          <w:rFonts w:ascii="Times New Roman" w:hAnsi="Times New Roman" w:cs="Times New Roman"/>
          <w:b w:val="0"/>
          <w:sz w:val="24"/>
          <w:szCs w:val="24"/>
          <w:lang w:val="en-US"/>
        </w:rPr>
        <w:t xml:space="preserve"> </w:t>
      </w:r>
    </w:p>
    <w:p w14:paraId="42DB50AA" w14:textId="77777777"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 xml:space="preserve">Data of World Integrated Trade Solution of World Bank, </w:t>
      </w:r>
      <w:r w:rsidRPr="007C63E7">
        <w:rPr>
          <w:rStyle w:val="a8"/>
          <w:rFonts w:ascii="Times New Roman" w:hAnsi="Times New Roman" w:cs="Times New Roman"/>
          <w:b w:val="0"/>
          <w:bCs w:val="0"/>
          <w:sz w:val="24"/>
          <w:szCs w:val="24"/>
          <w:lang w:val="en-US"/>
        </w:rPr>
        <w:t>https://wits.worldbank.org/</w:t>
      </w:r>
      <w:r w:rsidRPr="007C63E7">
        <w:rPr>
          <w:rStyle w:val="a8"/>
          <w:rFonts w:ascii="Times New Roman" w:hAnsi="Times New Roman" w:cs="Times New Roman"/>
          <w:b w:val="0"/>
          <w:sz w:val="24"/>
          <w:szCs w:val="24"/>
          <w:lang w:val="en-US"/>
        </w:rPr>
        <w:t xml:space="preserve"> (access date: 20.02.2019).</w:t>
      </w:r>
    </w:p>
    <w:p w14:paraId="72B26432" w14:textId="2D698E85"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Enright M. J. (1992)</w:t>
      </w:r>
      <w:r w:rsidR="00101E19" w:rsidRPr="007C63E7">
        <w:rPr>
          <w:rStyle w:val="a8"/>
          <w:rFonts w:ascii="Times New Roman" w:hAnsi="Times New Roman" w:cs="Times New Roman"/>
          <w:b w:val="0"/>
          <w:sz w:val="24"/>
          <w:szCs w:val="24"/>
          <w:lang w:val="en-US"/>
        </w:rPr>
        <w:t>.</w:t>
      </w:r>
      <w:r w:rsidRPr="007C63E7">
        <w:rPr>
          <w:rStyle w:val="a8"/>
          <w:rFonts w:ascii="Times New Roman" w:hAnsi="Times New Roman" w:cs="Times New Roman"/>
          <w:b w:val="0"/>
          <w:sz w:val="24"/>
          <w:szCs w:val="24"/>
          <w:lang w:val="en-US"/>
        </w:rPr>
        <w:t xml:space="preserve"> Why Clusters are the Way to Win the Game? </w:t>
      </w:r>
      <w:r w:rsidRPr="007C63E7">
        <w:rPr>
          <w:rStyle w:val="a8"/>
          <w:rFonts w:ascii="Times New Roman" w:hAnsi="Times New Roman" w:cs="Times New Roman"/>
          <w:b w:val="0"/>
          <w:i/>
          <w:sz w:val="24"/>
          <w:szCs w:val="24"/>
          <w:lang w:val="en-US"/>
        </w:rPr>
        <w:t>Word Link</w:t>
      </w:r>
      <w:r w:rsidRPr="007C63E7">
        <w:rPr>
          <w:rStyle w:val="a8"/>
          <w:rFonts w:ascii="Times New Roman" w:hAnsi="Times New Roman" w:cs="Times New Roman"/>
          <w:b w:val="0"/>
          <w:sz w:val="24"/>
          <w:szCs w:val="24"/>
          <w:lang w:val="en-US"/>
        </w:rPr>
        <w:t>, vol. 5, pp. 24–25.</w:t>
      </w:r>
    </w:p>
    <w:p w14:paraId="40BAB538" w14:textId="77777777"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proofErr w:type="spellStart"/>
      <w:r w:rsidRPr="007C63E7">
        <w:rPr>
          <w:rStyle w:val="a8"/>
          <w:rFonts w:ascii="Times New Roman" w:hAnsi="Times New Roman" w:cs="Times New Roman"/>
          <w:b w:val="0"/>
          <w:sz w:val="24"/>
          <w:szCs w:val="24"/>
          <w:lang w:val="en-US"/>
        </w:rPr>
        <w:t>Gnidchenko</w:t>
      </w:r>
      <w:proofErr w:type="spellEnd"/>
      <w:r w:rsidRPr="007C63E7">
        <w:rPr>
          <w:rStyle w:val="a8"/>
          <w:rFonts w:ascii="Times New Roman" w:hAnsi="Times New Roman" w:cs="Times New Roman"/>
          <w:b w:val="0"/>
          <w:sz w:val="24"/>
          <w:szCs w:val="24"/>
          <w:lang w:val="en-US"/>
        </w:rPr>
        <w:t xml:space="preserve"> A.A. (2015) Dynamics of the </w:t>
      </w:r>
      <w:proofErr w:type="spellStart"/>
      <w:r w:rsidRPr="007C63E7">
        <w:rPr>
          <w:rStyle w:val="a8"/>
          <w:rFonts w:ascii="Times New Roman" w:hAnsi="Times New Roman" w:cs="Times New Roman"/>
          <w:b w:val="0"/>
          <w:sz w:val="24"/>
          <w:szCs w:val="24"/>
          <w:lang w:val="en-US"/>
        </w:rPr>
        <w:t>sectoral</w:t>
      </w:r>
      <w:proofErr w:type="spellEnd"/>
      <w:r w:rsidRPr="007C63E7">
        <w:rPr>
          <w:rStyle w:val="a8"/>
          <w:rFonts w:ascii="Times New Roman" w:hAnsi="Times New Roman" w:cs="Times New Roman"/>
          <w:b w:val="0"/>
          <w:sz w:val="24"/>
          <w:szCs w:val="24"/>
          <w:lang w:val="en-US"/>
        </w:rPr>
        <w:t xml:space="preserve"> structure of Russian exports: an assessment of prospects by the criterion of competitiveness. Institute for Economic Forecasting of the Russian Academy of Sciences, Moscow.</w:t>
      </w:r>
    </w:p>
    <w:p w14:paraId="55C70447" w14:textId="77777777"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kk-KZ"/>
        </w:rPr>
      </w:pPr>
      <w:proofErr w:type="gramStart"/>
      <w:r w:rsidRPr="007C63E7">
        <w:rPr>
          <w:rStyle w:val="a8"/>
          <w:rFonts w:ascii="Times New Roman" w:hAnsi="Times New Roman" w:cs="Times New Roman"/>
          <w:b w:val="0"/>
          <w:sz w:val="24"/>
          <w:szCs w:val="24"/>
          <w:lang w:val="en-US"/>
        </w:rPr>
        <w:t>Marshall A. (1984) Principles of political economy.</w:t>
      </w:r>
      <w:proofErr w:type="gramEnd"/>
      <w:r w:rsidRPr="007C63E7">
        <w:rPr>
          <w:rStyle w:val="a8"/>
          <w:rFonts w:ascii="Times New Roman" w:hAnsi="Times New Roman" w:cs="Times New Roman"/>
          <w:b w:val="0"/>
          <w:sz w:val="24"/>
          <w:szCs w:val="24"/>
          <w:lang w:val="en-US"/>
        </w:rPr>
        <w:t xml:space="preserve"> Moscow: Progress, 351 p.</w:t>
      </w:r>
    </w:p>
    <w:p w14:paraId="4EFBF6F4" w14:textId="77777777"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 xml:space="preserve">Metallurgical portal </w:t>
      </w:r>
      <w:r w:rsidRPr="007C63E7">
        <w:rPr>
          <w:rStyle w:val="a8"/>
          <w:rFonts w:ascii="Times New Roman" w:hAnsi="Times New Roman" w:cs="Times New Roman"/>
          <w:b w:val="0"/>
          <w:bCs w:val="0"/>
          <w:sz w:val="24"/>
          <w:szCs w:val="24"/>
          <w:lang w:val="en-US"/>
        </w:rPr>
        <w:t>http://stalevarim.ru/</w:t>
      </w:r>
      <w:r w:rsidRPr="007C63E7">
        <w:rPr>
          <w:rStyle w:val="a8"/>
          <w:rFonts w:ascii="Times New Roman" w:hAnsi="Times New Roman" w:cs="Times New Roman"/>
          <w:b w:val="0"/>
          <w:sz w:val="24"/>
          <w:szCs w:val="24"/>
          <w:lang w:val="en-US"/>
        </w:rPr>
        <w:t xml:space="preserve"> (access date: 26.02.2019).</w:t>
      </w:r>
    </w:p>
    <w:p w14:paraId="333DBC58" w14:textId="77777777"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proofErr w:type="spellStart"/>
      <w:proofErr w:type="gramStart"/>
      <w:r w:rsidRPr="007C63E7">
        <w:rPr>
          <w:rStyle w:val="a8"/>
          <w:rFonts w:ascii="Times New Roman" w:hAnsi="Times New Roman" w:cs="Times New Roman"/>
          <w:b w:val="0"/>
          <w:sz w:val="24"/>
          <w:szCs w:val="24"/>
          <w:lang w:val="en-US"/>
        </w:rPr>
        <w:t>Obolenskiy</w:t>
      </w:r>
      <w:proofErr w:type="spellEnd"/>
      <w:r w:rsidRPr="007C63E7">
        <w:rPr>
          <w:rStyle w:val="a8"/>
          <w:rFonts w:ascii="Times New Roman" w:hAnsi="Times New Roman" w:cs="Times New Roman"/>
          <w:b w:val="0"/>
          <w:sz w:val="24"/>
          <w:szCs w:val="24"/>
          <w:lang w:val="en-US"/>
        </w:rPr>
        <w:t xml:space="preserve"> V.P. (2008) Assessment of the competitiveness of the Russian economy.</w:t>
      </w:r>
      <w:proofErr w:type="gramEnd"/>
      <w:r w:rsidRPr="007C63E7">
        <w:rPr>
          <w:rStyle w:val="a8"/>
          <w:rFonts w:ascii="Times New Roman" w:hAnsi="Times New Roman" w:cs="Times New Roman"/>
          <w:b w:val="0"/>
          <w:sz w:val="24"/>
          <w:szCs w:val="24"/>
          <w:lang w:val="en-US"/>
        </w:rPr>
        <w:t xml:space="preserve"> </w:t>
      </w:r>
      <w:proofErr w:type="gramStart"/>
      <w:r w:rsidRPr="007C63E7">
        <w:rPr>
          <w:rStyle w:val="a8"/>
          <w:rFonts w:ascii="Times New Roman" w:hAnsi="Times New Roman" w:cs="Times New Roman"/>
          <w:b w:val="0"/>
          <w:i/>
          <w:sz w:val="24"/>
          <w:szCs w:val="24"/>
          <w:lang w:val="en-US"/>
        </w:rPr>
        <w:t>Russian Foreign Economic Journal</w:t>
      </w:r>
      <w:r w:rsidRPr="007C63E7">
        <w:rPr>
          <w:rStyle w:val="a8"/>
          <w:rFonts w:ascii="Times New Roman" w:hAnsi="Times New Roman" w:cs="Times New Roman"/>
          <w:b w:val="0"/>
          <w:sz w:val="24"/>
          <w:szCs w:val="24"/>
          <w:lang w:val="en-US"/>
        </w:rPr>
        <w:t>, vol. 4.</w:t>
      </w:r>
      <w:proofErr w:type="gramEnd"/>
      <w:r w:rsidRPr="007C63E7">
        <w:rPr>
          <w:rStyle w:val="a8"/>
          <w:rFonts w:ascii="Times New Roman" w:hAnsi="Times New Roman" w:cs="Times New Roman"/>
          <w:b w:val="0"/>
          <w:sz w:val="24"/>
          <w:szCs w:val="24"/>
          <w:lang w:val="en-US"/>
        </w:rPr>
        <w:t xml:space="preserve"> URL: https://cyberleninka.ru/article/n/otsenka-konkurentosposobnosti-rossiyskoy-ekonomiki (access date: 26.02.2019).</w:t>
      </w:r>
    </w:p>
    <w:p w14:paraId="626F3D4E" w14:textId="5FDF04AF"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t xml:space="preserve">Porter M. (2005) Competitive Strategy: A Methodology for Analyzing Industries and Competitors. Moscow: </w:t>
      </w:r>
      <w:proofErr w:type="spellStart"/>
      <w:r w:rsidRPr="007C63E7">
        <w:rPr>
          <w:rStyle w:val="a8"/>
          <w:rFonts w:ascii="Times New Roman" w:hAnsi="Times New Roman" w:cs="Times New Roman"/>
          <w:b w:val="0"/>
          <w:sz w:val="24"/>
          <w:szCs w:val="24"/>
          <w:lang w:val="en-US"/>
        </w:rPr>
        <w:t>Alpina</w:t>
      </w:r>
      <w:proofErr w:type="spellEnd"/>
      <w:r w:rsidRPr="007C63E7">
        <w:rPr>
          <w:rStyle w:val="a8"/>
          <w:rFonts w:ascii="Times New Roman" w:hAnsi="Times New Roman" w:cs="Times New Roman"/>
          <w:b w:val="0"/>
          <w:sz w:val="24"/>
          <w:szCs w:val="24"/>
          <w:lang w:val="en-US"/>
        </w:rPr>
        <w:t xml:space="preserve"> Business Books, 454 p.</w:t>
      </w:r>
    </w:p>
    <w:p w14:paraId="09C39C2C" w14:textId="648A0E40" w:rsidR="00EB61C9" w:rsidRPr="007C63E7" w:rsidRDefault="00EB61C9" w:rsidP="00EB61C9">
      <w:pPr>
        <w:spacing w:after="120" w:line="240" w:lineRule="auto"/>
        <w:ind w:firstLine="567"/>
        <w:jc w:val="both"/>
        <w:rPr>
          <w:rFonts w:ascii="Times New Roman" w:hAnsi="Times New Roman" w:cs="Times New Roman"/>
          <w:bCs/>
          <w:sz w:val="24"/>
          <w:szCs w:val="24"/>
          <w:lang w:val="en-US"/>
        </w:rPr>
      </w:pPr>
      <w:proofErr w:type="spellStart"/>
      <w:proofErr w:type="gramStart"/>
      <w:r w:rsidRPr="007C63E7">
        <w:rPr>
          <w:rFonts w:ascii="Times New Roman" w:hAnsi="Times New Roman" w:cs="Times New Roman"/>
          <w:bCs/>
          <w:sz w:val="24"/>
          <w:szCs w:val="24"/>
          <w:lang w:val="en-US"/>
        </w:rPr>
        <w:t>Sadykhanova</w:t>
      </w:r>
      <w:proofErr w:type="spellEnd"/>
      <w:r w:rsidRPr="007C63E7">
        <w:rPr>
          <w:rFonts w:ascii="Times New Roman" w:hAnsi="Times New Roman" w:cs="Times New Roman"/>
          <w:bCs/>
          <w:sz w:val="24"/>
          <w:szCs w:val="24"/>
          <w:lang w:val="en-US"/>
        </w:rPr>
        <w:t xml:space="preserve">, G., </w:t>
      </w:r>
      <w:r w:rsidR="00101E19" w:rsidRPr="007C63E7">
        <w:rPr>
          <w:rFonts w:ascii="Times New Roman" w:hAnsi="Times New Roman" w:cs="Times New Roman"/>
          <w:bCs/>
          <w:sz w:val="24"/>
          <w:szCs w:val="24"/>
          <w:lang w:val="en-US"/>
        </w:rPr>
        <w:t xml:space="preserve">&amp; </w:t>
      </w:r>
      <w:proofErr w:type="spellStart"/>
      <w:r w:rsidRPr="007C63E7">
        <w:rPr>
          <w:rFonts w:ascii="Times New Roman" w:hAnsi="Times New Roman" w:cs="Times New Roman"/>
          <w:bCs/>
          <w:sz w:val="24"/>
          <w:szCs w:val="24"/>
          <w:lang w:val="en-US"/>
        </w:rPr>
        <w:t>Zhuparova</w:t>
      </w:r>
      <w:proofErr w:type="spellEnd"/>
      <w:r w:rsidRPr="007C63E7">
        <w:rPr>
          <w:rFonts w:ascii="Times New Roman" w:hAnsi="Times New Roman" w:cs="Times New Roman"/>
          <w:bCs/>
          <w:sz w:val="24"/>
          <w:szCs w:val="24"/>
          <w:lang w:val="en-US"/>
        </w:rPr>
        <w:t>, A. (2013).</w:t>
      </w:r>
      <w:proofErr w:type="gramEnd"/>
      <w:r w:rsidRPr="007C63E7">
        <w:rPr>
          <w:rFonts w:ascii="Times New Roman" w:hAnsi="Times New Roman" w:cs="Times New Roman"/>
          <w:bCs/>
          <w:sz w:val="24"/>
          <w:szCs w:val="24"/>
          <w:lang w:val="en-US"/>
        </w:rPr>
        <w:t xml:space="preserve"> </w:t>
      </w:r>
      <w:proofErr w:type="gramStart"/>
      <w:r w:rsidRPr="007C63E7">
        <w:rPr>
          <w:rFonts w:ascii="Times New Roman" w:hAnsi="Times New Roman" w:cs="Times New Roman"/>
          <w:bCs/>
          <w:sz w:val="24"/>
          <w:szCs w:val="24"/>
          <w:lang w:val="en-US"/>
        </w:rPr>
        <w:t>Measuring human capital efficiency within innovative economy.</w:t>
      </w:r>
      <w:proofErr w:type="gramEnd"/>
      <w:r w:rsidRPr="007C63E7">
        <w:rPr>
          <w:rFonts w:ascii="Times New Roman" w:hAnsi="Times New Roman" w:cs="Times New Roman"/>
          <w:bCs/>
          <w:sz w:val="24"/>
          <w:szCs w:val="24"/>
          <w:lang w:val="en-US"/>
        </w:rPr>
        <w:t xml:space="preserve"> </w:t>
      </w:r>
      <w:r w:rsidRPr="007C63E7">
        <w:rPr>
          <w:rFonts w:ascii="Times New Roman" w:hAnsi="Times New Roman" w:cs="Times New Roman"/>
          <w:bCs/>
          <w:i/>
          <w:sz w:val="24"/>
          <w:szCs w:val="24"/>
          <w:lang w:val="en-US"/>
        </w:rPr>
        <w:t>Actual Problems of Economics</w:t>
      </w:r>
      <w:r w:rsidR="009140D0" w:rsidRPr="007C63E7">
        <w:rPr>
          <w:rFonts w:ascii="Times New Roman" w:hAnsi="Times New Roman" w:cs="Times New Roman"/>
          <w:bCs/>
          <w:i/>
          <w:sz w:val="24"/>
          <w:szCs w:val="24"/>
          <w:lang w:val="en-US"/>
        </w:rPr>
        <w:t>, 143</w:t>
      </w:r>
      <w:r w:rsidR="009140D0" w:rsidRPr="007C63E7">
        <w:rPr>
          <w:rFonts w:ascii="Times New Roman" w:hAnsi="Times New Roman" w:cs="Times New Roman"/>
          <w:bCs/>
          <w:sz w:val="24"/>
          <w:szCs w:val="24"/>
          <w:lang w:val="en-US"/>
        </w:rPr>
        <w:t>(5), 452-460.</w:t>
      </w:r>
    </w:p>
    <w:p w14:paraId="608FC229" w14:textId="479D0F18"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r w:rsidRPr="007C63E7">
        <w:rPr>
          <w:rStyle w:val="a8"/>
          <w:rFonts w:ascii="Times New Roman" w:hAnsi="Times New Roman" w:cs="Times New Roman"/>
          <w:b w:val="0"/>
          <w:sz w:val="24"/>
          <w:szCs w:val="24"/>
          <w:lang w:val="en-US"/>
        </w:rPr>
        <w:lastRenderedPageBreak/>
        <w:t xml:space="preserve">Sun K., Zhu Y., </w:t>
      </w:r>
      <w:proofErr w:type="spellStart"/>
      <w:r w:rsidRPr="007C63E7">
        <w:rPr>
          <w:rStyle w:val="a8"/>
          <w:rFonts w:ascii="Times New Roman" w:hAnsi="Times New Roman" w:cs="Times New Roman"/>
          <w:b w:val="0"/>
          <w:sz w:val="24"/>
          <w:szCs w:val="24"/>
          <w:lang w:val="en-US"/>
        </w:rPr>
        <w:t>Xu</w:t>
      </w:r>
      <w:proofErr w:type="spellEnd"/>
      <w:r w:rsidRPr="007C63E7">
        <w:rPr>
          <w:rStyle w:val="a8"/>
          <w:rFonts w:ascii="Times New Roman" w:hAnsi="Times New Roman" w:cs="Times New Roman"/>
          <w:b w:val="0"/>
          <w:sz w:val="24"/>
          <w:szCs w:val="24"/>
          <w:lang w:val="en-US"/>
        </w:rPr>
        <w:t xml:space="preserve"> Y. (2009) Research on </w:t>
      </w:r>
      <w:r w:rsidR="00EB61C9" w:rsidRPr="007C63E7">
        <w:rPr>
          <w:rStyle w:val="a8"/>
          <w:rFonts w:ascii="Times New Roman" w:hAnsi="Times New Roman" w:cs="Times New Roman"/>
          <w:b w:val="0"/>
          <w:sz w:val="24"/>
          <w:szCs w:val="24"/>
          <w:lang w:val="en-US"/>
        </w:rPr>
        <w:t>t</w:t>
      </w:r>
      <w:r w:rsidRPr="007C63E7">
        <w:rPr>
          <w:rStyle w:val="a8"/>
          <w:rFonts w:ascii="Times New Roman" w:hAnsi="Times New Roman" w:cs="Times New Roman"/>
          <w:b w:val="0"/>
          <w:sz w:val="24"/>
          <w:szCs w:val="24"/>
          <w:lang w:val="en-US"/>
        </w:rPr>
        <w:t xml:space="preserve">he Method of GIS-Based Analysis on Agricultural Regional Competitive Industries. </w:t>
      </w:r>
      <w:proofErr w:type="gramStart"/>
      <w:r w:rsidRPr="007C63E7">
        <w:rPr>
          <w:rStyle w:val="a8"/>
          <w:rFonts w:ascii="Times New Roman" w:hAnsi="Times New Roman" w:cs="Times New Roman"/>
          <w:b w:val="0"/>
          <w:i/>
          <w:sz w:val="24"/>
          <w:szCs w:val="24"/>
          <w:lang w:val="en-US"/>
        </w:rPr>
        <w:t>IFIP Advances in Information and Communication Technology</w:t>
      </w:r>
      <w:r w:rsidRPr="007C63E7">
        <w:rPr>
          <w:rStyle w:val="a8"/>
          <w:rFonts w:ascii="Times New Roman" w:hAnsi="Times New Roman" w:cs="Times New Roman"/>
          <w:b w:val="0"/>
          <w:sz w:val="24"/>
          <w:szCs w:val="24"/>
          <w:lang w:val="en-US"/>
        </w:rPr>
        <w:t>, vol. 293.</w:t>
      </w:r>
      <w:proofErr w:type="gramEnd"/>
      <w:r w:rsidRPr="007C63E7">
        <w:rPr>
          <w:rStyle w:val="a8"/>
          <w:rFonts w:ascii="Times New Roman" w:hAnsi="Times New Roman" w:cs="Times New Roman"/>
          <w:b w:val="0"/>
          <w:sz w:val="24"/>
          <w:szCs w:val="24"/>
          <w:lang w:val="en-US"/>
        </w:rPr>
        <w:t xml:space="preserve"> Springer, Boston, MA</w:t>
      </w:r>
    </w:p>
    <w:p w14:paraId="06187D28" w14:textId="77777777"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proofErr w:type="spellStart"/>
      <w:proofErr w:type="gramStart"/>
      <w:r w:rsidRPr="007C63E7">
        <w:rPr>
          <w:rStyle w:val="a8"/>
          <w:rFonts w:ascii="Times New Roman" w:hAnsi="Times New Roman" w:cs="Times New Roman"/>
          <w:b w:val="0"/>
          <w:sz w:val="24"/>
          <w:szCs w:val="24"/>
          <w:lang w:val="en-US"/>
        </w:rPr>
        <w:t>Titova</w:t>
      </w:r>
      <w:proofErr w:type="spellEnd"/>
      <w:r w:rsidRPr="007C63E7">
        <w:rPr>
          <w:rStyle w:val="a8"/>
          <w:rFonts w:ascii="Times New Roman" w:hAnsi="Times New Roman" w:cs="Times New Roman"/>
          <w:b w:val="0"/>
          <w:sz w:val="24"/>
          <w:szCs w:val="24"/>
          <w:lang w:val="en-US"/>
        </w:rPr>
        <w:t xml:space="preserve"> N. </w:t>
      </w:r>
      <w:r w:rsidRPr="007C63E7">
        <w:rPr>
          <w:rStyle w:val="a8"/>
          <w:rFonts w:ascii="Times New Roman" w:hAnsi="Times New Roman" w:cs="Times New Roman"/>
          <w:b w:val="0"/>
          <w:sz w:val="24"/>
          <w:szCs w:val="24"/>
          <w:lang w:val="kk-KZ"/>
        </w:rPr>
        <w:t xml:space="preserve">(1997) </w:t>
      </w:r>
      <w:r w:rsidRPr="007C63E7">
        <w:rPr>
          <w:rStyle w:val="a8"/>
          <w:rFonts w:ascii="Times New Roman" w:hAnsi="Times New Roman" w:cs="Times New Roman"/>
          <w:b w:val="0"/>
          <w:sz w:val="24"/>
          <w:szCs w:val="24"/>
          <w:lang w:val="en-US"/>
        </w:rPr>
        <w:t>History of Economic Studies.</w:t>
      </w:r>
      <w:proofErr w:type="gramEnd"/>
      <w:r w:rsidRPr="007C63E7">
        <w:rPr>
          <w:rStyle w:val="a8"/>
          <w:rFonts w:ascii="Times New Roman" w:hAnsi="Times New Roman" w:cs="Times New Roman"/>
          <w:b w:val="0"/>
          <w:sz w:val="24"/>
          <w:szCs w:val="24"/>
          <w:lang w:val="en-US"/>
        </w:rPr>
        <w:t xml:space="preserve"> Moscow: VLADOS, 288 p.</w:t>
      </w:r>
    </w:p>
    <w:p w14:paraId="74862E56" w14:textId="77777777" w:rsidR="00780375" w:rsidRPr="007C63E7" w:rsidRDefault="00780375" w:rsidP="00AC2659">
      <w:pPr>
        <w:spacing w:after="120" w:line="240" w:lineRule="auto"/>
        <w:ind w:firstLine="567"/>
        <w:jc w:val="both"/>
        <w:rPr>
          <w:rStyle w:val="a8"/>
          <w:rFonts w:ascii="Times New Roman" w:hAnsi="Times New Roman" w:cs="Times New Roman"/>
          <w:b w:val="0"/>
          <w:sz w:val="24"/>
          <w:szCs w:val="24"/>
          <w:lang w:val="en-US"/>
        </w:rPr>
      </w:pPr>
      <w:proofErr w:type="spellStart"/>
      <w:proofErr w:type="gramStart"/>
      <w:r w:rsidRPr="007C63E7">
        <w:rPr>
          <w:rStyle w:val="a8"/>
          <w:rFonts w:ascii="Times New Roman" w:hAnsi="Times New Roman" w:cs="Times New Roman"/>
          <w:b w:val="0"/>
          <w:sz w:val="24"/>
          <w:szCs w:val="24"/>
          <w:lang w:val="en-US"/>
        </w:rPr>
        <w:t>Vokhmyanin</w:t>
      </w:r>
      <w:proofErr w:type="spellEnd"/>
      <w:r w:rsidRPr="007C63E7">
        <w:rPr>
          <w:rStyle w:val="a8"/>
          <w:rFonts w:ascii="Times New Roman" w:hAnsi="Times New Roman" w:cs="Times New Roman"/>
          <w:b w:val="0"/>
          <w:sz w:val="24"/>
          <w:szCs w:val="24"/>
          <w:lang w:val="en-US"/>
        </w:rPr>
        <w:t xml:space="preserve"> I.A. (2016) Competitive advantages of industries of the Vologda region economy.</w:t>
      </w:r>
      <w:proofErr w:type="gramEnd"/>
      <w:r w:rsidRPr="007C63E7">
        <w:rPr>
          <w:rStyle w:val="a8"/>
          <w:rFonts w:ascii="Times New Roman" w:hAnsi="Times New Roman" w:cs="Times New Roman"/>
          <w:b w:val="0"/>
          <w:sz w:val="24"/>
          <w:szCs w:val="24"/>
          <w:lang w:val="en-US"/>
        </w:rPr>
        <w:t xml:space="preserve"> </w:t>
      </w:r>
      <w:proofErr w:type="gramStart"/>
      <w:r w:rsidRPr="007C63E7">
        <w:rPr>
          <w:rStyle w:val="a8"/>
          <w:rFonts w:ascii="Times New Roman" w:hAnsi="Times New Roman" w:cs="Times New Roman"/>
          <w:b w:val="0"/>
          <w:i/>
          <w:sz w:val="24"/>
          <w:szCs w:val="24"/>
          <w:lang w:val="en-US"/>
        </w:rPr>
        <w:t>Questions of territorial development</w:t>
      </w:r>
      <w:r w:rsidRPr="007C63E7">
        <w:rPr>
          <w:rStyle w:val="a8"/>
          <w:rFonts w:ascii="Times New Roman" w:hAnsi="Times New Roman" w:cs="Times New Roman"/>
          <w:b w:val="0"/>
          <w:sz w:val="24"/>
          <w:szCs w:val="24"/>
          <w:lang w:val="en-US"/>
        </w:rPr>
        <w:t>, vol. 2 (32).</w:t>
      </w:r>
      <w:proofErr w:type="gramEnd"/>
      <w:r w:rsidRPr="007C63E7">
        <w:rPr>
          <w:rStyle w:val="a8"/>
          <w:rFonts w:ascii="Times New Roman" w:hAnsi="Times New Roman" w:cs="Times New Roman"/>
          <w:b w:val="0"/>
          <w:sz w:val="24"/>
          <w:szCs w:val="24"/>
          <w:lang w:val="en-US"/>
        </w:rPr>
        <w:t xml:space="preserve"> URL: https://cyberleninka.ru/article/n/konkurentnye-preimuschestva-otrasley-ekonomiki-vologodskoy-oblasti (access date: 20.02.2019).</w:t>
      </w:r>
    </w:p>
    <w:bookmarkEnd w:id="0"/>
    <w:p w14:paraId="09F84D83" w14:textId="77777777" w:rsidR="00DB62AB" w:rsidRPr="007C63E7" w:rsidRDefault="00DB62AB" w:rsidP="00AC2659">
      <w:pPr>
        <w:spacing w:after="120" w:line="240" w:lineRule="auto"/>
        <w:ind w:firstLine="567"/>
        <w:jc w:val="both"/>
        <w:rPr>
          <w:rFonts w:ascii="Times New Roman" w:hAnsi="Times New Roman" w:cs="Times New Roman"/>
          <w:sz w:val="24"/>
          <w:szCs w:val="24"/>
          <w:lang w:val="en-US"/>
        </w:rPr>
      </w:pPr>
    </w:p>
    <w:sectPr w:rsidR="00DB62AB" w:rsidRPr="007C63E7" w:rsidSect="002D4A7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3FCFE" w14:textId="77777777" w:rsidR="00B30651" w:rsidRDefault="00B30651" w:rsidP="00545864">
      <w:pPr>
        <w:spacing w:after="0" w:line="240" w:lineRule="auto"/>
      </w:pPr>
      <w:r>
        <w:separator/>
      </w:r>
    </w:p>
  </w:endnote>
  <w:endnote w:type="continuationSeparator" w:id="0">
    <w:p w14:paraId="1FC352DF" w14:textId="77777777" w:rsidR="00B30651" w:rsidRDefault="00B30651" w:rsidP="00545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85BDC" w14:textId="77777777" w:rsidR="00B30651" w:rsidRDefault="00B30651" w:rsidP="00545864">
      <w:pPr>
        <w:spacing w:after="0" w:line="240" w:lineRule="auto"/>
      </w:pPr>
      <w:r>
        <w:separator/>
      </w:r>
    </w:p>
  </w:footnote>
  <w:footnote w:type="continuationSeparator" w:id="0">
    <w:p w14:paraId="5CB479F9" w14:textId="77777777" w:rsidR="00B30651" w:rsidRDefault="00B30651" w:rsidP="00545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64"/>
    <w:rsid w:val="00005C8A"/>
    <w:rsid w:val="00010852"/>
    <w:rsid w:val="0002712B"/>
    <w:rsid w:val="00046704"/>
    <w:rsid w:val="00057E04"/>
    <w:rsid w:val="00080C65"/>
    <w:rsid w:val="00094F4F"/>
    <w:rsid w:val="000B48E1"/>
    <w:rsid w:val="000D6476"/>
    <w:rsid w:val="00101E19"/>
    <w:rsid w:val="00114377"/>
    <w:rsid w:val="001370E3"/>
    <w:rsid w:val="001455C2"/>
    <w:rsid w:val="00163179"/>
    <w:rsid w:val="00176315"/>
    <w:rsid w:val="00181CFA"/>
    <w:rsid w:val="00223271"/>
    <w:rsid w:val="00294E06"/>
    <w:rsid w:val="00297AEC"/>
    <w:rsid w:val="002C3444"/>
    <w:rsid w:val="002D4A70"/>
    <w:rsid w:val="002D59BC"/>
    <w:rsid w:val="003015D4"/>
    <w:rsid w:val="00321C2C"/>
    <w:rsid w:val="00350EC3"/>
    <w:rsid w:val="00353FC1"/>
    <w:rsid w:val="003921A3"/>
    <w:rsid w:val="00396701"/>
    <w:rsid w:val="003C064B"/>
    <w:rsid w:val="00410BFE"/>
    <w:rsid w:val="00446D14"/>
    <w:rsid w:val="004A0AC8"/>
    <w:rsid w:val="004F4250"/>
    <w:rsid w:val="004F6203"/>
    <w:rsid w:val="00527BBB"/>
    <w:rsid w:val="00533CA8"/>
    <w:rsid w:val="00541ED0"/>
    <w:rsid w:val="00545864"/>
    <w:rsid w:val="005660AF"/>
    <w:rsid w:val="005E4790"/>
    <w:rsid w:val="005F02EB"/>
    <w:rsid w:val="00604F8E"/>
    <w:rsid w:val="006201ED"/>
    <w:rsid w:val="00623CAE"/>
    <w:rsid w:val="00632E30"/>
    <w:rsid w:val="00657B30"/>
    <w:rsid w:val="00664ACC"/>
    <w:rsid w:val="006760D0"/>
    <w:rsid w:val="00681B88"/>
    <w:rsid w:val="006A3910"/>
    <w:rsid w:val="006A7408"/>
    <w:rsid w:val="006B7863"/>
    <w:rsid w:val="006C523A"/>
    <w:rsid w:val="00734CE3"/>
    <w:rsid w:val="00735394"/>
    <w:rsid w:val="00752399"/>
    <w:rsid w:val="00772FDA"/>
    <w:rsid w:val="00780375"/>
    <w:rsid w:val="007814F5"/>
    <w:rsid w:val="007B2B9C"/>
    <w:rsid w:val="007C33DE"/>
    <w:rsid w:val="007C63E7"/>
    <w:rsid w:val="008346D2"/>
    <w:rsid w:val="00834D9F"/>
    <w:rsid w:val="008718AC"/>
    <w:rsid w:val="008A26F1"/>
    <w:rsid w:val="008A5907"/>
    <w:rsid w:val="008A7020"/>
    <w:rsid w:val="00904EAB"/>
    <w:rsid w:val="009140D0"/>
    <w:rsid w:val="009450BD"/>
    <w:rsid w:val="00956DFF"/>
    <w:rsid w:val="00957C8E"/>
    <w:rsid w:val="009C111E"/>
    <w:rsid w:val="00A12ED7"/>
    <w:rsid w:val="00A64020"/>
    <w:rsid w:val="00A6767E"/>
    <w:rsid w:val="00A957F4"/>
    <w:rsid w:val="00AB7403"/>
    <w:rsid w:val="00AC2659"/>
    <w:rsid w:val="00AF159E"/>
    <w:rsid w:val="00AF6401"/>
    <w:rsid w:val="00AF6473"/>
    <w:rsid w:val="00B05BC0"/>
    <w:rsid w:val="00B10439"/>
    <w:rsid w:val="00B117E9"/>
    <w:rsid w:val="00B122AF"/>
    <w:rsid w:val="00B30651"/>
    <w:rsid w:val="00B85035"/>
    <w:rsid w:val="00BA6DC9"/>
    <w:rsid w:val="00BB02A1"/>
    <w:rsid w:val="00BC69DB"/>
    <w:rsid w:val="00BF2062"/>
    <w:rsid w:val="00CB2105"/>
    <w:rsid w:val="00CC3073"/>
    <w:rsid w:val="00CD3AA7"/>
    <w:rsid w:val="00D42A08"/>
    <w:rsid w:val="00D6173D"/>
    <w:rsid w:val="00D942D8"/>
    <w:rsid w:val="00DB4CD9"/>
    <w:rsid w:val="00DB62AB"/>
    <w:rsid w:val="00DE4052"/>
    <w:rsid w:val="00E404D3"/>
    <w:rsid w:val="00E679A7"/>
    <w:rsid w:val="00E8617F"/>
    <w:rsid w:val="00E94F36"/>
    <w:rsid w:val="00EA2E20"/>
    <w:rsid w:val="00EB61C9"/>
    <w:rsid w:val="00EF212B"/>
    <w:rsid w:val="00F004B0"/>
    <w:rsid w:val="00F022DE"/>
    <w:rsid w:val="00F40868"/>
    <w:rsid w:val="00FB482D"/>
    <w:rsid w:val="00FD701E"/>
    <w:rsid w:val="00FF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8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864"/>
  </w:style>
  <w:style w:type="paragraph" w:styleId="a5">
    <w:name w:val="footer"/>
    <w:basedOn w:val="a"/>
    <w:link w:val="a6"/>
    <w:uiPriority w:val="99"/>
    <w:unhideWhenUsed/>
    <w:rsid w:val="005458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864"/>
  </w:style>
  <w:style w:type="character" w:customStyle="1" w:styleId="ms-rtefontface-3">
    <w:name w:val="ms-rtefontface-3"/>
    <w:basedOn w:val="a0"/>
    <w:rsid w:val="00545864"/>
  </w:style>
  <w:style w:type="paragraph" w:styleId="a7">
    <w:name w:val="Normal (Web)"/>
    <w:basedOn w:val="a"/>
    <w:uiPriority w:val="99"/>
    <w:semiHidden/>
    <w:unhideWhenUsed/>
    <w:rsid w:val="00632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32E30"/>
    <w:rPr>
      <w:b/>
      <w:bCs/>
    </w:rPr>
  </w:style>
  <w:style w:type="character" w:styleId="a9">
    <w:name w:val="Hyperlink"/>
    <w:basedOn w:val="a0"/>
    <w:uiPriority w:val="99"/>
    <w:unhideWhenUsed/>
    <w:rsid w:val="00632E30"/>
    <w:rPr>
      <w:color w:val="0000FF"/>
      <w:u w:val="single"/>
    </w:rPr>
  </w:style>
  <w:style w:type="character" w:styleId="aa">
    <w:name w:val="Placeholder Text"/>
    <w:basedOn w:val="a0"/>
    <w:uiPriority w:val="99"/>
    <w:semiHidden/>
    <w:rsid w:val="00632E30"/>
    <w:rPr>
      <w:color w:val="808080"/>
    </w:rPr>
  </w:style>
  <w:style w:type="table" w:styleId="ab">
    <w:name w:val="Table Grid"/>
    <w:basedOn w:val="a1"/>
    <w:uiPriority w:val="39"/>
    <w:rsid w:val="002D4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A5907"/>
    <w:rPr>
      <w:sz w:val="16"/>
      <w:szCs w:val="16"/>
    </w:rPr>
  </w:style>
  <w:style w:type="paragraph" w:styleId="ad">
    <w:name w:val="annotation text"/>
    <w:basedOn w:val="a"/>
    <w:link w:val="ae"/>
    <w:uiPriority w:val="99"/>
    <w:semiHidden/>
    <w:unhideWhenUsed/>
    <w:rsid w:val="008A5907"/>
    <w:pPr>
      <w:spacing w:line="240" w:lineRule="auto"/>
    </w:pPr>
    <w:rPr>
      <w:sz w:val="20"/>
      <w:szCs w:val="20"/>
    </w:rPr>
  </w:style>
  <w:style w:type="character" w:customStyle="1" w:styleId="ae">
    <w:name w:val="Текст примечания Знак"/>
    <w:basedOn w:val="a0"/>
    <w:link w:val="ad"/>
    <w:uiPriority w:val="99"/>
    <w:semiHidden/>
    <w:rsid w:val="008A5907"/>
    <w:rPr>
      <w:sz w:val="20"/>
      <w:szCs w:val="20"/>
    </w:rPr>
  </w:style>
  <w:style w:type="paragraph" w:styleId="af">
    <w:name w:val="annotation subject"/>
    <w:basedOn w:val="ad"/>
    <w:next w:val="ad"/>
    <w:link w:val="af0"/>
    <w:uiPriority w:val="99"/>
    <w:semiHidden/>
    <w:unhideWhenUsed/>
    <w:rsid w:val="008A5907"/>
    <w:rPr>
      <w:b/>
      <w:bCs/>
    </w:rPr>
  </w:style>
  <w:style w:type="character" w:customStyle="1" w:styleId="af0">
    <w:name w:val="Тема примечания Знак"/>
    <w:basedOn w:val="ae"/>
    <w:link w:val="af"/>
    <w:uiPriority w:val="99"/>
    <w:semiHidden/>
    <w:rsid w:val="008A5907"/>
    <w:rPr>
      <w:b/>
      <w:bCs/>
      <w:sz w:val="20"/>
      <w:szCs w:val="20"/>
    </w:rPr>
  </w:style>
  <w:style w:type="paragraph" w:styleId="af1">
    <w:name w:val="Balloon Text"/>
    <w:basedOn w:val="a"/>
    <w:link w:val="af2"/>
    <w:uiPriority w:val="99"/>
    <w:semiHidden/>
    <w:unhideWhenUsed/>
    <w:rsid w:val="008A590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A59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8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864"/>
  </w:style>
  <w:style w:type="paragraph" w:styleId="a5">
    <w:name w:val="footer"/>
    <w:basedOn w:val="a"/>
    <w:link w:val="a6"/>
    <w:uiPriority w:val="99"/>
    <w:unhideWhenUsed/>
    <w:rsid w:val="005458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864"/>
  </w:style>
  <w:style w:type="character" w:customStyle="1" w:styleId="ms-rtefontface-3">
    <w:name w:val="ms-rtefontface-3"/>
    <w:basedOn w:val="a0"/>
    <w:rsid w:val="00545864"/>
  </w:style>
  <w:style w:type="paragraph" w:styleId="a7">
    <w:name w:val="Normal (Web)"/>
    <w:basedOn w:val="a"/>
    <w:uiPriority w:val="99"/>
    <w:semiHidden/>
    <w:unhideWhenUsed/>
    <w:rsid w:val="00632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32E30"/>
    <w:rPr>
      <w:b/>
      <w:bCs/>
    </w:rPr>
  </w:style>
  <w:style w:type="character" w:styleId="a9">
    <w:name w:val="Hyperlink"/>
    <w:basedOn w:val="a0"/>
    <w:uiPriority w:val="99"/>
    <w:unhideWhenUsed/>
    <w:rsid w:val="00632E30"/>
    <w:rPr>
      <w:color w:val="0000FF"/>
      <w:u w:val="single"/>
    </w:rPr>
  </w:style>
  <w:style w:type="character" w:styleId="aa">
    <w:name w:val="Placeholder Text"/>
    <w:basedOn w:val="a0"/>
    <w:uiPriority w:val="99"/>
    <w:semiHidden/>
    <w:rsid w:val="00632E30"/>
    <w:rPr>
      <w:color w:val="808080"/>
    </w:rPr>
  </w:style>
  <w:style w:type="table" w:styleId="ab">
    <w:name w:val="Table Grid"/>
    <w:basedOn w:val="a1"/>
    <w:uiPriority w:val="39"/>
    <w:rsid w:val="002D4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A5907"/>
    <w:rPr>
      <w:sz w:val="16"/>
      <w:szCs w:val="16"/>
    </w:rPr>
  </w:style>
  <w:style w:type="paragraph" w:styleId="ad">
    <w:name w:val="annotation text"/>
    <w:basedOn w:val="a"/>
    <w:link w:val="ae"/>
    <w:uiPriority w:val="99"/>
    <w:semiHidden/>
    <w:unhideWhenUsed/>
    <w:rsid w:val="008A5907"/>
    <w:pPr>
      <w:spacing w:line="240" w:lineRule="auto"/>
    </w:pPr>
    <w:rPr>
      <w:sz w:val="20"/>
      <w:szCs w:val="20"/>
    </w:rPr>
  </w:style>
  <w:style w:type="character" w:customStyle="1" w:styleId="ae">
    <w:name w:val="Текст примечания Знак"/>
    <w:basedOn w:val="a0"/>
    <w:link w:val="ad"/>
    <w:uiPriority w:val="99"/>
    <w:semiHidden/>
    <w:rsid w:val="008A5907"/>
    <w:rPr>
      <w:sz w:val="20"/>
      <w:szCs w:val="20"/>
    </w:rPr>
  </w:style>
  <w:style w:type="paragraph" w:styleId="af">
    <w:name w:val="annotation subject"/>
    <w:basedOn w:val="ad"/>
    <w:next w:val="ad"/>
    <w:link w:val="af0"/>
    <w:uiPriority w:val="99"/>
    <w:semiHidden/>
    <w:unhideWhenUsed/>
    <w:rsid w:val="008A5907"/>
    <w:rPr>
      <w:b/>
      <w:bCs/>
    </w:rPr>
  </w:style>
  <w:style w:type="character" w:customStyle="1" w:styleId="af0">
    <w:name w:val="Тема примечания Знак"/>
    <w:basedOn w:val="ae"/>
    <w:link w:val="af"/>
    <w:uiPriority w:val="99"/>
    <w:semiHidden/>
    <w:rsid w:val="008A5907"/>
    <w:rPr>
      <w:b/>
      <w:bCs/>
      <w:sz w:val="20"/>
      <w:szCs w:val="20"/>
    </w:rPr>
  </w:style>
  <w:style w:type="paragraph" w:styleId="af1">
    <w:name w:val="Balloon Text"/>
    <w:basedOn w:val="a"/>
    <w:link w:val="af2"/>
    <w:uiPriority w:val="99"/>
    <w:semiHidden/>
    <w:unhideWhenUsed/>
    <w:rsid w:val="008A590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A5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7050">
      <w:bodyDiv w:val="1"/>
      <w:marLeft w:val="0"/>
      <w:marRight w:val="0"/>
      <w:marTop w:val="0"/>
      <w:marBottom w:val="0"/>
      <w:divBdr>
        <w:top w:val="none" w:sz="0" w:space="0" w:color="auto"/>
        <w:left w:val="none" w:sz="0" w:space="0" w:color="auto"/>
        <w:bottom w:val="none" w:sz="0" w:space="0" w:color="auto"/>
        <w:right w:val="none" w:sz="0" w:space="0" w:color="auto"/>
      </w:divBdr>
    </w:div>
    <w:div w:id="977687858">
      <w:bodyDiv w:val="1"/>
      <w:marLeft w:val="0"/>
      <w:marRight w:val="0"/>
      <w:marTop w:val="0"/>
      <w:marBottom w:val="0"/>
      <w:divBdr>
        <w:top w:val="none" w:sz="0" w:space="0" w:color="auto"/>
        <w:left w:val="none" w:sz="0" w:space="0" w:color="auto"/>
        <w:bottom w:val="none" w:sz="0" w:space="0" w:color="auto"/>
        <w:right w:val="none" w:sz="0" w:space="0" w:color="auto"/>
      </w:divBdr>
    </w:div>
    <w:div w:id="1052464033">
      <w:bodyDiv w:val="1"/>
      <w:marLeft w:val="0"/>
      <w:marRight w:val="0"/>
      <w:marTop w:val="0"/>
      <w:marBottom w:val="0"/>
      <w:divBdr>
        <w:top w:val="none" w:sz="0" w:space="0" w:color="auto"/>
        <w:left w:val="none" w:sz="0" w:space="0" w:color="auto"/>
        <w:bottom w:val="none" w:sz="0" w:space="0" w:color="auto"/>
        <w:right w:val="none" w:sz="0" w:space="0" w:color="auto"/>
      </w:divBdr>
    </w:div>
    <w:div w:id="1212226304">
      <w:bodyDiv w:val="1"/>
      <w:marLeft w:val="0"/>
      <w:marRight w:val="0"/>
      <w:marTop w:val="0"/>
      <w:marBottom w:val="0"/>
      <w:divBdr>
        <w:top w:val="none" w:sz="0" w:space="0" w:color="auto"/>
        <w:left w:val="none" w:sz="0" w:space="0" w:color="auto"/>
        <w:bottom w:val="none" w:sz="0" w:space="0" w:color="auto"/>
        <w:right w:val="none" w:sz="0" w:space="0" w:color="auto"/>
      </w:divBdr>
    </w:div>
    <w:div w:id="13629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73;&#1072;&#1083;&#1072;&#1089;&#1089;&#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73;&#1072;&#1083;&#1072;&#1089;&#1089;&#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73;&#1072;&#1083;&#1072;&#1089;&#1089;&#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73;&#1072;&#1083;&#1072;&#1089;&#1089;&#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73;&#1072;&#1083;&#1072;&#1089;&#1089;&#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73;&#1072;&#1083;&#1072;&#1089;&#1089;&#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5F8-449A-BECD-34CD9C6BC89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5F8-449A-BECD-34CD9C6BC89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5F8-449A-BECD-34CD9C6BC89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5F8-449A-BECD-34CD9C6BC89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5F8-449A-BECD-34CD9C6BC89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5F8-449A-BECD-34CD9C6BC896}"/>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5F8-449A-BECD-34CD9C6BC896}"/>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Лист1!$A$2:$A$8</c:f>
              <c:strCache>
                <c:ptCount val="7"/>
                <c:pt idx="0">
                  <c:v>Chemicals</c:v>
                </c:pt>
                <c:pt idx="1">
                  <c:v>Machinery and transport equipment</c:v>
                </c:pt>
                <c:pt idx="2">
                  <c:v>Metals</c:v>
                </c:pt>
                <c:pt idx="3">
                  <c:v>Food products</c:v>
                </c:pt>
                <c:pt idx="4">
                  <c:v>Fuels</c:v>
                </c:pt>
                <c:pt idx="5">
                  <c:v>Minerals</c:v>
                </c:pt>
                <c:pt idx="6">
                  <c:v>Others</c:v>
                </c:pt>
              </c:strCache>
            </c:strRef>
          </c:cat>
          <c:val>
            <c:numRef>
              <c:f>Лист1!$B$2:$B$8</c:f>
              <c:numCache>
                <c:formatCode>General</c:formatCode>
                <c:ptCount val="7"/>
                <c:pt idx="0">
                  <c:v>4.9000000000000004</c:v>
                </c:pt>
                <c:pt idx="1">
                  <c:v>1.4</c:v>
                </c:pt>
                <c:pt idx="2">
                  <c:v>18.100000000000001</c:v>
                </c:pt>
                <c:pt idx="3">
                  <c:v>0.8</c:v>
                </c:pt>
                <c:pt idx="4">
                  <c:v>63.4</c:v>
                </c:pt>
                <c:pt idx="5">
                  <c:v>5.0999999999999996</c:v>
                </c:pt>
                <c:pt idx="6">
                  <c:v>6.3</c:v>
                </c:pt>
              </c:numCache>
            </c:numRef>
          </c:val>
          <c:extLst xmlns:c16r2="http://schemas.microsoft.com/office/drawing/2015/06/chart">
            <c:ext xmlns:c16="http://schemas.microsoft.com/office/drawing/2014/chart" uri="{C3380CC4-5D6E-409C-BE32-E72D297353CC}">
              <c16:uniqueId val="{00000000-5AF7-4AF1-8C09-641E33C8A52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Kazakhstan</c:v>
                </c:pt>
                <c:pt idx="1">
                  <c:v>Russia</c:v>
                </c:pt>
                <c:pt idx="2">
                  <c:v>Belarus</c:v>
                </c:pt>
                <c:pt idx="3">
                  <c:v>Kyrgyzstan</c:v>
                </c:pt>
                <c:pt idx="4">
                  <c:v>Armenia</c:v>
                </c:pt>
              </c:strCache>
            </c:strRef>
          </c:cat>
          <c:val>
            <c:numRef>
              <c:f>Лист1!$B$2:$B$6</c:f>
              <c:numCache>
                <c:formatCode>General</c:formatCode>
                <c:ptCount val="5"/>
                <c:pt idx="0">
                  <c:v>30678.999</c:v>
                </c:pt>
                <c:pt idx="1">
                  <c:v>211993.27100000001</c:v>
                </c:pt>
                <c:pt idx="2">
                  <c:v>6917.78</c:v>
                </c:pt>
                <c:pt idx="3">
                  <c:v>87.146000000000001</c:v>
                </c:pt>
                <c:pt idx="4">
                  <c:v>71.978999999999999</c:v>
                </c:pt>
              </c:numCache>
            </c:numRef>
          </c:val>
          <c:extLst xmlns:c16r2="http://schemas.microsoft.com/office/drawing/2015/06/chart">
            <c:ext xmlns:c16="http://schemas.microsoft.com/office/drawing/2014/chart" uri="{C3380CC4-5D6E-409C-BE32-E72D297353CC}">
              <c16:uniqueId val="{00000000-77CA-4505-B894-F6E4CDCF080F}"/>
            </c:ext>
          </c:extLst>
        </c:ser>
        <c:dLbls>
          <c:showLegendKey val="0"/>
          <c:showVal val="0"/>
          <c:showCatName val="0"/>
          <c:showSerName val="0"/>
          <c:showPercent val="0"/>
          <c:showBubbleSize val="0"/>
        </c:dLbls>
        <c:gapWidth val="182"/>
        <c:axId val="94326784"/>
        <c:axId val="94328320"/>
      </c:barChart>
      <c:catAx>
        <c:axId val="9432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328320"/>
        <c:crosses val="autoZero"/>
        <c:auto val="1"/>
        <c:lblAlgn val="ctr"/>
        <c:lblOffset val="100"/>
        <c:noMultiLvlLbl val="0"/>
      </c:catAx>
      <c:valAx>
        <c:axId val="94328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326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Chemicals</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Лист1!$K$116:$K$125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Лист1!$L$116:$L$125</c:f>
              <c:numCache>
                <c:formatCode>General</c:formatCode>
                <c:ptCount val="10"/>
                <c:pt idx="0">
                  <c:v>2404.8040000000001</c:v>
                </c:pt>
                <c:pt idx="1">
                  <c:v>2218.2869999999998</c:v>
                </c:pt>
                <c:pt idx="2">
                  <c:v>2699.87</c:v>
                </c:pt>
                <c:pt idx="3">
                  <c:v>3194.078</c:v>
                </c:pt>
                <c:pt idx="4">
                  <c:v>3737.3110000000001</c:v>
                </c:pt>
                <c:pt idx="5">
                  <c:v>3327.1909999999998</c:v>
                </c:pt>
                <c:pt idx="6">
                  <c:v>3050.279</c:v>
                </c:pt>
                <c:pt idx="7">
                  <c:v>3264.6640000000002</c:v>
                </c:pt>
                <c:pt idx="8">
                  <c:v>2563.8270000000002</c:v>
                </c:pt>
                <c:pt idx="9">
                  <c:v>2375.4650000000001</c:v>
                </c:pt>
              </c:numCache>
            </c:numRef>
          </c:val>
          <c:smooth val="0"/>
          <c:extLst xmlns:c16r2="http://schemas.microsoft.com/office/drawing/2015/06/chart">
            <c:ext xmlns:c16="http://schemas.microsoft.com/office/drawing/2014/chart" uri="{C3380CC4-5D6E-409C-BE32-E72D297353CC}">
              <c16:uniqueId val="{00000000-4DAA-4F00-A522-944FAE54D140}"/>
            </c:ext>
          </c:extLst>
        </c:ser>
        <c:dLbls>
          <c:showLegendKey val="0"/>
          <c:showVal val="0"/>
          <c:showCatName val="0"/>
          <c:showSerName val="0"/>
          <c:showPercent val="0"/>
          <c:showBubbleSize val="0"/>
        </c:dLbls>
        <c:marker val="1"/>
        <c:smooth val="0"/>
        <c:axId val="94340224"/>
        <c:axId val="94341760"/>
      </c:lineChart>
      <c:catAx>
        <c:axId val="9434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341760"/>
        <c:crosses val="autoZero"/>
        <c:auto val="1"/>
        <c:lblAlgn val="ctr"/>
        <c:lblOffset val="100"/>
        <c:noMultiLvlLbl val="0"/>
      </c:catAx>
      <c:valAx>
        <c:axId val="9434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340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Machinery and transport</a:t>
            </a:r>
            <a:r>
              <a:rPr lang="en-US" sz="1100" baseline="0">
                <a:latin typeface="Times New Roman" panose="02020603050405020304" pitchFamily="18" charset="0"/>
                <a:cs typeface="Times New Roman" panose="02020603050405020304" pitchFamily="18" charset="0"/>
              </a:rPr>
              <a:t> equipment</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Лист1!$K$116:$K$125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Лист1!$K$128:$K$137</c:f>
              <c:numCache>
                <c:formatCode>General</c:formatCode>
                <c:ptCount val="10"/>
                <c:pt idx="0">
                  <c:v>1246.1279999999999</c:v>
                </c:pt>
                <c:pt idx="1">
                  <c:v>404.56700000000001</c:v>
                </c:pt>
                <c:pt idx="2">
                  <c:v>381.54599999999999</c:v>
                </c:pt>
                <c:pt idx="3">
                  <c:v>782.86</c:v>
                </c:pt>
                <c:pt idx="4">
                  <c:v>1342.4</c:v>
                </c:pt>
                <c:pt idx="5">
                  <c:v>1327.153</c:v>
                </c:pt>
                <c:pt idx="6">
                  <c:v>1926.973</c:v>
                </c:pt>
                <c:pt idx="7">
                  <c:v>676.55600000000004</c:v>
                </c:pt>
                <c:pt idx="8">
                  <c:v>724.44899999999996</c:v>
                </c:pt>
                <c:pt idx="9">
                  <c:v>668.94899999999996</c:v>
                </c:pt>
              </c:numCache>
            </c:numRef>
          </c:val>
          <c:smooth val="0"/>
          <c:extLst xmlns:c16r2="http://schemas.microsoft.com/office/drawing/2015/06/chart">
            <c:ext xmlns:c16="http://schemas.microsoft.com/office/drawing/2014/chart" uri="{C3380CC4-5D6E-409C-BE32-E72D297353CC}">
              <c16:uniqueId val="{00000000-727F-46F4-A188-B193645C7152}"/>
            </c:ext>
          </c:extLst>
        </c:ser>
        <c:dLbls>
          <c:showLegendKey val="0"/>
          <c:showVal val="0"/>
          <c:showCatName val="0"/>
          <c:showSerName val="0"/>
          <c:showPercent val="0"/>
          <c:showBubbleSize val="0"/>
        </c:dLbls>
        <c:marker val="1"/>
        <c:smooth val="0"/>
        <c:axId val="94349952"/>
        <c:axId val="94351744"/>
      </c:lineChart>
      <c:catAx>
        <c:axId val="9434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351744"/>
        <c:crosses val="autoZero"/>
        <c:auto val="1"/>
        <c:lblAlgn val="ctr"/>
        <c:lblOffset val="100"/>
        <c:noMultiLvlLbl val="0"/>
      </c:catAx>
      <c:valAx>
        <c:axId val="9435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349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Food products</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Лист1!$K$116:$K$125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Лист1!$L$128:$L$137</c:f>
              <c:numCache>
                <c:formatCode>General</c:formatCode>
                <c:ptCount val="10"/>
                <c:pt idx="0">
                  <c:v>188.60499999999999</c:v>
                </c:pt>
                <c:pt idx="1">
                  <c:v>145.35599999999999</c:v>
                </c:pt>
                <c:pt idx="2">
                  <c:v>186.21899999999999</c:v>
                </c:pt>
                <c:pt idx="3">
                  <c:v>258.39800000000002</c:v>
                </c:pt>
                <c:pt idx="4">
                  <c:v>351.31700000000001</c:v>
                </c:pt>
                <c:pt idx="5">
                  <c:v>382.80500000000001</c:v>
                </c:pt>
                <c:pt idx="6">
                  <c:v>403.31400000000002</c:v>
                </c:pt>
                <c:pt idx="7">
                  <c:v>347.16699999999997</c:v>
                </c:pt>
                <c:pt idx="8">
                  <c:v>338.30799999999999</c:v>
                </c:pt>
                <c:pt idx="9">
                  <c:v>385.36200000000002</c:v>
                </c:pt>
              </c:numCache>
            </c:numRef>
          </c:val>
          <c:smooth val="0"/>
          <c:extLst xmlns:c16r2="http://schemas.microsoft.com/office/drawing/2015/06/chart">
            <c:ext xmlns:c16="http://schemas.microsoft.com/office/drawing/2014/chart" uri="{C3380CC4-5D6E-409C-BE32-E72D297353CC}">
              <c16:uniqueId val="{00000000-B9E2-4230-B114-6853B92625BF}"/>
            </c:ext>
          </c:extLst>
        </c:ser>
        <c:dLbls>
          <c:showLegendKey val="0"/>
          <c:showVal val="0"/>
          <c:showCatName val="0"/>
          <c:showSerName val="0"/>
          <c:showPercent val="0"/>
          <c:showBubbleSize val="0"/>
        </c:dLbls>
        <c:marker val="1"/>
        <c:smooth val="0"/>
        <c:axId val="94359936"/>
        <c:axId val="94361472"/>
      </c:lineChart>
      <c:catAx>
        <c:axId val="9435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361472"/>
        <c:crosses val="autoZero"/>
        <c:auto val="1"/>
        <c:lblAlgn val="ctr"/>
        <c:lblOffset val="100"/>
        <c:noMultiLvlLbl val="0"/>
      </c:catAx>
      <c:valAx>
        <c:axId val="9436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3599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Minerals</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Лист1!$K$116:$K$125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Лист1!$M$116:$M$125</c:f>
              <c:numCache>
                <c:formatCode>General</c:formatCode>
                <c:ptCount val="10"/>
                <c:pt idx="0">
                  <c:v>3058.627</c:v>
                </c:pt>
                <c:pt idx="1">
                  <c:v>1925.193</c:v>
                </c:pt>
                <c:pt idx="2">
                  <c:v>2484.0140000000001</c:v>
                </c:pt>
                <c:pt idx="3">
                  <c:v>5139.2839999999997</c:v>
                </c:pt>
                <c:pt idx="4">
                  <c:v>4736.3230000000003</c:v>
                </c:pt>
                <c:pt idx="5">
                  <c:v>3251.1309999999999</c:v>
                </c:pt>
                <c:pt idx="6">
                  <c:v>3189.9319999999998</c:v>
                </c:pt>
                <c:pt idx="7">
                  <c:v>1633.5340000000001</c:v>
                </c:pt>
                <c:pt idx="8">
                  <c:v>1553.3409999999999</c:v>
                </c:pt>
                <c:pt idx="9">
                  <c:v>2467.94</c:v>
                </c:pt>
              </c:numCache>
            </c:numRef>
          </c:val>
          <c:smooth val="0"/>
          <c:extLst xmlns:c16r2="http://schemas.microsoft.com/office/drawing/2015/06/chart">
            <c:ext xmlns:c16="http://schemas.microsoft.com/office/drawing/2014/chart" uri="{C3380CC4-5D6E-409C-BE32-E72D297353CC}">
              <c16:uniqueId val="{00000000-137B-462D-812B-F00636DA0EB2}"/>
            </c:ext>
          </c:extLst>
        </c:ser>
        <c:dLbls>
          <c:showLegendKey val="0"/>
          <c:showVal val="0"/>
          <c:showCatName val="0"/>
          <c:showSerName val="0"/>
          <c:showPercent val="0"/>
          <c:showBubbleSize val="0"/>
        </c:dLbls>
        <c:marker val="1"/>
        <c:smooth val="0"/>
        <c:axId val="94779264"/>
        <c:axId val="94780800"/>
      </c:lineChart>
      <c:catAx>
        <c:axId val="9477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780800"/>
        <c:crosses val="autoZero"/>
        <c:auto val="1"/>
        <c:lblAlgn val="ctr"/>
        <c:lblOffset val="100"/>
        <c:noMultiLvlLbl val="0"/>
      </c:catAx>
      <c:valAx>
        <c:axId val="9478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779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Metals</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Лист1!$K$116:$K$125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Лист1!$J$116:$J$125</c:f>
              <c:numCache>
                <c:formatCode>General</c:formatCode>
                <c:ptCount val="10"/>
                <c:pt idx="0">
                  <c:v>10806.282999999999</c:v>
                </c:pt>
                <c:pt idx="1">
                  <c:v>5484.84</c:v>
                </c:pt>
                <c:pt idx="2">
                  <c:v>7203.12</c:v>
                </c:pt>
                <c:pt idx="3">
                  <c:v>11592.628000000001</c:v>
                </c:pt>
                <c:pt idx="4">
                  <c:v>12067.087</c:v>
                </c:pt>
                <c:pt idx="5">
                  <c:v>7802.2309999999998</c:v>
                </c:pt>
                <c:pt idx="6">
                  <c:v>6771.4040000000005</c:v>
                </c:pt>
                <c:pt idx="7">
                  <c:v>6014.9489999999996</c:v>
                </c:pt>
                <c:pt idx="8">
                  <c:v>6155.808</c:v>
                </c:pt>
                <c:pt idx="9">
                  <c:v>8730.4040000000005</c:v>
                </c:pt>
              </c:numCache>
            </c:numRef>
          </c:val>
          <c:smooth val="0"/>
          <c:extLst xmlns:c16r2="http://schemas.microsoft.com/office/drawing/2015/06/chart">
            <c:ext xmlns:c16="http://schemas.microsoft.com/office/drawing/2014/chart" uri="{C3380CC4-5D6E-409C-BE32-E72D297353CC}">
              <c16:uniqueId val="{00000000-33D9-4B12-81D2-0F54E3844493}"/>
            </c:ext>
          </c:extLst>
        </c:ser>
        <c:dLbls>
          <c:showLegendKey val="0"/>
          <c:showVal val="0"/>
          <c:showCatName val="0"/>
          <c:showSerName val="0"/>
          <c:showPercent val="0"/>
          <c:showBubbleSize val="0"/>
        </c:dLbls>
        <c:marker val="1"/>
        <c:smooth val="0"/>
        <c:axId val="94793088"/>
        <c:axId val="94798976"/>
      </c:lineChart>
      <c:catAx>
        <c:axId val="9479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798976"/>
        <c:crosses val="autoZero"/>
        <c:auto val="1"/>
        <c:lblAlgn val="ctr"/>
        <c:lblOffset val="100"/>
        <c:noMultiLvlLbl val="0"/>
      </c:catAx>
      <c:valAx>
        <c:axId val="9479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793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Fuels</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Лист1!$K$116:$K$125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Лист1!$J$128:$J$137</c:f>
              <c:numCache>
                <c:formatCode>General</c:formatCode>
                <c:ptCount val="10"/>
                <c:pt idx="0">
                  <c:v>48910.89</c:v>
                </c:pt>
                <c:pt idx="1">
                  <c:v>30027.17</c:v>
                </c:pt>
                <c:pt idx="2">
                  <c:v>41032.904999999999</c:v>
                </c:pt>
                <c:pt idx="3">
                  <c:v>63456.286999999997</c:v>
                </c:pt>
                <c:pt idx="4">
                  <c:v>64485.65</c:v>
                </c:pt>
                <c:pt idx="5">
                  <c:v>64621.311000000002</c:v>
                </c:pt>
                <c:pt idx="6">
                  <c:v>60700.571000000004</c:v>
                </c:pt>
                <c:pt idx="7">
                  <c:v>31119.562000000002</c:v>
                </c:pt>
                <c:pt idx="8">
                  <c:v>22334.960999999999</c:v>
                </c:pt>
                <c:pt idx="9">
                  <c:v>30678.999</c:v>
                </c:pt>
              </c:numCache>
            </c:numRef>
          </c:val>
          <c:smooth val="0"/>
          <c:extLst xmlns:c16r2="http://schemas.microsoft.com/office/drawing/2015/06/chart">
            <c:ext xmlns:c16="http://schemas.microsoft.com/office/drawing/2014/chart" uri="{C3380CC4-5D6E-409C-BE32-E72D297353CC}">
              <c16:uniqueId val="{00000000-5CD2-46F5-B0BF-C995F5DBA22C}"/>
            </c:ext>
          </c:extLst>
        </c:ser>
        <c:dLbls>
          <c:showLegendKey val="0"/>
          <c:showVal val="0"/>
          <c:showCatName val="0"/>
          <c:showSerName val="0"/>
          <c:showPercent val="0"/>
          <c:showBubbleSize val="0"/>
        </c:dLbls>
        <c:marker val="1"/>
        <c:smooth val="0"/>
        <c:axId val="94815360"/>
        <c:axId val="94816896"/>
      </c:lineChart>
      <c:catAx>
        <c:axId val="9481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816896"/>
        <c:crosses val="autoZero"/>
        <c:auto val="1"/>
        <c:lblAlgn val="ctr"/>
        <c:lblOffset val="100"/>
        <c:noMultiLvlLbl val="0"/>
      </c:catAx>
      <c:valAx>
        <c:axId val="9481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815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3223</Words>
  <Characters>18375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2019-03-10T08:45:00Z</dcterms:created>
  <dcterms:modified xsi:type="dcterms:W3CDTF">2019-04-01T18:04:00Z</dcterms:modified>
</cp:coreProperties>
</file>