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A4" w:rsidRDefault="009B52A4" w:rsidP="00B569B7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UDC 691.735+661.871+661.872+661.874+661.852+661.848+661.842+</w:t>
      </w:r>
    </w:p>
    <w:p w:rsidR="00B569B7" w:rsidRPr="009B52A4" w:rsidRDefault="009B52A4" w:rsidP="00B569B7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661.846+661.832+661.833+661.847.</w:t>
      </w:r>
    </w:p>
    <w:p w:rsidR="00B569B7" w:rsidRDefault="00B569B7" w:rsidP="00B569B7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en-US"/>
        </w:rPr>
      </w:pPr>
    </w:p>
    <w:p w:rsidR="00162D54" w:rsidRPr="00B569B7" w:rsidRDefault="00162D54" w:rsidP="00B569B7">
      <w:pPr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  <w:lang w:val="en-US"/>
        </w:rPr>
      </w:pPr>
      <w:r w:rsidRPr="00CE3D68">
        <w:rPr>
          <w:rFonts w:ascii="Times New Roman" w:hAnsi="Times New Roman"/>
          <w:b/>
          <w:sz w:val="28"/>
          <w:szCs w:val="28"/>
          <w:lang w:val="en-US"/>
        </w:rPr>
        <w:t>MINERAL COMPOSITION OF ACANTHIPHYLLUM I.</w:t>
      </w:r>
      <w:r w:rsidR="00097CC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CE3D68" w:rsidRPr="00CE3D68" w:rsidRDefault="00CE3D68" w:rsidP="00CE3D68">
      <w:pPr>
        <w:spacing w:after="0" w:line="240" w:lineRule="auto"/>
        <w:ind w:firstLine="357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62D54" w:rsidRPr="00CE3D68" w:rsidRDefault="00162D54" w:rsidP="00CE3D68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E3D68">
        <w:rPr>
          <w:rFonts w:ascii="Times New Roman" w:hAnsi="Times New Roman"/>
          <w:b/>
          <w:sz w:val="28"/>
          <w:szCs w:val="28"/>
          <w:lang w:val="en-US"/>
        </w:rPr>
        <w:t xml:space="preserve">I.A. </w:t>
      </w:r>
      <w:proofErr w:type="spellStart"/>
      <w:r w:rsidRPr="00CE3D68">
        <w:rPr>
          <w:rFonts w:ascii="Times New Roman" w:hAnsi="Times New Roman"/>
          <w:b/>
          <w:sz w:val="28"/>
          <w:szCs w:val="28"/>
          <w:lang w:val="en-US"/>
        </w:rPr>
        <w:t>Sotnikov</w:t>
      </w:r>
      <w:proofErr w:type="spellEnd"/>
      <w:r w:rsidRPr="00CE3D68">
        <w:rPr>
          <w:rFonts w:ascii="Times New Roman" w:hAnsi="Times New Roman"/>
          <w:b/>
          <w:sz w:val="28"/>
          <w:szCs w:val="28"/>
          <w:lang w:val="en-US"/>
        </w:rPr>
        <w:t>, Y.A. Litvinenko</w:t>
      </w:r>
      <w:r w:rsidR="00097CC1">
        <w:rPr>
          <w:rFonts w:ascii="Times New Roman" w:hAnsi="Times New Roman"/>
          <w:b/>
          <w:sz w:val="28"/>
          <w:szCs w:val="28"/>
          <w:lang w:val="en-US"/>
        </w:rPr>
        <w:t xml:space="preserve">, N.Z. </w:t>
      </w:r>
      <w:proofErr w:type="spellStart"/>
      <w:r w:rsidR="00097CC1">
        <w:rPr>
          <w:rFonts w:ascii="Times New Roman" w:hAnsi="Times New Roman"/>
          <w:b/>
          <w:sz w:val="28"/>
          <w:szCs w:val="28"/>
          <w:lang w:val="en-US"/>
        </w:rPr>
        <w:t>Ahtaeva</w:t>
      </w:r>
      <w:proofErr w:type="spellEnd"/>
    </w:p>
    <w:p w:rsidR="00D85F60" w:rsidRPr="00BC0A4F" w:rsidRDefault="00721018" w:rsidP="00CE3D68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hyperlink r:id="rId8" w:history="1">
        <w:r w:rsidR="00162D54" w:rsidRPr="00CE3D68">
          <w:rPr>
            <w:rStyle w:val="a5"/>
            <w:rFonts w:ascii="Times New Roman" w:hAnsi="Times New Roman"/>
            <w:sz w:val="28"/>
            <w:szCs w:val="28"/>
            <w:lang w:val="en-US"/>
          </w:rPr>
          <w:t>Analfire24@gmail.com</w:t>
        </w:r>
      </w:hyperlink>
    </w:p>
    <w:p w:rsidR="00162D54" w:rsidRPr="00CE3D68" w:rsidRDefault="00162D54" w:rsidP="00CE3D68">
      <w:pPr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  <w:lang w:val="en-US"/>
        </w:rPr>
      </w:pPr>
      <w:r w:rsidRPr="00CE3D68">
        <w:rPr>
          <w:rFonts w:ascii="Times New Roman" w:hAnsi="Times New Roman"/>
          <w:sz w:val="28"/>
          <w:szCs w:val="28"/>
          <w:lang w:val="en-US"/>
        </w:rPr>
        <w:t>Kazakh National University after Al-</w:t>
      </w:r>
      <w:proofErr w:type="spellStart"/>
      <w:r w:rsidRPr="00CE3D68">
        <w:rPr>
          <w:rFonts w:ascii="Times New Roman" w:hAnsi="Times New Roman"/>
          <w:sz w:val="28"/>
          <w:szCs w:val="28"/>
          <w:lang w:val="en-US"/>
        </w:rPr>
        <w:t>Farabi</w:t>
      </w:r>
      <w:proofErr w:type="spellEnd"/>
      <w:r w:rsidR="00CE3D68" w:rsidRPr="00CE3D68">
        <w:rPr>
          <w:rFonts w:ascii="Times New Roman" w:hAnsi="Times New Roman"/>
          <w:sz w:val="28"/>
          <w:szCs w:val="28"/>
          <w:lang w:val="en-US"/>
        </w:rPr>
        <w:t>, Almaty.</w:t>
      </w:r>
    </w:p>
    <w:p w:rsidR="00CE3D68" w:rsidRPr="00CE3D68" w:rsidRDefault="00CE3D68" w:rsidP="00CE3D68">
      <w:pPr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E3BCF" w:rsidRPr="00CE3D68" w:rsidRDefault="000E3BCF" w:rsidP="00CE3D68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E3D68">
        <w:rPr>
          <w:rFonts w:ascii="Times New Roman" w:hAnsi="Times New Roman"/>
          <w:b/>
          <w:sz w:val="28"/>
          <w:szCs w:val="28"/>
          <w:lang w:val="en-US"/>
        </w:rPr>
        <w:t xml:space="preserve">Key words: </w:t>
      </w:r>
      <w:r w:rsidRPr="00CE3D68">
        <w:rPr>
          <w:rFonts w:ascii="Times New Roman" w:hAnsi="Times New Roman"/>
          <w:sz w:val="28"/>
          <w:szCs w:val="28"/>
          <w:lang w:val="en-US"/>
        </w:rPr>
        <w:t>Acanthophyllum I, mineral composition, Caryophyllaceae, ecological safety.</w:t>
      </w:r>
    </w:p>
    <w:p w:rsidR="00162D54" w:rsidRDefault="00162D54" w:rsidP="00CE3D6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Hlk479967502"/>
      <w:r w:rsidRPr="00CE3D68">
        <w:rPr>
          <w:rFonts w:ascii="Times New Roman" w:hAnsi="Times New Roman"/>
          <w:b/>
          <w:sz w:val="28"/>
          <w:szCs w:val="28"/>
          <w:lang w:val="en-US"/>
        </w:rPr>
        <w:t>Abstract.</w:t>
      </w:r>
      <w:r w:rsidR="000E3BCF" w:rsidRPr="00CE3D6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E3D68">
        <w:rPr>
          <w:rFonts w:ascii="Times New Roman" w:hAnsi="Times New Roman"/>
          <w:sz w:val="28"/>
          <w:szCs w:val="28"/>
          <w:lang w:val="en-US"/>
        </w:rPr>
        <w:t>The paper presents</w:t>
      </w:r>
      <w:r w:rsidR="005F5DE0">
        <w:rPr>
          <w:rFonts w:ascii="Times New Roman" w:hAnsi="Times New Roman"/>
          <w:sz w:val="28"/>
          <w:szCs w:val="28"/>
          <w:lang w:val="en-US"/>
        </w:rPr>
        <w:t xml:space="preserve"> the result study of mineral composition from</w:t>
      </w:r>
      <w:r w:rsidRPr="00CE3D68">
        <w:rPr>
          <w:rFonts w:ascii="Times New Roman" w:hAnsi="Times New Roman"/>
          <w:sz w:val="28"/>
          <w:szCs w:val="28"/>
          <w:lang w:val="en-US"/>
        </w:rPr>
        <w:t xml:space="preserve"> the abovegroun</w:t>
      </w:r>
      <w:r w:rsidR="005F5DE0">
        <w:rPr>
          <w:rFonts w:ascii="Times New Roman" w:hAnsi="Times New Roman"/>
          <w:sz w:val="28"/>
          <w:szCs w:val="28"/>
          <w:lang w:val="en-US"/>
        </w:rPr>
        <w:t>d part of Acanthophyllum I. which was</w:t>
      </w:r>
      <w:r w:rsidRPr="00CE3D68">
        <w:rPr>
          <w:rFonts w:ascii="Times New Roman" w:hAnsi="Times New Roman"/>
          <w:sz w:val="28"/>
          <w:szCs w:val="28"/>
          <w:lang w:val="en-US"/>
        </w:rPr>
        <w:t xml:space="preserve"> collected</w:t>
      </w:r>
      <w:r w:rsidR="005F5DE0">
        <w:rPr>
          <w:rFonts w:ascii="Times New Roman" w:hAnsi="Times New Roman"/>
          <w:sz w:val="28"/>
          <w:szCs w:val="28"/>
          <w:lang w:val="en-US"/>
        </w:rPr>
        <w:t xml:space="preserve"> in 2016</w:t>
      </w:r>
      <w:r w:rsidRPr="00CE3D68">
        <w:rPr>
          <w:rFonts w:ascii="Times New Roman" w:hAnsi="Times New Roman"/>
          <w:sz w:val="28"/>
          <w:szCs w:val="28"/>
          <w:lang w:val="en-US"/>
        </w:rPr>
        <w:t xml:space="preserve"> during the flowering period from Ile area, Almaty region. The study was conducted by</w:t>
      </w:r>
      <w:r w:rsidR="005F5DE0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CE3D68">
        <w:rPr>
          <w:rFonts w:ascii="Times New Roman" w:hAnsi="Times New Roman"/>
          <w:sz w:val="28"/>
          <w:szCs w:val="28"/>
          <w:lang w:val="en-US"/>
        </w:rPr>
        <w:t xml:space="preserve"> method of atomic absorption analysis at Center of Physical and </w:t>
      </w:r>
      <w:r w:rsidR="005F5DE0">
        <w:rPr>
          <w:rFonts w:ascii="Times New Roman" w:hAnsi="Times New Roman"/>
          <w:sz w:val="28"/>
          <w:szCs w:val="28"/>
          <w:lang w:val="en-US"/>
        </w:rPr>
        <w:t>Chemical Methods of Analysis. In</w:t>
      </w:r>
      <w:r w:rsidRPr="00CE3D68">
        <w:rPr>
          <w:rFonts w:ascii="Times New Roman" w:hAnsi="Times New Roman"/>
          <w:sz w:val="28"/>
          <w:szCs w:val="28"/>
          <w:lang w:val="en-US"/>
        </w:rPr>
        <w:t xml:space="preserve"> a result</w:t>
      </w:r>
      <w:r w:rsidR="005F5DE0">
        <w:rPr>
          <w:rFonts w:ascii="Times New Roman" w:hAnsi="Times New Roman"/>
          <w:sz w:val="28"/>
          <w:szCs w:val="28"/>
          <w:lang w:val="en-US"/>
        </w:rPr>
        <w:t xml:space="preserve"> information about</w:t>
      </w:r>
      <w:r w:rsidRPr="00CE3D68">
        <w:rPr>
          <w:rFonts w:ascii="Times New Roman" w:hAnsi="Times New Roman"/>
          <w:sz w:val="28"/>
          <w:szCs w:val="28"/>
          <w:lang w:val="en-US"/>
        </w:rPr>
        <w:t xml:space="preserve"> the micro and macro element compositions of aboveground part of Acanthophyllum I from family of Caryophyllaceae</w:t>
      </w:r>
      <w:r w:rsidR="005F5DE0">
        <w:rPr>
          <w:rFonts w:ascii="Times New Roman" w:hAnsi="Times New Roman"/>
          <w:sz w:val="28"/>
          <w:szCs w:val="28"/>
          <w:lang w:val="en-US"/>
        </w:rPr>
        <w:t xml:space="preserve"> were obtained</w:t>
      </w:r>
      <w:r w:rsidRPr="00CE3D68">
        <w:rPr>
          <w:rFonts w:ascii="Times New Roman" w:hAnsi="Times New Roman"/>
          <w:sz w:val="28"/>
          <w:szCs w:val="28"/>
          <w:lang w:val="en-US"/>
        </w:rPr>
        <w:t>.</w:t>
      </w:r>
      <w:r w:rsidR="001C28AD" w:rsidRPr="00CE3D68">
        <w:rPr>
          <w:rFonts w:ascii="Times New Roman" w:hAnsi="Times New Roman"/>
          <w:sz w:val="28"/>
          <w:szCs w:val="28"/>
          <w:lang w:val="en-US"/>
        </w:rPr>
        <w:t xml:space="preserve"> The results of the research are evidence to the eco</w:t>
      </w:r>
      <w:r w:rsidR="000E3BCF" w:rsidRPr="00CE3D68">
        <w:rPr>
          <w:rFonts w:ascii="Times New Roman" w:hAnsi="Times New Roman"/>
          <w:sz w:val="28"/>
          <w:szCs w:val="28"/>
          <w:lang w:val="en-US"/>
        </w:rPr>
        <w:t>logical safety of the Acanthophyllum</w:t>
      </w:r>
      <w:r w:rsidR="005F5DE0">
        <w:rPr>
          <w:rFonts w:ascii="Times New Roman" w:hAnsi="Times New Roman"/>
          <w:sz w:val="28"/>
          <w:szCs w:val="28"/>
          <w:lang w:val="en-US"/>
        </w:rPr>
        <w:t xml:space="preserve"> I. and the possibility of </w:t>
      </w:r>
      <w:proofErr w:type="spellStart"/>
      <w:r w:rsidR="005F5DE0">
        <w:rPr>
          <w:rFonts w:ascii="Times New Roman" w:hAnsi="Times New Roman"/>
          <w:sz w:val="28"/>
          <w:szCs w:val="28"/>
          <w:lang w:val="en-US"/>
        </w:rPr>
        <w:t>it’s</w:t>
      </w:r>
      <w:proofErr w:type="spellEnd"/>
      <w:r w:rsidR="005F5DE0">
        <w:rPr>
          <w:rFonts w:ascii="Times New Roman" w:hAnsi="Times New Roman"/>
          <w:sz w:val="28"/>
          <w:szCs w:val="28"/>
          <w:lang w:val="en-US"/>
        </w:rPr>
        <w:t xml:space="preserve"> usage</w:t>
      </w:r>
      <w:r w:rsidR="000E3BCF" w:rsidRPr="00CE3D68">
        <w:rPr>
          <w:rFonts w:ascii="Times New Roman" w:hAnsi="Times New Roman"/>
          <w:sz w:val="28"/>
          <w:szCs w:val="28"/>
          <w:lang w:val="en-US"/>
        </w:rPr>
        <w:t xml:space="preserve"> as the valuable source of the vitally  necessary elements.</w:t>
      </w:r>
    </w:p>
    <w:p w:rsidR="007B1721" w:rsidRPr="00CE3D68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bookmarkEnd w:id="0"/>
    <w:p w:rsidR="009B52A4" w:rsidRPr="00A46C49" w:rsidRDefault="000E3BCF" w:rsidP="009B52A4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 w:rsidRPr="009B52A4">
        <w:rPr>
          <w:rFonts w:ascii="Times New Roman" w:hAnsi="Times New Roman"/>
          <w:sz w:val="28"/>
          <w:szCs w:val="28"/>
        </w:rPr>
        <w:t>УДК</w:t>
      </w:r>
      <w:r w:rsidRPr="00097C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52A4" w:rsidRPr="00A46C49">
        <w:rPr>
          <w:rFonts w:ascii="Times New Roman" w:hAnsi="Times New Roman"/>
          <w:sz w:val="28"/>
          <w:szCs w:val="28"/>
        </w:rPr>
        <w:t>691.735+661.871+661.872+661.874+661.852+661.848+661.842+</w:t>
      </w:r>
    </w:p>
    <w:p w:rsidR="009B52A4" w:rsidRPr="00A46C49" w:rsidRDefault="009B52A4" w:rsidP="009B52A4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 w:rsidRPr="00A46C49">
        <w:rPr>
          <w:rFonts w:ascii="Times New Roman" w:hAnsi="Times New Roman"/>
          <w:sz w:val="28"/>
          <w:szCs w:val="28"/>
        </w:rPr>
        <w:t>661.846+661.832+661.833+661.847.</w:t>
      </w:r>
    </w:p>
    <w:p w:rsidR="00B569B7" w:rsidRPr="00097CC1" w:rsidRDefault="00B569B7" w:rsidP="00B569B7">
      <w:pPr>
        <w:spacing w:line="240" w:lineRule="auto"/>
        <w:ind w:firstLine="357"/>
        <w:rPr>
          <w:rFonts w:ascii="Times New Roman" w:hAnsi="Times New Roman"/>
          <w:color w:val="FF0000"/>
          <w:sz w:val="28"/>
          <w:szCs w:val="28"/>
        </w:rPr>
      </w:pPr>
    </w:p>
    <w:p w:rsidR="00513243" w:rsidRPr="00CE3D68" w:rsidRDefault="00057E45" w:rsidP="00B569B7">
      <w:pPr>
        <w:spacing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 w:rsidRPr="00CE3D68">
        <w:rPr>
          <w:rFonts w:ascii="Times New Roman" w:hAnsi="Times New Roman"/>
          <w:b/>
          <w:sz w:val="28"/>
          <w:szCs w:val="28"/>
        </w:rPr>
        <w:t xml:space="preserve">МИНЕРАЛЬНЫЙ СОСТАВ КОЛЮЧЕЛИСТНИКА ИЛИЙСКОГО ( </w:t>
      </w:r>
      <w:r w:rsidRPr="00CE3D68">
        <w:rPr>
          <w:rFonts w:ascii="Times New Roman" w:hAnsi="Times New Roman"/>
          <w:b/>
          <w:i/>
          <w:sz w:val="28"/>
          <w:szCs w:val="28"/>
        </w:rPr>
        <w:t>ACANTHOPHYL</w:t>
      </w:r>
      <w:r w:rsidRPr="00CE3D68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CE3D68">
        <w:rPr>
          <w:rFonts w:ascii="Times New Roman" w:hAnsi="Times New Roman"/>
          <w:b/>
          <w:i/>
          <w:sz w:val="28"/>
          <w:szCs w:val="28"/>
        </w:rPr>
        <w:t xml:space="preserve">UM </w:t>
      </w:r>
      <w:r w:rsidRPr="00CE3D6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CE3D68">
        <w:rPr>
          <w:rFonts w:ascii="Times New Roman" w:hAnsi="Times New Roman"/>
          <w:b/>
          <w:sz w:val="28"/>
          <w:szCs w:val="28"/>
        </w:rPr>
        <w:t>.)</w:t>
      </w:r>
    </w:p>
    <w:p w:rsidR="00097CC1" w:rsidRDefault="00097CC1" w:rsidP="00CE3D6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3D68">
        <w:rPr>
          <w:rFonts w:ascii="Times New Roman" w:eastAsiaTheme="minorHAnsi" w:hAnsi="Times New Roman"/>
          <w:b/>
          <w:sz w:val="28"/>
          <w:szCs w:val="28"/>
        </w:rPr>
        <w:t>И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Pr="00CE3D68">
        <w:rPr>
          <w:rFonts w:ascii="Times New Roman" w:eastAsiaTheme="minorHAnsi" w:hAnsi="Times New Roman"/>
          <w:b/>
          <w:sz w:val="28"/>
          <w:szCs w:val="28"/>
        </w:rPr>
        <w:t xml:space="preserve"> А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Pr="00CE3D6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57E45" w:rsidRPr="00CE3D68">
        <w:rPr>
          <w:rFonts w:ascii="Times New Roman" w:eastAsiaTheme="minorHAnsi" w:hAnsi="Times New Roman"/>
          <w:b/>
          <w:sz w:val="28"/>
          <w:szCs w:val="28"/>
        </w:rPr>
        <w:t>Сотников</w:t>
      </w:r>
      <w:r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057E45" w:rsidRPr="00CE3D68">
        <w:rPr>
          <w:rFonts w:ascii="Times New Roman" w:eastAsiaTheme="minorHAnsi" w:hAnsi="Times New Roman"/>
          <w:b/>
          <w:sz w:val="28"/>
          <w:szCs w:val="28"/>
        </w:rPr>
        <w:t xml:space="preserve"> Ю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="00057E45" w:rsidRPr="00CE3D68">
        <w:rPr>
          <w:rFonts w:ascii="Times New Roman" w:eastAsiaTheme="minorHAnsi" w:hAnsi="Times New Roman"/>
          <w:b/>
          <w:sz w:val="28"/>
          <w:szCs w:val="28"/>
        </w:rPr>
        <w:t xml:space="preserve"> А</w:t>
      </w:r>
      <w:r>
        <w:rPr>
          <w:rFonts w:ascii="Times New Roman" w:eastAsiaTheme="minorHAnsi" w:hAnsi="Times New Roman"/>
          <w:b/>
          <w:sz w:val="28"/>
          <w:szCs w:val="28"/>
        </w:rPr>
        <w:t>. Литвиненко</w:t>
      </w:r>
      <w:r w:rsidR="00057E45" w:rsidRPr="00CE3D68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Н.З.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Ахтаева</w:t>
      </w:r>
      <w:proofErr w:type="spellEnd"/>
    </w:p>
    <w:p w:rsidR="00D85F60" w:rsidRPr="00CE3D68" w:rsidRDefault="00721018" w:rsidP="00CE3D68">
      <w:pPr>
        <w:spacing w:after="0" w:line="240" w:lineRule="auto"/>
        <w:jc w:val="center"/>
        <w:rPr>
          <w:rFonts w:ascii="Times New Roman" w:eastAsiaTheme="minorHAnsi" w:hAnsi="Times New Roman"/>
          <w:b/>
          <w:color w:val="0563C1" w:themeColor="hyperlink"/>
          <w:sz w:val="28"/>
          <w:szCs w:val="28"/>
          <w:u w:val="single"/>
        </w:rPr>
      </w:pPr>
      <w:hyperlink r:id="rId9" w:history="1">
        <w:r w:rsidR="00CE3D68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  <w:lang w:val="en-US"/>
          </w:rPr>
          <w:t>Analfire</w:t>
        </w:r>
        <w:r w:rsidR="00CE3D68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</w:rPr>
          <w:t>24@</w:t>
        </w:r>
        <w:r w:rsidR="00CE3D68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  <w:lang w:val="en-US"/>
          </w:rPr>
          <w:t>gmail</w:t>
        </w:r>
        <w:r w:rsidR="00CE3D68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</w:rPr>
          <w:t>.</w:t>
        </w:r>
        <w:r w:rsidR="00CE3D68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  <w:lang w:val="en-US"/>
          </w:rPr>
          <w:t>com</w:t>
        </w:r>
      </w:hyperlink>
    </w:p>
    <w:p w:rsidR="00057E45" w:rsidRPr="00CE3D68" w:rsidRDefault="00057E45" w:rsidP="00CE3D6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3D68">
        <w:rPr>
          <w:rFonts w:ascii="Times New Roman" w:eastAsiaTheme="minorHAnsi" w:hAnsi="Times New Roman"/>
          <w:sz w:val="28"/>
          <w:szCs w:val="28"/>
        </w:rPr>
        <w:t>Казахский национальный университет им. аль-</w:t>
      </w:r>
      <w:proofErr w:type="spellStart"/>
      <w:r w:rsidRPr="00CE3D68">
        <w:rPr>
          <w:rFonts w:ascii="Times New Roman" w:eastAsiaTheme="minorHAnsi" w:hAnsi="Times New Roman"/>
          <w:sz w:val="28"/>
          <w:szCs w:val="28"/>
        </w:rPr>
        <w:t>Фараби</w:t>
      </w:r>
      <w:proofErr w:type="spellEnd"/>
      <w:r w:rsidR="00CE3D68" w:rsidRPr="00CE3D68">
        <w:rPr>
          <w:rFonts w:ascii="Times New Roman" w:eastAsiaTheme="minorHAnsi" w:hAnsi="Times New Roman"/>
          <w:sz w:val="28"/>
          <w:szCs w:val="28"/>
        </w:rPr>
        <w:t>, Алматы.</w:t>
      </w:r>
    </w:p>
    <w:p w:rsidR="00CE3D68" w:rsidRPr="00CE3D68" w:rsidRDefault="00CE3D68" w:rsidP="00CE3D6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0E3BCF" w:rsidRPr="00CE3D68" w:rsidRDefault="000E3BCF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Ключевые слова: 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Колючелистник илийский, минеральный состав, семейство гвоздичные, экологическая безопасность.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Аннотация.</w:t>
      </w:r>
      <w:r w:rsidR="000E3BCF"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В статье приводятся результаты исследования минерального состава надземной части колючелистника илийского (</w:t>
      </w:r>
      <w:r w:rsidRPr="00CE3D6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Acanthophyllum</w:t>
      </w:r>
      <w:r w:rsidRPr="00CE3D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E3D6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), собранного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в 2016 году в </w:t>
      </w:r>
      <w:proofErr w:type="spellStart"/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Илийском</w:t>
      </w:r>
      <w:proofErr w:type="spellEnd"/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регионе, Алматинской области. Исследование было проведено методом атомно-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абсорбционного анализа на базе Ц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ентра физико- химических методов исследования и анализа (ЦФХМА). В результате получены сведения о микро- и макроэлементном составе колючелистника илийского (</w:t>
      </w:r>
      <w:bookmarkStart w:id="1" w:name="_Hlk478656305"/>
      <w:r w:rsidRPr="00CE3D6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Acanthophyllum</w:t>
      </w:r>
      <w:r w:rsidRPr="00CE3D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E3D6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bookmarkEnd w:id="1"/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.).</w:t>
      </w:r>
      <w:r w:rsidR="000E3BCF"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исследования свидетельствуют об экологической безопасности колючелистника и использования его в качестве ценного источника жизненно необходимых элементов.</w:t>
      </w:r>
    </w:p>
    <w:p w:rsidR="00B569B7" w:rsidRDefault="00B569B7" w:rsidP="00CE3D68">
      <w:pPr>
        <w:spacing w:after="0" w:line="24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243" w:rsidRPr="00CE3D68" w:rsidRDefault="00513243" w:rsidP="00CE3D68">
      <w:pPr>
        <w:spacing w:after="0" w:line="24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Введение</w:t>
      </w:r>
      <w:r w:rsidR="00744817"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Микроэлементы – это группа химических элементов, которые содержатся в организме человека и животных в очень малых количествах, в пределах 10</w:t>
      </w:r>
      <w:r w:rsidRPr="00CE3D6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-3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-10</w:t>
      </w:r>
      <w:r w:rsidRPr="00CE3D6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-12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мг % [1].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Наиболее правильным классификатором микро и макроэлементов является термин – биологически значимые элементы.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br/>
        <w:t>При этом сама классификация на микро и макроэлементы зависит от их содержания:</w:t>
      </w:r>
    </w:p>
    <w:p w:rsidR="00513243" w:rsidRPr="00CE3D68" w:rsidRDefault="00513243" w:rsidP="00CE3D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Микроэлемент — содержание менее 0,001%</w:t>
      </w:r>
    </w:p>
    <w:p w:rsidR="00513243" w:rsidRPr="00CE3D68" w:rsidRDefault="00513243" w:rsidP="00CE3D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Макроэлемент – содержание больше 0,1%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наряду с интенсивно развивающимися исследованиями биологически активных органических соединений, входящих в состав лекарственных растений, актуальное значение приобретает систематическое изучение элементного состава лекарственных растений в связи с накоплением в них ряда важнейших биогенных химических элементов, участвующих во многих физиологических и биохимических реакциях и процессах протекающих в организме[2]. </w:t>
      </w:r>
    </w:p>
    <w:p w:rsidR="00744817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Установлено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растения являются одним из лучших накопителей макро- и микро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элементов (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растительных организмах обнаружено более 70 химических элементов), которые оказывают терапевтический эффект на человека. Это связано в первую очередь с тем, что минеральные вещества находятся в растениях в наиболее усвояемой форме, в оптимальных для организма соединениях. Однако растения способны накапливать и тяжелые металлы, токсичные для человека, и количественное содержание элементов в них обусловлено средой обитания и экологическими факторами. Поэтому изучение минерального состава сырья, определение тяжелых металлов в нем и лекарственных препаратов на основе растительного сырья являются актуальными проблемами[3</w:t>
      </w:r>
      <w:r w:rsidR="0094632B" w:rsidRPr="00CE3D68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744817" w:rsidRPr="00CE3D68" w:rsidRDefault="00513243" w:rsidP="00CE3D68">
      <w:pPr>
        <w:spacing w:after="0" w:line="24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Эксперимент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изучения являлись надземная часть колючелистника илийского, собранного в период цветения в </w:t>
      </w:r>
      <w:r w:rsidR="006C0975"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году в </w:t>
      </w:r>
      <w:proofErr w:type="spellStart"/>
      <w:r w:rsidR="006C0975" w:rsidRPr="00CE3D68">
        <w:rPr>
          <w:rFonts w:ascii="Times New Roman" w:eastAsia="Times New Roman" w:hAnsi="Times New Roman"/>
          <w:sz w:val="28"/>
          <w:szCs w:val="28"/>
          <w:lang w:eastAsia="ru-RU"/>
        </w:rPr>
        <w:t>Илийском</w:t>
      </w:r>
      <w:proofErr w:type="spellEnd"/>
      <w:r w:rsidR="006C0975"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регионе, Алматинской области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, заготовка осуществлена с соблюдением санитарных требований и требований Государственной Фармакопей РК. Количественное содержание микро- и макроэлементов определяли из зольных остатков, полученных по следующей методике. 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1 г препарата или 3-5 г измельченного лекарственного растительного сырья (точная навеска) помещают в предварительно прокаленный и точно взвешенный фарфоровый, кварцевый или платиновый тигель, равномерно распределяя вещество по дну тигля. 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тигель осторожно нагревают, давая сначала веществу сгореть или улетучиться при возможно более низкой температуре. Сжигание оставшихся частиц угля надо тоже вести при возможно более низкой температуре; после того как уголь сгорит почти полностью, увеличивают пламя. При неполном сгорании частиц угля остаток охлаждают, смачивают водой или насыщенным 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раствором аммония нитрата, выпаривают на водяной бане и остаток прокаливают. В случае необходимости такую операцию повторяют несколько раз.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Прокаливание ведут при слабом красном калении (около 500°С) до постоянной массы, избегая сплавления золы и спекания со стенками тигля. По окончании прокаливания тигель охлаждают в эксикаторе и затем, получившуюся золу, сжигают ещё раз при 600°С до получения равномерного серого окраса. 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Если результат не достигнут, остаток растворить в концентрированной азотной кислоте, после чего нагревают на плитке удаляя азотную кислоту и затем в муфеле при 400°С в течений 30 мин.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Окончательно осадок растворяют в 5 мл </w:t>
      </w:r>
      <w:r w:rsidRPr="00CE3D68">
        <w:rPr>
          <w:rFonts w:ascii="Times New Roman" w:eastAsia="Times New Roman" w:hAnsi="Times New Roman"/>
          <w:sz w:val="28"/>
          <w:szCs w:val="28"/>
          <w:lang w:val="en-US" w:eastAsia="ru-RU"/>
        </w:rPr>
        <w:t>HNO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3 (1:1) при нагревании. Получившийся раствор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прогреть на плитке до влажных солей. Результат растворяют в 10-15 мл 1н </w:t>
      </w:r>
      <w:proofErr w:type="spellStart"/>
      <w:r w:rsidRPr="00CE3D68">
        <w:rPr>
          <w:rFonts w:ascii="Times New Roman" w:eastAsia="Times New Roman" w:hAnsi="Times New Roman"/>
          <w:sz w:val="28"/>
          <w:szCs w:val="28"/>
          <w:lang w:val="en-US" w:eastAsia="ru-RU"/>
        </w:rPr>
        <w:t>HCl</w:t>
      </w:r>
      <w:proofErr w:type="spellEnd"/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1н </w:t>
      </w:r>
      <w:r w:rsidRPr="00CE3D68">
        <w:rPr>
          <w:rFonts w:ascii="Times New Roman" w:eastAsia="Times New Roman" w:hAnsi="Times New Roman"/>
          <w:sz w:val="28"/>
          <w:szCs w:val="28"/>
          <w:lang w:val="en-US" w:eastAsia="ru-RU"/>
        </w:rPr>
        <w:t>HNO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3 (Второй вариант предпочтительнее) и переносят в мерную колбу на 25мл, доводят объём до метки.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Параллельно проводят холостой опыт, заключающийся в том, что готовится раствор той же концентраций из той же кислоты с применением той же посуды.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Затем готовые образцы были переданы в Центр физико-химических методов исследования и анализа для определения минерального состава методом атомно-адсорбционной спектроскопии на приборе «</w:t>
      </w:r>
      <w:r w:rsidRPr="00CE3D68">
        <w:rPr>
          <w:rFonts w:ascii="Times New Roman" w:eastAsia="Times New Roman" w:hAnsi="Times New Roman"/>
          <w:sz w:val="28"/>
          <w:szCs w:val="28"/>
          <w:lang w:val="en-US" w:eastAsia="ru-RU"/>
        </w:rPr>
        <w:t>ASSIN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» фирмы «Карл Цейс».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Ниже предст</w:t>
      </w:r>
      <w:r w:rsidR="0094632B" w:rsidRPr="00CE3D68">
        <w:rPr>
          <w:rFonts w:ascii="Times New Roman" w:eastAsia="Times New Roman" w:hAnsi="Times New Roman"/>
          <w:sz w:val="28"/>
          <w:szCs w:val="28"/>
          <w:lang w:eastAsia="ru-RU"/>
        </w:rPr>
        <w:t>авлены полученные результаты [5,6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744817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Выявлено, что количество тяжелых металлов не превышает допустимые нормы их наличия в лекарственном сырье.</w:t>
      </w:r>
    </w:p>
    <w:p w:rsidR="00744817" w:rsidRPr="00CE3D68" w:rsidRDefault="00CE3D68" w:rsidP="00CE3D68">
      <w:pPr>
        <w:spacing w:after="0" w:line="24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исследования</w:t>
      </w:r>
    </w:p>
    <w:p w:rsidR="006C0975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 минеральном составе были получены методом атомно-абсорбционного анализа проведённого на материально-технической базе 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ентра физико-химических методов анализа. Результаты представлены в таблицах 1 и 2</w:t>
      </w:r>
      <w:r w:rsidR="00CE3D68"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рисунках 1-2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7CC1" w:rsidRPr="00CE3D68" w:rsidRDefault="00097CC1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975" w:rsidRPr="00CE3D68" w:rsidRDefault="006C0975" w:rsidP="00CE3D6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13243"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1 - </w:t>
      </w:r>
      <w:bookmarkStart w:id="2" w:name="_Hlk479968416"/>
      <w:r w:rsidR="00513243"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Количественное содержание микроэлементов в </w:t>
      </w: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надземной части колючелистника илийского</w:t>
      </w:r>
      <w:bookmarkEnd w:id="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4"/>
        <w:gridCol w:w="1214"/>
        <w:gridCol w:w="1098"/>
        <w:gridCol w:w="980"/>
        <w:gridCol w:w="1333"/>
        <w:gridCol w:w="980"/>
        <w:gridCol w:w="1333"/>
        <w:gridCol w:w="1333"/>
      </w:tblGrid>
      <w:tr w:rsidR="006C0975" w:rsidRPr="00CE3D68" w:rsidTr="00097CC1">
        <w:tc>
          <w:tcPr>
            <w:tcW w:w="1074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1214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Cd</w:t>
            </w:r>
          </w:p>
        </w:tc>
        <w:tc>
          <w:tcPr>
            <w:tcW w:w="1098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Pb</w:t>
            </w:r>
            <w:proofErr w:type="spellEnd"/>
          </w:p>
        </w:tc>
        <w:tc>
          <w:tcPr>
            <w:tcW w:w="980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</w:t>
            </w:r>
          </w:p>
        </w:tc>
        <w:tc>
          <w:tcPr>
            <w:tcW w:w="1333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Ni</w:t>
            </w:r>
          </w:p>
        </w:tc>
        <w:tc>
          <w:tcPr>
            <w:tcW w:w="980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Mn</w:t>
            </w:r>
            <w:proofErr w:type="spellEnd"/>
          </w:p>
        </w:tc>
        <w:tc>
          <w:tcPr>
            <w:tcW w:w="1333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Zn</w:t>
            </w:r>
          </w:p>
        </w:tc>
        <w:tc>
          <w:tcPr>
            <w:tcW w:w="1333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Cu</w:t>
            </w:r>
          </w:p>
        </w:tc>
      </w:tr>
      <w:tr w:rsidR="006C0975" w:rsidRPr="00CE3D68" w:rsidTr="00097CC1">
        <w:tc>
          <w:tcPr>
            <w:tcW w:w="1074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Мкг/мл</w:t>
            </w:r>
          </w:p>
        </w:tc>
        <w:tc>
          <w:tcPr>
            <w:tcW w:w="1214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0.012</w:t>
            </w:r>
          </w:p>
        </w:tc>
        <w:tc>
          <w:tcPr>
            <w:tcW w:w="1098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0.2348</w:t>
            </w:r>
          </w:p>
        </w:tc>
        <w:tc>
          <w:tcPr>
            <w:tcW w:w="980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15.6006</w:t>
            </w:r>
          </w:p>
        </w:tc>
        <w:tc>
          <w:tcPr>
            <w:tcW w:w="1333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0.0816</w:t>
            </w:r>
          </w:p>
        </w:tc>
        <w:tc>
          <w:tcPr>
            <w:tcW w:w="980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1.0704</w:t>
            </w:r>
          </w:p>
        </w:tc>
        <w:tc>
          <w:tcPr>
            <w:tcW w:w="1333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0.3334</w:t>
            </w:r>
          </w:p>
        </w:tc>
        <w:tc>
          <w:tcPr>
            <w:tcW w:w="1333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0.2552</w:t>
            </w:r>
          </w:p>
        </w:tc>
      </w:tr>
      <w:tr w:rsidR="006C0975" w:rsidRPr="00CE3D68" w:rsidTr="00097CC1">
        <w:tc>
          <w:tcPr>
            <w:tcW w:w="1074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4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0,0000012</w:t>
            </w:r>
          </w:p>
        </w:tc>
        <w:tc>
          <w:tcPr>
            <w:tcW w:w="1098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0,000023</w:t>
            </w:r>
          </w:p>
        </w:tc>
        <w:tc>
          <w:tcPr>
            <w:tcW w:w="980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333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0,00000816</w:t>
            </w:r>
          </w:p>
        </w:tc>
        <w:tc>
          <w:tcPr>
            <w:tcW w:w="980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0,00010</w:t>
            </w:r>
          </w:p>
        </w:tc>
        <w:tc>
          <w:tcPr>
            <w:tcW w:w="1333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0,00003334</w:t>
            </w:r>
          </w:p>
        </w:tc>
        <w:tc>
          <w:tcPr>
            <w:tcW w:w="1333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0,00002552</w:t>
            </w:r>
          </w:p>
        </w:tc>
      </w:tr>
    </w:tbl>
    <w:p w:rsidR="006C0975" w:rsidRPr="00CE3D68" w:rsidRDefault="006C0975" w:rsidP="00CE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D68" w:rsidRPr="00CE3D68" w:rsidRDefault="00CE3D68" w:rsidP="00CE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659633" wp14:editId="3D400C07">
            <wp:extent cx="5911703" cy="2998381"/>
            <wp:effectExtent l="0" t="0" r="13335" b="1206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ADFC244-D0CF-4B5E-A98F-CBFC5205A6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3D68" w:rsidRPr="00CE3D68" w:rsidRDefault="00CE3D68" w:rsidP="00CE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D68" w:rsidRDefault="00CE3D68" w:rsidP="00CE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Рисунок 1 -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Количественное содержание микроэлементов в надземной части колючелистника илийского</w:t>
      </w:r>
    </w:p>
    <w:p w:rsidR="00CE3D68" w:rsidRDefault="00CE3D68" w:rsidP="00CE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243" w:rsidRPr="00CE3D68" w:rsidRDefault="00513243" w:rsidP="00CE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2 - Количественное содержание макроэлементов в </w:t>
      </w:r>
      <w:r w:rsidR="006C0975"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надземной части колючелистника илийского</w:t>
      </w:r>
    </w:p>
    <w:p w:rsidR="006C0975" w:rsidRPr="00CE3D68" w:rsidRDefault="006C0975" w:rsidP="00CE3D68">
      <w:pPr>
        <w:spacing w:after="0" w:line="240" w:lineRule="auto"/>
        <w:ind w:firstLine="79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0975" w:rsidRPr="00CE3D68" w:rsidTr="00E3102D"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Na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Ca</w:t>
            </w:r>
          </w:p>
        </w:tc>
      </w:tr>
      <w:tr w:rsidR="006C0975" w:rsidRPr="00CE3D68" w:rsidTr="00E3102D"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625.542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135.6256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126.9871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420.5451</w:t>
            </w:r>
          </w:p>
        </w:tc>
      </w:tr>
      <w:tr w:rsidR="006C0975" w:rsidRPr="00CE3D68" w:rsidTr="00E3102D"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0,0625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0,0135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0,0126</w:t>
            </w:r>
          </w:p>
        </w:tc>
        <w:tc>
          <w:tcPr>
            <w:tcW w:w="1869" w:type="dxa"/>
          </w:tcPr>
          <w:p w:rsidR="006C0975" w:rsidRPr="00CE3D68" w:rsidRDefault="006C0975" w:rsidP="00CE3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0,0420</w:t>
            </w:r>
          </w:p>
        </w:tc>
      </w:tr>
    </w:tbl>
    <w:p w:rsidR="00513243" w:rsidRPr="00CE3D68" w:rsidRDefault="00CE3D68" w:rsidP="00CE3D68">
      <w:pPr>
        <w:spacing w:after="0" w:line="24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E3D6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7FACA4" wp14:editId="6C0EFCD2">
            <wp:extent cx="5457825" cy="2924175"/>
            <wp:effectExtent l="0" t="0" r="9525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36610052-614E-4707-8866-78BE2D3B16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3D68" w:rsidRPr="00CE3D68" w:rsidRDefault="00CE3D68" w:rsidP="00CE3D68">
      <w:pPr>
        <w:spacing w:after="0" w:line="24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D68" w:rsidRPr="00CE3D68" w:rsidRDefault="00CE3D68" w:rsidP="00CE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Рисунок 2 - Количественное содержание макроэлементов в надземной части колючелистника илийского</w:t>
      </w:r>
    </w:p>
    <w:p w:rsidR="00CE3D68" w:rsidRPr="00CE3D68" w:rsidRDefault="00CE3D68" w:rsidP="00CE3D68">
      <w:pPr>
        <w:spacing w:after="0" w:line="24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D68" w:rsidRPr="00CE3D68" w:rsidRDefault="00CE3D68" w:rsidP="00CE3D68">
      <w:pPr>
        <w:spacing w:after="0" w:line="24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и обсуждение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Сравнив да</w:t>
      </w:r>
      <w:r w:rsidR="00D55EE6" w:rsidRPr="00CE3D68">
        <w:rPr>
          <w:rFonts w:ascii="Times New Roman" w:eastAsia="Times New Roman" w:hAnsi="Times New Roman"/>
          <w:sz w:val="28"/>
          <w:szCs w:val="28"/>
          <w:lang w:eastAsia="ru-RU"/>
        </w:rPr>
        <w:t>нные, приведённые в таблицах 1-2</w:t>
      </w:r>
      <w:r w:rsidR="00CE3D68"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рисунках 1-2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сделать вывод, о том, что по количественному содержанию 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из микроэлементов в надземной части колючелистника илийского доминирует 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железо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, а из макроэлементов - калий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Содержание тяжелых металлов: кадмия и свинца не превышает предельно допустимых норм [</w:t>
      </w:r>
      <w:r w:rsidR="0094632B" w:rsidRPr="00CE3D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E1964" w:rsidRPr="003E1964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Таким образом, на микроэлементный состав растений оказывают непосредственное влияние естественные и антропогенные факторы зон произрастания, то есть места произрастания (ареалы почвы), что следует учитывать при заготовке сырья [</w:t>
      </w:r>
      <w:r w:rsidR="003E1964">
        <w:rPr>
          <w:rFonts w:ascii="Times New Roman" w:eastAsia="Times New Roman" w:hAnsi="Times New Roman"/>
          <w:sz w:val="28"/>
          <w:szCs w:val="28"/>
          <w:lang w:eastAsia="ru-RU"/>
        </w:rPr>
        <w:t>9,</w:t>
      </w:r>
      <w:r w:rsidR="003E1964" w:rsidRPr="003E196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время, необходимыми для жизнедеятельности, признаны 14 микроэлементов: железо, медь, марганец, цинк, кобальт, йод, фтор, молибден, ванадий, никель, стронций, кремний и селен. Они повышают активность ферментов, катализируют биохимические процессы, способствуют синтезу углеводов, белков и витаминов, а также участвуют в обмене веществ.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Полученные результаты согласуются с общей закономерностью, согласно которой минеральный состав сказывается на накоплении определенных групп биологически активных соединений</w:t>
      </w:r>
      <w:r w:rsidR="003E1964" w:rsidRPr="003E1964">
        <w:rPr>
          <w:rFonts w:ascii="Times New Roman" w:eastAsia="Times New Roman" w:hAnsi="Times New Roman"/>
          <w:sz w:val="28"/>
          <w:szCs w:val="28"/>
          <w:lang w:eastAsia="ru-RU"/>
        </w:rPr>
        <w:t>[11,12]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По-видимому, в растениях рода </w:t>
      </w:r>
      <w:r w:rsidR="00D55EE6" w:rsidRPr="00CE3D68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Acanthophyllum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, действующим началом я</w:t>
      </w:r>
      <w:r w:rsidR="00CE3D68" w:rsidRPr="00CE3D68">
        <w:rPr>
          <w:rFonts w:ascii="Times New Roman" w:eastAsia="Times New Roman" w:hAnsi="Times New Roman"/>
          <w:sz w:val="28"/>
          <w:szCs w:val="28"/>
          <w:lang w:eastAsia="ru-RU"/>
        </w:rPr>
        <w:t>вляются полифенолы, органические кислоты, сапонины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, углеводы, полисахариды, алкалоиды так как они в большом количестве из почвы извлекают марганец и железо, что хорошо согласуется с литературными данными о биосинтезе и свойствах полифенолов. 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Высокое же содержание кальция и калия в образц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объяснить ареалом произрастания, то есть сильно засоленными глинистыми почвами</w:t>
      </w:r>
      <w:r w:rsidR="005348EF">
        <w:rPr>
          <w:rFonts w:ascii="Times New Roman" w:eastAsia="Times New Roman" w:hAnsi="Times New Roman"/>
          <w:sz w:val="28"/>
          <w:szCs w:val="28"/>
          <w:lang w:eastAsia="ru-RU"/>
        </w:rPr>
        <w:t>[13,14</w:t>
      </w:r>
      <w:r w:rsidR="005348EF" w:rsidRPr="005348EF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513243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Избирательная способность к накоплению определенных микроэлементов может стать видовым признаком растения</w:t>
      </w:r>
      <w:r w:rsidR="005348EF">
        <w:rPr>
          <w:rFonts w:ascii="Times New Roman" w:eastAsia="Times New Roman" w:hAnsi="Times New Roman"/>
          <w:sz w:val="28"/>
          <w:szCs w:val="28"/>
          <w:lang w:eastAsia="ru-RU"/>
        </w:rPr>
        <w:t>[15</w:t>
      </w:r>
      <w:r w:rsidR="0094632B" w:rsidRPr="00CE3D68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7CC1" w:rsidRPr="00CE3D68" w:rsidRDefault="00097CC1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243" w:rsidRPr="00CE3D68" w:rsidRDefault="00CE3D68" w:rsidP="00CE3D68">
      <w:pPr>
        <w:spacing w:after="0" w:line="24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1.Впервые изучен минеральный состав надземной части</w:t>
      </w:r>
      <w:r w:rsidR="00D55EE6"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колючелистника илийского, заготовленного в </w:t>
      </w:r>
      <w:proofErr w:type="spellStart"/>
      <w:r w:rsidR="00D55EE6" w:rsidRPr="00CE3D68">
        <w:rPr>
          <w:rFonts w:ascii="Times New Roman" w:eastAsia="Times New Roman" w:hAnsi="Times New Roman"/>
          <w:sz w:val="28"/>
          <w:szCs w:val="28"/>
          <w:lang w:eastAsia="ru-RU"/>
        </w:rPr>
        <w:t>Илийском</w:t>
      </w:r>
      <w:proofErr w:type="spellEnd"/>
      <w:r w:rsidR="00D55EE6"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регионе, Алматинской области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>2.Установлено, что в исследованных образцах уровень содержания тяжелых металлов не превышает предельно допустимый.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3.В исследованных образцах выявлено высокое содержание соединений, имеющих в составе 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железо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калий, что соответствует литературным данным</w:t>
      </w:r>
      <w:r w:rsidR="00F753CA" w:rsidRPr="00CE3D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3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243" w:rsidRPr="00CE3D68" w:rsidRDefault="00082EFE" w:rsidP="00082EFE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513243" w:rsidRPr="00CE3D68" w:rsidRDefault="00513243" w:rsidP="00CE3D6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243" w:rsidRPr="00620200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bookmarkStart w:id="3" w:name="_Hlk480206229"/>
      <w:r w:rsidRPr="007B1721">
        <w:rPr>
          <w:rFonts w:ascii="Times New Roman" w:hAnsi="Times New Roman"/>
          <w:sz w:val="28"/>
          <w:szCs w:val="28"/>
        </w:rPr>
        <w:t>[</w:t>
      </w:r>
      <w:r w:rsidR="00513243" w:rsidRPr="00CE3D68">
        <w:rPr>
          <w:rFonts w:ascii="Times New Roman" w:hAnsi="Times New Roman"/>
          <w:sz w:val="28"/>
          <w:szCs w:val="28"/>
        </w:rPr>
        <w:t>1</w:t>
      </w:r>
      <w:r w:rsidRPr="007B1721">
        <w:rPr>
          <w:rFonts w:ascii="Times New Roman" w:hAnsi="Times New Roman"/>
          <w:sz w:val="28"/>
          <w:szCs w:val="28"/>
        </w:rPr>
        <w:t>]</w:t>
      </w:r>
      <w:r w:rsidR="00513243" w:rsidRPr="00CE3D68">
        <w:rPr>
          <w:rFonts w:ascii="Times New Roman" w:hAnsi="Times New Roman"/>
          <w:sz w:val="28"/>
          <w:szCs w:val="28"/>
        </w:rPr>
        <w:t xml:space="preserve"> </w:t>
      </w:r>
      <w:r w:rsidR="005348EF">
        <w:rPr>
          <w:rFonts w:ascii="Times New Roman" w:hAnsi="Times New Roman"/>
          <w:sz w:val="28"/>
          <w:szCs w:val="28"/>
        </w:rPr>
        <w:tab/>
      </w:r>
      <w:proofErr w:type="spellStart"/>
      <w:r w:rsidR="00513243" w:rsidRPr="00CE3D68">
        <w:rPr>
          <w:rFonts w:ascii="Times New Roman" w:hAnsi="Times New Roman"/>
          <w:sz w:val="28"/>
          <w:szCs w:val="28"/>
        </w:rPr>
        <w:t>Авцын</w:t>
      </w:r>
      <w:proofErr w:type="spellEnd"/>
      <w:r w:rsidR="00513243" w:rsidRPr="00CE3D68">
        <w:rPr>
          <w:rFonts w:ascii="Times New Roman" w:hAnsi="Times New Roman"/>
          <w:sz w:val="28"/>
          <w:szCs w:val="28"/>
        </w:rPr>
        <w:t xml:space="preserve"> А.П., Жаворонков А.А., Реми М.А. и др. Микроэлементы человека. – М.: Медицина, 1991. – С.446.</w:t>
      </w:r>
      <w:r w:rsidR="00620200" w:rsidRPr="00620200">
        <w:t xml:space="preserve"> </w:t>
      </w:r>
    </w:p>
    <w:p w:rsidR="00513243" w:rsidRPr="00CE3D68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B1721">
        <w:rPr>
          <w:rFonts w:ascii="Times New Roman" w:hAnsi="Times New Roman"/>
          <w:sz w:val="28"/>
          <w:szCs w:val="28"/>
        </w:rPr>
        <w:t>[</w:t>
      </w:r>
      <w:r w:rsidR="00513243" w:rsidRPr="00CE3D68">
        <w:rPr>
          <w:rFonts w:ascii="Times New Roman" w:hAnsi="Times New Roman"/>
          <w:sz w:val="28"/>
          <w:szCs w:val="28"/>
        </w:rPr>
        <w:t>2</w:t>
      </w:r>
      <w:r w:rsidRPr="007B172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3243" w:rsidRPr="00CE3D68">
        <w:rPr>
          <w:rFonts w:ascii="Times New Roman" w:hAnsi="Times New Roman"/>
          <w:sz w:val="28"/>
          <w:szCs w:val="28"/>
        </w:rPr>
        <w:t>Виноградов А.П. Основные закономерности в распределении микроэлементов между растениями и средой // Микроэлементы в жизни растений и животных – М.: АН СССР, 1952. – С. 7-20.</w:t>
      </w:r>
    </w:p>
    <w:p w:rsidR="00513243" w:rsidRPr="00CE3D68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B1721">
        <w:rPr>
          <w:rFonts w:ascii="Times New Roman" w:hAnsi="Times New Roman"/>
          <w:sz w:val="28"/>
          <w:szCs w:val="28"/>
        </w:rPr>
        <w:lastRenderedPageBreak/>
        <w:t>[</w:t>
      </w:r>
      <w:r w:rsidR="00513243" w:rsidRPr="00CE3D68">
        <w:rPr>
          <w:rFonts w:ascii="Times New Roman" w:hAnsi="Times New Roman"/>
          <w:sz w:val="28"/>
          <w:szCs w:val="28"/>
        </w:rPr>
        <w:t>3</w:t>
      </w:r>
      <w:r w:rsidRPr="007B172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13243" w:rsidRPr="00CE3D68">
        <w:rPr>
          <w:rFonts w:ascii="Times New Roman" w:hAnsi="Times New Roman"/>
          <w:sz w:val="28"/>
          <w:szCs w:val="28"/>
        </w:rPr>
        <w:t>Гринкевич</w:t>
      </w:r>
      <w:proofErr w:type="spellEnd"/>
      <w:r w:rsidR="00513243" w:rsidRPr="00CE3D68">
        <w:rPr>
          <w:rFonts w:ascii="Times New Roman" w:hAnsi="Times New Roman"/>
          <w:sz w:val="28"/>
          <w:szCs w:val="28"/>
        </w:rPr>
        <w:t xml:space="preserve"> Н.И., Сорокина А.А. Роль геохимических факторов среды в продуцировании растениями биологически активных веществ. //Биологическая роль микроэлементов. – М.: Наука, 1983. – С. 283.</w:t>
      </w:r>
    </w:p>
    <w:p w:rsidR="00513243" w:rsidRPr="00CE3D68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B1721">
        <w:rPr>
          <w:rFonts w:ascii="Times New Roman" w:hAnsi="Times New Roman"/>
          <w:sz w:val="28"/>
          <w:szCs w:val="28"/>
        </w:rPr>
        <w:t>[</w:t>
      </w:r>
      <w:r w:rsidR="00513243" w:rsidRPr="00CE3D68">
        <w:rPr>
          <w:rFonts w:ascii="Times New Roman" w:hAnsi="Times New Roman"/>
          <w:sz w:val="28"/>
          <w:szCs w:val="28"/>
        </w:rPr>
        <w:t>4</w:t>
      </w:r>
      <w:r w:rsidRPr="007B172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3243" w:rsidRPr="00CE3D68">
        <w:rPr>
          <w:rFonts w:ascii="Times New Roman" w:hAnsi="Times New Roman"/>
          <w:sz w:val="28"/>
          <w:szCs w:val="28"/>
        </w:rPr>
        <w:t xml:space="preserve">Рахметова А.А., </w:t>
      </w:r>
      <w:proofErr w:type="spellStart"/>
      <w:r w:rsidR="00513243" w:rsidRPr="00CE3D68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="00513243" w:rsidRPr="00CE3D68">
        <w:rPr>
          <w:rFonts w:ascii="Times New Roman" w:hAnsi="Times New Roman"/>
          <w:sz w:val="28"/>
          <w:szCs w:val="28"/>
        </w:rPr>
        <w:t xml:space="preserve"> Т.Т., </w:t>
      </w:r>
      <w:proofErr w:type="spellStart"/>
      <w:r w:rsidR="00513243" w:rsidRPr="00CE3D68">
        <w:rPr>
          <w:rFonts w:ascii="Times New Roman" w:hAnsi="Times New Roman"/>
          <w:sz w:val="28"/>
          <w:szCs w:val="28"/>
        </w:rPr>
        <w:t>Мухаметгалиев</w:t>
      </w:r>
      <w:proofErr w:type="spellEnd"/>
      <w:r w:rsidR="00513243" w:rsidRPr="00CE3D68">
        <w:rPr>
          <w:rFonts w:ascii="Times New Roman" w:hAnsi="Times New Roman"/>
          <w:sz w:val="28"/>
          <w:szCs w:val="28"/>
        </w:rPr>
        <w:t xml:space="preserve"> А.Г. Современные проблемы фармации. – Алма-Ата: Наука, 1989. – С. 102.</w:t>
      </w:r>
    </w:p>
    <w:p w:rsidR="00513243" w:rsidRPr="00CE3D68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B1721">
        <w:rPr>
          <w:rFonts w:ascii="Times New Roman" w:hAnsi="Times New Roman"/>
          <w:sz w:val="28"/>
          <w:szCs w:val="28"/>
        </w:rPr>
        <w:t>[</w:t>
      </w:r>
      <w:r w:rsidR="00513243" w:rsidRPr="00CE3D68">
        <w:rPr>
          <w:rFonts w:ascii="Times New Roman" w:hAnsi="Times New Roman"/>
          <w:sz w:val="28"/>
          <w:szCs w:val="28"/>
        </w:rPr>
        <w:t>5</w:t>
      </w:r>
      <w:r w:rsidRPr="007B172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3243" w:rsidRPr="00CE3D68">
        <w:rPr>
          <w:rFonts w:ascii="Times New Roman" w:hAnsi="Times New Roman"/>
          <w:sz w:val="28"/>
          <w:szCs w:val="28"/>
        </w:rPr>
        <w:t>Боровский В.М. Микроэлементы в биосфере Казахстана. – Алма-Ата: Наука, 1981. – С. 3-96.</w:t>
      </w:r>
    </w:p>
    <w:p w:rsidR="00513243" w:rsidRPr="00CE3D68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BC0A4F">
        <w:rPr>
          <w:rFonts w:ascii="Times New Roman" w:hAnsi="Times New Roman"/>
          <w:sz w:val="28"/>
          <w:szCs w:val="28"/>
        </w:rPr>
        <w:t>[</w:t>
      </w:r>
      <w:r w:rsidR="00513243" w:rsidRPr="00CE3D68">
        <w:rPr>
          <w:rFonts w:ascii="Times New Roman" w:hAnsi="Times New Roman"/>
          <w:sz w:val="28"/>
          <w:szCs w:val="28"/>
        </w:rPr>
        <w:t>6</w:t>
      </w:r>
      <w:r w:rsidRPr="00BC0A4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3243" w:rsidRPr="00CE3D68">
        <w:rPr>
          <w:rFonts w:ascii="Times New Roman" w:hAnsi="Times New Roman"/>
          <w:sz w:val="28"/>
          <w:szCs w:val="28"/>
        </w:rPr>
        <w:t>Флора СССР // под ред. В.А. Комарова. – М.-Л.: АН СССР, 1936. – Т.6. – С. 169-170.</w:t>
      </w:r>
    </w:p>
    <w:p w:rsidR="00513243" w:rsidRPr="00CE3D68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C0A4F">
        <w:rPr>
          <w:rFonts w:ascii="Times New Roman" w:hAnsi="Times New Roman"/>
          <w:sz w:val="28"/>
          <w:szCs w:val="28"/>
        </w:rPr>
        <w:t>[</w:t>
      </w:r>
      <w:r w:rsidR="00513243" w:rsidRPr="00CE3D68">
        <w:rPr>
          <w:rFonts w:ascii="Times New Roman" w:hAnsi="Times New Roman"/>
          <w:sz w:val="28"/>
          <w:szCs w:val="28"/>
        </w:rPr>
        <w:t>7</w:t>
      </w:r>
      <w:r w:rsidRPr="00BC0A4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3243" w:rsidRPr="00CE3D68">
        <w:rPr>
          <w:rFonts w:ascii="Times New Roman" w:hAnsi="Times New Roman"/>
          <w:sz w:val="28"/>
          <w:szCs w:val="28"/>
        </w:rPr>
        <w:t>Государственная фармакопея СССР: вып.1. Общие методы анализа. Лекарственное растительное сырье. XI изд. М.: Медицина .-1987.- С.42-44.</w:t>
      </w:r>
    </w:p>
    <w:p w:rsidR="00513243" w:rsidRPr="00CE3D68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B1721">
        <w:rPr>
          <w:rFonts w:ascii="Times New Roman" w:hAnsi="Times New Roman"/>
          <w:sz w:val="28"/>
          <w:szCs w:val="28"/>
        </w:rPr>
        <w:t>[</w:t>
      </w:r>
      <w:r w:rsidR="00513243" w:rsidRPr="00CE3D68">
        <w:rPr>
          <w:rFonts w:ascii="Times New Roman" w:hAnsi="Times New Roman"/>
          <w:sz w:val="28"/>
          <w:szCs w:val="28"/>
        </w:rPr>
        <w:t>8</w:t>
      </w:r>
      <w:r w:rsidRPr="007B172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3243" w:rsidRPr="00CE3D68">
        <w:rPr>
          <w:rFonts w:ascii="Times New Roman" w:hAnsi="Times New Roman"/>
          <w:sz w:val="28"/>
          <w:szCs w:val="28"/>
        </w:rPr>
        <w:t xml:space="preserve">Ермаченко Л.А. Атомно-абсорбционный анализ в санитарно-гигиенических исследованиях // под ред. Л.Г. </w:t>
      </w:r>
      <w:proofErr w:type="spellStart"/>
      <w:r w:rsidR="00513243" w:rsidRPr="00CE3D68">
        <w:rPr>
          <w:rFonts w:ascii="Times New Roman" w:hAnsi="Times New Roman"/>
          <w:sz w:val="28"/>
          <w:szCs w:val="28"/>
        </w:rPr>
        <w:t>Подуновой</w:t>
      </w:r>
      <w:proofErr w:type="spellEnd"/>
      <w:r w:rsidR="00513243" w:rsidRPr="00CE3D68">
        <w:rPr>
          <w:rFonts w:ascii="Times New Roman" w:hAnsi="Times New Roman"/>
          <w:sz w:val="28"/>
          <w:szCs w:val="28"/>
        </w:rPr>
        <w:t>. – М.: Чувашия, 1997. – 208с.</w:t>
      </w:r>
    </w:p>
    <w:p w:rsidR="00513243" w:rsidRDefault="007B1721" w:rsidP="00CE3D68">
      <w:pPr>
        <w:spacing w:after="0" w:line="24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  <w:r w:rsidRPr="007B1721">
        <w:rPr>
          <w:rFonts w:ascii="Times New Roman" w:hAnsi="Times New Roman"/>
          <w:sz w:val="28"/>
          <w:szCs w:val="28"/>
        </w:rPr>
        <w:t>[</w:t>
      </w:r>
      <w:r w:rsidR="00513243" w:rsidRPr="00CE3D68">
        <w:rPr>
          <w:rFonts w:ascii="Times New Roman" w:hAnsi="Times New Roman"/>
          <w:sz w:val="28"/>
          <w:szCs w:val="28"/>
        </w:rPr>
        <w:t>9</w:t>
      </w:r>
      <w:r w:rsidRPr="007B1721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13243" w:rsidRPr="00CE3D68">
        <w:rPr>
          <w:rFonts w:ascii="Times New Roman" w:hAnsi="Times New Roman"/>
          <w:bCs/>
          <w:sz w:val="28"/>
          <w:szCs w:val="28"/>
        </w:rPr>
        <w:t>Кабата-Пендиас</w:t>
      </w:r>
      <w:proofErr w:type="spellEnd"/>
      <w:r w:rsidR="00513243" w:rsidRPr="00CE3D68">
        <w:rPr>
          <w:rFonts w:ascii="Times New Roman" w:hAnsi="Times New Roman"/>
          <w:bCs/>
          <w:sz w:val="28"/>
          <w:szCs w:val="28"/>
        </w:rPr>
        <w:t xml:space="preserve"> А., </w:t>
      </w:r>
      <w:proofErr w:type="spellStart"/>
      <w:r w:rsidR="00513243" w:rsidRPr="00CE3D68">
        <w:rPr>
          <w:rFonts w:ascii="Times New Roman" w:hAnsi="Times New Roman"/>
          <w:bCs/>
          <w:sz w:val="28"/>
          <w:szCs w:val="28"/>
        </w:rPr>
        <w:t>Пендиас</w:t>
      </w:r>
      <w:proofErr w:type="spellEnd"/>
      <w:r w:rsidR="00513243" w:rsidRPr="00CE3D68">
        <w:rPr>
          <w:rFonts w:ascii="Times New Roman" w:hAnsi="Times New Roman"/>
          <w:bCs/>
          <w:sz w:val="28"/>
          <w:szCs w:val="28"/>
        </w:rPr>
        <w:t xml:space="preserve"> Х. Микроэлементы в почвах и растениях. М.: Мир. - 1989- С. 83-93.</w:t>
      </w:r>
    </w:p>
    <w:p w:rsidR="003E1964" w:rsidRDefault="003E1964" w:rsidP="003E196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E196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</w:t>
      </w:r>
      <w:r w:rsidRPr="003E1964">
        <w:rPr>
          <w:rFonts w:ascii="Times New Roman" w:hAnsi="Times New Roman"/>
          <w:sz w:val="28"/>
          <w:szCs w:val="28"/>
        </w:rPr>
        <w:t>]</w:t>
      </w:r>
      <w:r w:rsidRPr="003E19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Владимиров А.Х., Ушаков И.И. Микроэлементы и естественная радиоактивность почв, Ростовский государственный университет, 1962, С.72.</w:t>
      </w:r>
    </w:p>
    <w:p w:rsidR="003E1964" w:rsidRDefault="003E1964" w:rsidP="003E196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E1964">
        <w:rPr>
          <w:rFonts w:ascii="Times New Roman" w:hAnsi="Times New Roman"/>
          <w:sz w:val="28"/>
          <w:szCs w:val="28"/>
        </w:rPr>
        <w:t>[11]</w:t>
      </w:r>
      <w:r w:rsidRPr="003E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Анспок</w:t>
      </w:r>
      <w:proofErr w:type="spellEnd"/>
      <w:r>
        <w:rPr>
          <w:rFonts w:ascii="Times New Roman" w:hAnsi="Times New Roman"/>
          <w:sz w:val="28"/>
          <w:szCs w:val="28"/>
        </w:rPr>
        <w:t xml:space="preserve"> П.И. Микроэлементы в растениеводстве – АН </w:t>
      </w:r>
      <w:proofErr w:type="spellStart"/>
      <w:r>
        <w:rPr>
          <w:rFonts w:ascii="Times New Roman" w:hAnsi="Times New Roman"/>
          <w:sz w:val="28"/>
          <w:szCs w:val="28"/>
        </w:rPr>
        <w:t>ЛатвССР</w:t>
      </w:r>
      <w:proofErr w:type="spellEnd"/>
      <w:r>
        <w:rPr>
          <w:rFonts w:ascii="Times New Roman" w:hAnsi="Times New Roman"/>
          <w:sz w:val="28"/>
          <w:szCs w:val="28"/>
        </w:rPr>
        <w:t>, 1958, С.165.</w:t>
      </w:r>
    </w:p>
    <w:p w:rsidR="003E1964" w:rsidRDefault="003E1964" w:rsidP="003E196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E1964">
        <w:rPr>
          <w:rFonts w:ascii="Times New Roman" w:hAnsi="Times New Roman"/>
          <w:sz w:val="28"/>
          <w:szCs w:val="28"/>
        </w:rPr>
        <w:t>[12]</w:t>
      </w:r>
      <w:r w:rsidRPr="003E19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Власюк П.А., Микроэлементы в сельском хозяйстве и медицине – АН </w:t>
      </w:r>
      <w:proofErr w:type="spellStart"/>
      <w:r>
        <w:rPr>
          <w:rFonts w:ascii="Times New Roman" w:hAnsi="Times New Roman"/>
          <w:sz w:val="28"/>
          <w:szCs w:val="28"/>
        </w:rPr>
        <w:t>ЛатвССР</w:t>
      </w:r>
      <w:proofErr w:type="spellEnd"/>
      <w:r>
        <w:rPr>
          <w:rFonts w:ascii="Times New Roman" w:hAnsi="Times New Roman"/>
          <w:sz w:val="28"/>
          <w:szCs w:val="28"/>
        </w:rPr>
        <w:t>, 1956, С.97.</w:t>
      </w:r>
    </w:p>
    <w:p w:rsidR="005348EF" w:rsidRDefault="003E1964" w:rsidP="003E19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1964">
        <w:rPr>
          <w:rFonts w:ascii="Times New Roman" w:hAnsi="Times New Roman"/>
          <w:bCs/>
          <w:sz w:val="28"/>
          <w:szCs w:val="28"/>
        </w:rPr>
        <w:t xml:space="preserve">     </w:t>
      </w:r>
      <w:r w:rsidR="007B1721" w:rsidRPr="007B1721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13</w:t>
      </w:r>
      <w:r w:rsidR="007B1721" w:rsidRPr="007B1721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513243" w:rsidRPr="00CE3D68">
        <w:rPr>
          <w:rFonts w:ascii="Times New Roman" w:hAnsi="Times New Roman"/>
          <w:bCs/>
          <w:sz w:val="28"/>
          <w:szCs w:val="28"/>
        </w:rPr>
        <w:t>Саджван</w:t>
      </w:r>
      <w:proofErr w:type="spellEnd"/>
      <w:r w:rsidR="00513243" w:rsidRPr="00CE3D68">
        <w:rPr>
          <w:rFonts w:ascii="Times New Roman" w:hAnsi="Times New Roman"/>
          <w:bCs/>
          <w:sz w:val="28"/>
          <w:szCs w:val="28"/>
        </w:rPr>
        <w:t xml:space="preserve"> К.С., Найду Р., Прасад М.Н.В.</w:t>
      </w:r>
      <w:r w:rsidR="00513243" w:rsidRPr="00CE3D68">
        <w:rPr>
          <w:rFonts w:ascii="Times New Roman" w:hAnsi="Times New Roman"/>
          <w:sz w:val="28"/>
          <w:szCs w:val="28"/>
        </w:rPr>
        <w:t xml:space="preserve"> </w:t>
      </w:r>
      <w:r w:rsidR="00513243" w:rsidRPr="00CE3D68">
        <w:rPr>
          <w:rFonts w:ascii="Times New Roman" w:hAnsi="Times New Roman"/>
          <w:bCs/>
          <w:sz w:val="28"/>
          <w:szCs w:val="28"/>
        </w:rPr>
        <w:t xml:space="preserve">Микроэлементы в окружающей среде. Биогеохимия, биотехнология и </w:t>
      </w:r>
      <w:proofErr w:type="spellStart"/>
      <w:r w:rsidR="00513243" w:rsidRPr="00CE3D68">
        <w:rPr>
          <w:rFonts w:ascii="Times New Roman" w:hAnsi="Times New Roman"/>
          <w:bCs/>
          <w:sz w:val="28"/>
          <w:szCs w:val="28"/>
        </w:rPr>
        <w:t>биоремедиация</w:t>
      </w:r>
      <w:proofErr w:type="spellEnd"/>
      <w:r w:rsidR="00513243" w:rsidRPr="00CE3D68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513243" w:rsidRPr="00CE3D68">
        <w:rPr>
          <w:rFonts w:ascii="Times New Roman" w:hAnsi="Times New Roman"/>
          <w:bCs/>
          <w:sz w:val="28"/>
          <w:szCs w:val="28"/>
        </w:rPr>
        <w:t>Физматлит</w:t>
      </w:r>
      <w:proofErr w:type="spellEnd"/>
      <w:r w:rsidR="00513243" w:rsidRPr="00CE3D68">
        <w:rPr>
          <w:rFonts w:ascii="Times New Roman" w:hAnsi="Times New Roman"/>
          <w:bCs/>
          <w:sz w:val="28"/>
          <w:szCs w:val="28"/>
        </w:rPr>
        <w:t>, 2009- 725 с.</w:t>
      </w:r>
    </w:p>
    <w:p w:rsidR="00DE6EE7" w:rsidRPr="005348EF" w:rsidRDefault="005348EF" w:rsidP="00DE6E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8EF">
        <w:rPr>
          <w:rFonts w:ascii="Times New Roman" w:hAnsi="Times New Roman"/>
          <w:bCs/>
          <w:sz w:val="28"/>
          <w:szCs w:val="28"/>
        </w:rPr>
        <w:t xml:space="preserve">     [14]</w:t>
      </w:r>
      <w:r w:rsidRPr="005348EF">
        <w:rPr>
          <w:rFonts w:ascii="Times New Roman" w:hAnsi="Times New Roman"/>
          <w:bCs/>
          <w:sz w:val="28"/>
          <w:szCs w:val="28"/>
        </w:rPr>
        <w:tab/>
      </w:r>
      <w:r w:rsidR="00DE6EE7" w:rsidRPr="00DE6EE7">
        <w:rPr>
          <w:rFonts w:ascii="Times New Roman" w:hAnsi="Times New Roman"/>
          <w:bCs/>
          <w:sz w:val="28"/>
          <w:szCs w:val="28"/>
        </w:rPr>
        <w:t>Микроэлементы в биосфере и их применение в сельском хозяйстве и медицине Сибири и Дальнего Востока</w:t>
      </w:r>
      <w:r w:rsidR="00DE6EE7">
        <w:rPr>
          <w:rFonts w:ascii="Times New Roman" w:hAnsi="Times New Roman"/>
          <w:bCs/>
          <w:sz w:val="28"/>
          <w:szCs w:val="28"/>
        </w:rPr>
        <w:t xml:space="preserve"> – Академия наук СССР, </w:t>
      </w:r>
      <w:r w:rsidR="00DE6EE7" w:rsidRPr="00DE6EE7">
        <w:rPr>
          <w:rFonts w:ascii="Times New Roman" w:hAnsi="Times New Roman"/>
          <w:bCs/>
          <w:sz w:val="28"/>
          <w:szCs w:val="28"/>
        </w:rPr>
        <w:t>1969</w:t>
      </w:r>
      <w:r w:rsidR="00DE6EE7">
        <w:rPr>
          <w:rFonts w:ascii="Times New Roman" w:hAnsi="Times New Roman"/>
          <w:bCs/>
          <w:sz w:val="28"/>
          <w:szCs w:val="28"/>
        </w:rPr>
        <w:t>, С. 5-121.</w:t>
      </w:r>
    </w:p>
    <w:p w:rsidR="003E1964" w:rsidRDefault="005348EF" w:rsidP="00DE6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E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[1</w:t>
      </w:r>
      <w:r w:rsidRPr="005348EF">
        <w:rPr>
          <w:rFonts w:ascii="Times New Roman" w:hAnsi="Times New Roman"/>
          <w:sz w:val="28"/>
          <w:szCs w:val="28"/>
        </w:rPr>
        <w:t>5]</w:t>
      </w:r>
      <w:r>
        <w:rPr>
          <w:rFonts w:ascii="Times New Roman" w:hAnsi="Times New Roman"/>
          <w:sz w:val="28"/>
          <w:szCs w:val="28"/>
        </w:rPr>
        <w:tab/>
      </w:r>
      <w:r w:rsidR="00DE6EE7" w:rsidRPr="00DE6EE7">
        <w:rPr>
          <w:rFonts w:ascii="Times New Roman" w:hAnsi="Times New Roman"/>
          <w:sz w:val="28"/>
          <w:szCs w:val="28"/>
        </w:rPr>
        <w:t>Микроэлементы в ж</w:t>
      </w:r>
      <w:r w:rsidR="00DE6EE7">
        <w:rPr>
          <w:rFonts w:ascii="Times New Roman" w:hAnsi="Times New Roman"/>
          <w:sz w:val="28"/>
          <w:szCs w:val="28"/>
        </w:rPr>
        <w:t>ивотноводстве и растениеводстве – Кыргыз ССР.: Илим, 1986, - С.65-127.</w:t>
      </w:r>
    </w:p>
    <w:p w:rsidR="005348EF" w:rsidRDefault="005348EF" w:rsidP="00DE6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:rsidR="005348EF" w:rsidRPr="005348EF" w:rsidRDefault="005348EF" w:rsidP="00DE6EE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2EFE" w:rsidRDefault="00082EFE" w:rsidP="00082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82EFE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 xml:space="preserve">[1] 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Avcyn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A.P.,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Zhavoronkov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A.A., Remi M.A.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dr.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cheloveka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. – M.: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Medicina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, 1991. – S.446. 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[2]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Vinogradov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A.P.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Osnovnye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zakonomernosti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raspredelenii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mikrojelementov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mezhdu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rastenijami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sredoj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zhizni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rastenij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zhivotnyh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– M.: AN SSSR, 1952. – S. 7-20.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[3]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Grinkevich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N.I.,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Sorokina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A.A.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Rol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'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geohimicheskih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faktorov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sredy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producirovanii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rastenijami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biologicheski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aktivnyh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veshhestv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. //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Biologicheskaja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rol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'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mikrojelementov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. – M.: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Nauka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, 1983. – S. 283.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[4]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Rahmetova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A.A.,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Mel'dehanov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T.T.,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Muhametgaliev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A.G.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Sovremennye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problemy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farmacii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. – Alma-Ata: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Nauka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, 1989. – S. 102.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[5]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Borovskij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V.M.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biosfere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Kazahstana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. – Alma-Ata: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Nauka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, 1981. – S. 3-96.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[6]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082EFE">
        <w:rPr>
          <w:rFonts w:ascii="Times New Roman" w:hAnsi="Times New Roman"/>
          <w:sz w:val="28"/>
          <w:szCs w:val="28"/>
          <w:lang w:val="en-US"/>
        </w:rPr>
        <w:t xml:space="preserve">Flora SSSR // pod red. V.A.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Komarova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. – M.-L.: AN SSSR, 1936. – T.6. – S. 169-170.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[7]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Gosudarstvennaja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farmakopeja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SSSR: vyp.1.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Obshhie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metody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analiza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Lekarstvennoe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rastitel'noe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syr'e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. XI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izd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. M.: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Medicina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.-1987.- S.42-44.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[8]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Ermachenko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L.A.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Atomno-absorbcionnyj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analiz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sanitarno-gigienicheskih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issledovanijah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// pod red. L.G.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Podunovoj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. – M.: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Chuvashija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, 1997. – 208s.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[9] </w:t>
      </w:r>
      <w:r w:rsidRPr="00082EFE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Kabata-Pendias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Pendias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H.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pochvah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rastenijah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. M.: Mir. - 1989- S. 83-93.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[10]</w:t>
      </w:r>
      <w:r w:rsidRPr="00082EFE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Vladimirov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A.H.,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Ushakov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I.I.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estestvennaja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radioaktivnost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'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pochv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Rostovskij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gosudarstvennyj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universitet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, 1962, S.72.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[11]</w:t>
      </w:r>
      <w:r w:rsidRPr="00082EFE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Anspok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P.I.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rastenievodstve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– AN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LatvSSR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, 1958, S.165.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 [12]</w:t>
      </w:r>
      <w:r w:rsidRPr="00082EFE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Vlasjuk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P.A.,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sel'skom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hozjajstve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medicine – AN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LatvSSR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, 1956, S.97.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[13]</w:t>
      </w:r>
      <w:r w:rsidRPr="00082EFE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Sadzhvan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K.S.,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Najdu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R., Prasad M.N.V.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okruzhajushhej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srede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Biogeohimija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biotehnologija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bioremediacija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Fizmatlit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, 2009- 725 s.</w:t>
      </w:r>
    </w:p>
    <w:p w:rsidR="00082EFE" w:rsidRP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[14]</w:t>
      </w:r>
      <w:r w:rsidRPr="00082EFE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biosfere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ih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primenenie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sel'skom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hozjajstve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medicine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Sibiri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Dal'nego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Vostoka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Akademija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nauk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SSSR, 1969, S. 5-121.</w:t>
      </w:r>
    </w:p>
    <w:p w:rsid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EFE">
        <w:rPr>
          <w:rFonts w:ascii="Times New Roman" w:hAnsi="Times New Roman"/>
          <w:sz w:val="28"/>
          <w:szCs w:val="28"/>
          <w:lang w:val="en-US"/>
        </w:rPr>
        <w:t xml:space="preserve">     [15]</w:t>
      </w:r>
      <w:r w:rsidRPr="00082EFE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Mikrojelementy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zhivotnovodstve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rastenievodstve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 xml:space="preserve"> – Kyrgyz SSR.: </w:t>
      </w:r>
      <w:proofErr w:type="spellStart"/>
      <w:r w:rsidRPr="00082EFE">
        <w:rPr>
          <w:rFonts w:ascii="Times New Roman" w:hAnsi="Times New Roman"/>
          <w:sz w:val="28"/>
          <w:szCs w:val="28"/>
          <w:lang w:val="en-US"/>
        </w:rPr>
        <w:t>Ilim</w:t>
      </w:r>
      <w:proofErr w:type="spellEnd"/>
      <w:r w:rsidRPr="00082EFE">
        <w:rPr>
          <w:rFonts w:ascii="Times New Roman" w:hAnsi="Times New Roman"/>
          <w:sz w:val="28"/>
          <w:szCs w:val="28"/>
          <w:lang w:val="en-US"/>
        </w:rPr>
        <w:t>, 1986, - S.65-127.</w:t>
      </w:r>
    </w:p>
    <w:p w:rsidR="00082EFE" w:rsidRDefault="00082EFE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5DE0" w:rsidRDefault="005F5DE0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5DE0" w:rsidRPr="005F5DE0" w:rsidRDefault="005F5DE0" w:rsidP="005F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5DE0">
        <w:rPr>
          <w:rFonts w:ascii="Times New Roman" w:hAnsi="Times New Roman"/>
          <w:b/>
          <w:sz w:val="28"/>
          <w:szCs w:val="28"/>
          <w:lang w:val="kk-KZ"/>
        </w:rPr>
        <w:t>Іле бозтікенінің минералды құрамы</w:t>
      </w:r>
    </w:p>
    <w:p w:rsidR="005F5DE0" w:rsidRPr="005F5DE0" w:rsidRDefault="005F5DE0" w:rsidP="005F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F5DE0" w:rsidRDefault="005F5DE0" w:rsidP="005F5DE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3D68">
        <w:rPr>
          <w:rFonts w:ascii="Times New Roman" w:eastAsiaTheme="minorHAnsi" w:hAnsi="Times New Roman"/>
          <w:b/>
          <w:sz w:val="28"/>
          <w:szCs w:val="28"/>
        </w:rPr>
        <w:t>И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Pr="00CE3D68">
        <w:rPr>
          <w:rFonts w:ascii="Times New Roman" w:eastAsiaTheme="minorHAnsi" w:hAnsi="Times New Roman"/>
          <w:b/>
          <w:sz w:val="28"/>
          <w:szCs w:val="28"/>
        </w:rPr>
        <w:t xml:space="preserve"> А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Pr="00CE3D68">
        <w:rPr>
          <w:rFonts w:ascii="Times New Roman" w:eastAsiaTheme="minorHAnsi" w:hAnsi="Times New Roman"/>
          <w:b/>
          <w:sz w:val="28"/>
          <w:szCs w:val="28"/>
        </w:rPr>
        <w:t xml:space="preserve"> Сотников</w:t>
      </w:r>
      <w:r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Pr="00CE3D68">
        <w:rPr>
          <w:rFonts w:ascii="Times New Roman" w:eastAsiaTheme="minorHAnsi" w:hAnsi="Times New Roman"/>
          <w:b/>
          <w:sz w:val="28"/>
          <w:szCs w:val="28"/>
        </w:rPr>
        <w:t xml:space="preserve"> Ю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Pr="00CE3D68">
        <w:rPr>
          <w:rFonts w:ascii="Times New Roman" w:eastAsiaTheme="minorHAnsi" w:hAnsi="Times New Roman"/>
          <w:b/>
          <w:sz w:val="28"/>
          <w:szCs w:val="28"/>
        </w:rPr>
        <w:t xml:space="preserve"> А</w:t>
      </w:r>
      <w:r>
        <w:rPr>
          <w:rFonts w:ascii="Times New Roman" w:eastAsiaTheme="minorHAnsi" w:hAnsi="Times New Roman"/>
          <w:b/>
          <w:sz w:val="28"/>
          <w:szCs w:val="28"/>
        </w:rPr>
        <w:t>. Литвиненко</w:t>
      </w:r>
      <w:r w:rsidRPr="00CE3D68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Н.З.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Ахтаева</w:t>
      </w:r>
      <w:proofErr w:type="spellEnd"/>
    </w:p>
    <w:p w:rsidR="005F5DE0" w:rsidRPr="00CE3D68" w:rsidRDefault="00721018" w:rsidP="005F5DE0">
      <w:pPr>
        <w:spacing w:after="0" w:line="240" w:lineRule="auto"/>
        <w:jc w:val="center"/>
        <w:rPr>
          <w:rFonts w:ascii="Times New Roman" w:eastAsiaTheme="minorHAnsi" w:hAnsi="Times New Roman"/>
          <w:b/>
          <w:color w:val="0563C1" w:themeColor="hyperlink"/>
          <w:sz w:val="28"/>
          <w:szCs w:val="28"/>
          <w:u w:val="single"/>
        </w:rPr>
      </w:pPr>
      <w:hyperlink r:id="rId12" w:history="1">
        <w:r w:rsidR="005F5DE0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  <w:lang w:val="en-US"/>
          </w:rPr>
          <w:t>Analfire</w:t>
        </w:r>
        <w:r w:rsidR="005F5DE0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</w:rPr>
          <w:t>24@</w:t>
        </w:r>
        <w:r w:rsidR="005F5DE0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  <w:lang w:val="en-US"/>
          </w:rPr>
          <w:t>gmail</w:t>
        </w:r>
        <w:r w:rsidR="005F5DE0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</w:rPr>
          <w:t>.</w:t>
        </w:r>
        <w:r w:rsidR="005F5DE0" w:rsidRPr="00CE3D68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  <w:lang w:val="en-US"/>
          </w:rPr>
          <w:t>com</w:t>
        </w:r>
      </w:hyperlink>
    </w:p>
    <w:p w:rsidR="00321AB9" w:rsidRDefault="00321AB9" w:rsidP="00A46C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Әл-Фараби атындағы Қазақ Ұлттык Университетті, Алматы.</w:t>
      </w:r>
    </w:p>
    <w:p w:rsidR="00321AB9" w:rsidRDefault="00321AB9" w:rsidP="00321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21AB9" w:rsidRDefault="00B126CE" w:rsidP="00321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126CE">
        <w:rPr>
          <w:rFonts w:ascii="Times New Roman" w:hAnsi="Times New Roman"/>
          <w:b/>
          <w:sz w:val="28"/>
          <w:szCs w:val="28"/>
          <w:lang w:val="kk-KZ"/>
        </w:rPr>
        <w:t>Тірек</w:t>
      </w:r>
      <w:r w:rsidR="00321AB9" w:rsidRPr="00B126CE">
        <w:rPr>
          <w:rFonts w:ascii="Times New Roman" w:hAnsi="Times New Roman"/>
          <w:b/>
          <w:sz w:val="28"/>
          <w:szCs w:val="28"/>
          <w:lang w:val="kk-KZ"/>
        </w:rPr>
        <w:t xml:space="preserve"> сөздер:</w:t>
      </w:r>
      <w:r w:rsidR="00321AB9">
        <w:rPr>
          <w:rFonts w:ascii="Times New Roman" w:hAnsi="Times New Roman"/>
          <w:sz w:val="28"/>
          <w:szCs w:val="28"/>
          <w:lang w:val="kk-KZ"/>
        </w:rPr>
        <w:t xml:space="preserve"> Іле бозтікені минер</w:t>
      </w:r>
      <w:r w:rsidR="00920FED">
        <w:rPr>
          <w:rFonts w:ascii="Times New Roman" w:hAnsi="Times New Roman"/>
          <w:sz w:val="28"/>
          <w:szCs w:val="28"/>
          <w:lang w:val="kk-KZ"/>
        </w:rPr>
        <w:t>алды құрамы, қалампыр тұқымдасы, экологиялық қауіпсіздік.</w:t>
      </w:r>
    </w:p>
    <w:p w:rsidR="00920FED" w:rsidRDefault="00B126CE" w:rsidP="00321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126CE">
        <w:rPr>
          <w:rFonts w:ascii="Times New Roman" w:hAnsi="Times New Roman"/>
          <w:b/>
          <w:sz w:val="28"/>
          <w:szCs w:val="28"/>
          <w:lang w:val="kk-KZ"/>
        </w:rPr>
        <w:t>Аннотация.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0FED">
        <w:rPr>
          <w:rFonts w:ascii="Times New Roman" w:hAnsi="Times New Roman"/>
          <w:sz w:val="28"/>
          <w:szCs w:val="28"/>
          <w:lang w:val="kk-KZ"/>
        </w:rPr>
        <w:t>Мақалда Алматы облысы, Іле аймағынан 2016 жылғы  жиналған. Іле бозтікенінің жер беті бөлігіндегі минералды құрамын зерттеу  нәтижелері келтірілген. Зерртеу жұмысы</w:t>
      </w:r>
      <w:r w:rsidR="00B927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0EE1">
        <w:rPr>
          <w:rFonts w:ascii="Times New Roman" w:hAnsi="Times New Roman"/>
          <w:sz w:val="28"/>
          <w:szCs w:val="28"/>
          <w:lang w:val="kk-KZ"/>
        </w:rPr>
        <w:t xml:space="preserve">атомды-абсорбциялы сараптау әдісі мен </w:t>
      </w:r>
      <w:r w:rsidR="000D0EE1" w:rsidRPr="000D0EE1">
        <w:rPr>
          <w:rFonts w:ascii="Times New Roman" w:hAnsi="Times New Roman"/>
          <w:sz w:val="28"/>
          <w:szCs w:val="28"/>
          <w:lang w:val="kk-KZ"/>
        </w:rPr>
        <w:t>(ЦФХМА)</w:t>
      </w:r>
      <w:r w:rsidR="000D0EE1">
        <w:rPr>
          <w:rFonts w:ascii="Times New Roman" w:hAnsi="Times New Roman"/>
          <w:sz w:val="28"/>
          <w:szCs w:val="28"/>
          <w:lang w:val="kk-KZ"/>
        </w:rPr>
        <w:t xml:space="preserve"> физика-химиялық</w:t>
      </w:r>
      <w:r w:rsidR="00B927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0EE1">
        <w:rPr>
          <w:rFonts w:ascii="Times New Roman" w:hAnsi="Times New Roman"/>
          <w:sz w:val="28"/>
          <w:szCs w:val="28"/>
          <w:lang w:val="kk-KZ"/>
        </w:rPr>
        <w:t>сараптау және зерттеу орталығында жүргізінген. Нәтижесінде Іле бозтікенінің микро- жәнемакроэлемент құрамы аңықталды. Зерттеу нәтижесі бозтікенінің экологиялық қауіпсіз  және оны пайдалану сакалы түрде өмірге қажетті элементтер құрамының көзі екенін дәлелдейді.</w:t>
      </w:r>
    </w:p>
    <w:p w:rsidR="000C3087" w:rsidRDefault="000C3087" w:rsidP="000C30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Сотников Илья Анатольевич</w:t>
      </w:r>
    </w:p>
    <w:p w:rsidR="000C3087" w:rsidRDefault="000C3087" w:rsidP="000C30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Литвиненко Юлия Алексеевна</w:t>
      </w:r>
    </w:p>
    <w:p w:rsidR="000C3087" w:rsidRPr="000C3087" w:rsidRDefault="000C3087" w:rsidP="000C308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Ахтаева</w:t>
      </w:r>
      <w:proofErr w:type="spellEnd"/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20.04.2017</w:t>
      </w:r>
    </w:p>
    <w:sectPr w:rsidR="000C3087" w:rsidRPr="000C3087" w:rsidSect="00B47731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18" w:rsidRDefault="00721018">
      <w:pPr>
        <w:spacing w:after="0" w:line="240" w:lineRule="auto"/>
      </w:pPr>
      <w:r>
        <w:separator/>
      </w:r>
    </w:p>
  </w:endnote>
  <w:endnote w:type="continuationSeparator" w:id="0">
    <w:p w:rsidR="00721018" w:rsidRDefault="0072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27" w:rsidRDefault="006C09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3087">
      <w:rPr>
        <w:noProof/>
      </w:rPr>
      <w:t>1</w:t>
    </w:r>
    <w:r>
      <w:rPr>
        <w:noProof/>
      </w:rPr>
      <w:fldChar w:fldCharType="end"/>
    </w:r>
  </w:p>
  <w:p w:rsidR="001D3727" w:rsidRDefault="00721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18" w:rsidRDefault="00721018">
      <w:pPr>
        <w:spacing w:after="0" w:line="240" w:lineRule="auto"/>
      </w:pPr>
      <w:r>
        <w:separator/>
      </w:r>
    </w:p>
  </w:footnote>
  <w:footnote w:type="continuationSeparator" w:id="0">
    <w:p w:rsidR="00721018" w:rsidRDefault="0072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83C3B"/>
    <w:multiLevelType w:val="multilevel"/>
    <w:tmpl w:val="A5D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A7"/>
    <w:rsid w:val="0003446C"/>
    <w:rsid w:val="00057E45"/>
    <w:rsid w:val="00082EFE"/>
    <w:rsid w:val="00097CC1"/>
    <w:rsid w:val="000C3087"/>
    <w:rsid w:val="000D0EE1"/>
    <w:rsid w:val="000E3BCF"/>
    <w:rsid w:val="00162D54"/>
    <w:rsid w:val="001767F3"/>
    <w:rsid w:val="00185C6A"/>
    <w:rsid w:val="001C28AD"/>
    <w:rsid w:val="00321AB9"/>
    <w:rsid w:val="0035545A"/>
    <w:rsid w:val="00375F78"/>
    <w:rsid w:val="003E1964"/>
    <w:rsid w:val="003E2F59"/>
    <w:rsid w:val="00473265"/>
    <w:rsid w:val="00513243"/>
    <w:rsid w:val="005348EF"/>
    <w:rsid w:val="00563E04"/>
    <w:rsid w:val="005F3AFC"/>
    <w:rsid w:val="005F5DE0"/>
    <w:rsid w:val="00620200"/>
    <w:rsid w:val="006A2337"/>
    <w:rsid w:val="006C0975"/>
    <w:rsid w:val="00721018"/>
    <w:rsid w:val="00744817"/>
    <w:rsid w:val="00774F1F"/>
    <w:rsid w:val="007B1721"/>
    <w:rsid w:val="007B6F13"/>
    <w:rsid w:val="007C74BC"/>
    <w:rsid w:val="00831899"/>
    <w:rsid w:val="008512A7"/>
    <w:rsid w:val="008540A7"/>
    <w:rsid w:val="00915292"/>
    <w:rsid w:val="00920FED"/>
    <w:rsid w:val="0094632B"/>
    <w:rsid w:val="009B52A4"/>
    <w:rsid w:val="00A46C49"/>
    <w:rsid w:val="00A80647"/>
    <w:rsid w:val="00B126CE"/>
    <w:rsid w:val="00B47731"/>
    <w:rsid w:val="00B569B7"/>
    <w:rsid w:val="00B9277B"/>
    <w:rsid w:val="00BC0A4F"/>
    <w:rsid w:val="00CA2B2B"/>
    <w:rsid w:val="00CE3D68"/>
    <w:rsid w:val="00D31C1E"/>
    <w:rsid w:val="00D36EB9"/>
    <w:rsid w:val="00D55EE6"/>
    <w:rsid w:val="00D85F60"/>
    <w:rsid w:val="00DD2137"/>
    <w:rsid w:val="00DE6EE7"/>
    <w:rsid w:val="00E04302"/>
    <w:rsid w:val="00EB15F7"/>
    <w:rsid w:val="00F753CA"/>
    <w:rsid w:val="00F8013F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1250"/>
  <w15:chartTrackingRefBased/>
  <w15:docId w15:val="{B4E08289-1A15-4B6A-A683-449ACD4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2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3243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513243"/>
    <w:rPr>
      <w:color w:val="0000FF"/>
      <w:u w:val="single"/>
    </w:rPr>
  </w:style>
  <w:style w:type="table" w:styleId="a6">
    <w:name w:val="Table Grid"/>
    <w:basedOn w:val="a1"/>
    <w:uiPriority w:val="39"/>
    <w:rsid w:val="006C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Упомянуть1"/>
    <w:basedOn w:val="a0"/>
    <w:uiPriority w:val="99"/>
    <w:semiHidden/>
    <w:unhideWhenUsed/>
    <w:rsid w:val="00162D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fire24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lfire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Analfire24@gmail.com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li5\Desktop\&#1084;&#1080;&#1082;&#1088;&#1086;%20&#1084;&#1072;&#1082;&#1088;&#108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81714785651793"/>
          <c:y val="0.17171296296296296"/>
          <c:w val="0.76140507436570426"/>
          <c:h val="0.679799139690872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Cd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Лист1!$B$1</c:f>
              <c:numCache>
                <c:formatCode>General</c:formatCode>
                <c:ptCount val="1"/>
                <c:pt idx="0">
                  <c:v>1.1999999999999999E-6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E8-45BA-97A5-7BEB1E8FAC2F}"/>
            </c:ext>
          </c:extLst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Pb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Лист1!$B$2</c:f>
              <c:numCache>
                <c:formatCode>General</c:formatCode>
                <c:ptCount val="1"/>
                <c:pt idx="0">
                  <c:v>2.3E-5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E8-45BA-97A5-7BEB1E8FAC2F}"/>
            </c:ext>
          </c:extLst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Fe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val>
            <c:numRef>
              <c:f>Лист1!$B$3</c:f>
              <c:numCache>
                <c:formatCode>General</c:formatCode>
                <c:ptCount val="1"/>
                <c:pt idx="0">
                  <c:v>1.5E-3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E8-45BA-97A5-7BEB1E8FAC2F}"/>
            </c:ext>
          </c:extLst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Ni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val>
            <c:numRef>
              <c:f>Лист1!$B$4</c:f>
              <c:numCache>
                <c:formatCode>General</c:formatCode>
                <c:ptCount val="1"/>
                <c:pt idx="0">
                  <c:v>8.1599999999999998E-6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E8-45BA-97A5-7BEB1E8FAC2F}"/>
            </c:ext>
          </c:extLst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Mn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val>
            <c:numRef>
              <c:f>Лист1!$B$5</c:f>
              <c:numCache>
                <c:formatCode>General</c:formatCode>
                <c:ptCount val="1"/>
                <c:pt idx="0">
                  <c:v>1.0000000000000001E-5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E8-45BA-97A5-7BEB1E8FAC2F}"/>
            </c:ext>
          </c:extLst>
        </c:ser>
        <c:ser>
          <c:idx val="5"/>
          <c:order val="5"/>
          <c:tx>
            <c:strRef>
              <c:f>Лист1!$A$6</c:f>
              <c:strCache>
                <c:ptCount val="1"/>
                <c:pt idx="0">
                  <c:v>Zn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val>
            <c:numRef>
              <c:f>Лист1!$B$6</c:f>
              <c:numCache>
                <c:formatCode>General</c:formatCode>
                <c:ptCount val="1"/>
                <c:pt idx="0">
                  <c:v>3.3000000000000003E-5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8E8-45BA-97A5-7BEB1E8FAC2F}"/>
            </c:ext>
          </c:extLst>
        </c:ser>
        <c:ser>
          <c:idx val="6"/>
          <c:order val="6"/>
          <c:tx>
            <c:strRef>
              <c:f>Лист1!$A$7</c:f>
              <c:strCache>
                <c:ptCount val="1"/>
                <c:pt idx="0">
                  <c:v>Cu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Лист1!$B$7</c:f>
              <c:numCache>
                <c:formatCode>General</c:formatCode>
                <c:ptCount val="1"/>
                <c:pt idx="0">
                  <c:v>2.55E-5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8E8-45BA-97A5-7BEB1E8FA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222528"/>
        <c:axId val="306223088"/>
        <c:axId val="0"/>
      </c:bar3DChart>
      <c:catAx>
        <c:axId val="3062225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06223088"/>
        <c:crosses val="autoZero"/>
        <c:auto val="1"/>
        <c:lblAlgn val="ctr"/>
        <c:lblOffset val="100"/>
        <c:noMultiLvlLbl val="0"/>
      </c:catAx>
      <c:valAx>
        <c:axId val="30622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2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6860126859142606"/>
          <c:y val="7.0022601341498986E-2"/>
          <c:w val="9.6130796150481188E-2"/>
          <c:h val="0.791088509769612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483814523184598E-2"/>
          <c:y val="5.0925925925925923E-2"/>
          <c:w val="0.77007174103237097"/>
          <c:h val="0.875578156897054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Лист1!$A$18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Лист1!$B$18</c:f>
              <c:numCache>
                <c:formatCode>General</c:formatCode>
                <c:ptCount val="1"/>
                <c:pt idx="0">
                  <c:v>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77-40C6-A418-899D0B34A7CF}"/>
            </c:ext>
          </c:extLst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Лист1!$B$19</c:f>
              <c:numCache>
                <c:formatCode>General</c:formatCode>
                <c:ptCount val="1"/>
                <c:pt idx="0">
                  <c:v>1.35E-2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77-40C6-A418-899D0B34A7CF}"/>
            </c:ext>
          </c:extLst>
        </c:ser>
        <c:ser>
          <c:idx val="2"/>
          <c:order val="2"/>
          <c:tx>
            <c:strRef>
              <c:f>Лист1!$A$20</c:f>
              <c:strCache>
                <c:ptCount val="1"/>
                <c:pt idx="0">
                  <c:v>Mg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val>
            <c:numRef>
              <c:f>Лист1!$B$20</c:f>
              <c:numCache>
                <c:formatCode>General</c:formatCode>
                <c:ptCount val="1"/>
                <c:pt idx="0">
                  <c:v>1.26E-2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77-40C6-A418-899D0B34A7CF}"/>
            </c:ext>
          </c:extLst>
        </c:ser>
        <c:ser>
          <c:idx val="3"/>
          <c:order val="3"/>
          <c:tx>
            <c:strRef>
              <c:f>Лист1!$A$21</c:f>
              <c:strCache>
                <c:ptCount val="1"/>
                <c:pt idx="0">
                  <c:v>Ca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val>
            <c:numRef>
              <c:f>Лист1!$B$21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77-40C6-A418-899D0B34A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4747408"/>
        <c:axId val="304747968"/>
        <c:axId val="0"/>
      </c:bar3DChart>
      <c:catAx>
        <c:axId val="3047474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04747968"/>
        <c:crosses val="autoZero"/>
        <c:auto val="1"/>
        <c:lblAlgn val="ctr"/>
        <c:lblOffset val="100"/>
        <c:noMultiLvlLbl val="0"/>
      </c:catAx>
      <c:valAx>
        <c:axId val="30474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74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6880905511811013"/>
          <c:y val="0.2135411198600175"/>
          <c:w val="7.9048556430446212E-2"/>
          <c:h val="0.55034776902887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3E84-5D78-41C8-91B7-C0988E23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elli5</dc:creator>
  <cp:keywords/>
  <dc:description/>
  <cp:lastModifiedBy>elli5</cp:lastModifiedBy>
  <cp:revision>13</cp:revision>
  <dcterms:created xsi:type="dcterms:W3CDTF">2017-04-18T06:03:00Z</dcterms:created>
  <dcterms:modified xsi:type="dcterms:W3CDTF">2017-04-20T11:21:00Z</dcterms:modified>
</cp:coreProperties>
</file>