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22" w:rsidRDefault="00611122" w:rsidP="00611122">
      <w:pPr>
        <w:pStyle w:val="a3"/>
        <w:rPr>
          <w:rFonts w:ascii="Times New Roman" w:hAnsi="Times New Roman" w:cs="Times New Roman"/>
          <w:sz w:val="28"/>
          <w:szCs w:val="28"/>
        </w:rPr>
      </w:pPr>
      <w:r>
        <w:rPr>
          <w:rFonts w:ascii="Times New Roman" w:hAnsi="Times New Roman" w:cs="Times New Roman"/>
          <w:sz w:val="28"/>
          <w:szCs w:val="28"/>
        </w:rPr>
        <w:t xml:space="preserve">УДК </w:t>
      </w:r>
      <w:r w:rsidR="00F005DF">
        <w:rPr>
          <w:rFonts w:ascii="Times New Roman" w:hAnsi="Times New Roman" w:cs="Times New Roman"/>
          <w:sz w:val="28"/>
          <w:szCs w:val="28"/>
        </w:rPr>
        <w:t>657.6:368(06)</w:t>
      </w:r>
    </w:p>
    <w:p w:rsidR="00611122" w:rsidRDefault="00611122" w:rsidP="00611122">
      <w:pPr>
        <w:pStyle w:val="a3"/>
        <w:rPr>
          <w:rFonts w:ascii="Times New Roman" w:hAnsi="Times New Roman" w:cs="Times New Roman"/>
          <w:sz w:val="28"/>
          <w:szCs w:val="28"/>
        </w:rPr>
      </w:pPr>
    </w:p>
    <w:p w:rsidR="00611122" w:rsidRDefault="00611122" w:rsidP="00611122">
      <w:pPr>
        <w:pStyle w:val="a3"/>
        <w:rPr>
          <w:rFonts w:ascii="Times New Roman" w:hAnsi="Times New Roman" w:cs="Times New Roman"/>
          <w:sz w:val="28"/>
          <w:szCs w:val="28"/>
        </w:rPr>
      </w:pPr>
    </w:p>
    <w:p w:rsidR="00611122" w:rsidRDefault="00611122" w:rsidP="00611122">
      <w:pPr>
        <w:pStyle w:val="a3"/>
        <w:jc w:val="center"/>
        <w:rPr>
          <w:rFonts w:ascii="Times New Roman" w:hAnsi="Times New Roman" w:cs="Times New Roman"/>
          <w:sz w:val="28"/>
          <w:szCs w:val="28"/>
        </w:rPr>
      </w:pP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Когут</w:t>
      </w:r>
      <w:proofErr w:type="spellEnd"/>
    </w:p>
    <w:p w:rsidR="00611122" w:rsidRDefault="00611122" w:rsidP="00611122">
      <w:pPr>
        <w:pStyle w:val="a3"/>
        <w:jc w:val="center"/>
        <w:rPr>
          <w:rFonts w:ascii="Times New Roman" w:hAnsi="Times New Roman" w:cs="Times New Roman"/>
          <w:sz w:val="24"/>
          <w:szCs w:val="24"/>
        </w:rPr>
      </w:pPr>
      <w:r w:rsidRPr="004C4663">
        <w:rPr>
          <w:rFonts w:ascii="Times New Roman" w:hAnsi="Times New Roman" w:cs="Times New Roman"/>
          <w:sz w:val="24"/>
          <w:szCs w:val="24"/>
        </w:rPr>
        <w:t xml:space="preserve">Казахский Национальный Университет имени </w:t>
      </w:r>
      <w:proofErr w:type="spellStart"/>
      <w:r w:rsidRPr="004C4663">
        <w:rPr>
          <w:rFonts w:ascii="Times New Roman" w:hAnsi="Times New Roman" w:cs="Times New Roman"/>
          <w:sz w:val="24"/>
          <w:szCs w:val="24"/>
        </w:rPr>
        <w:t>аль-Фараби</w:t>
      </w:r>
      <w:proofErr w:type="spellEnd"/>
      <w:r w:rsidRPr="004C4663">
        <w:rPr>
          <w:rFonts w:ascii="Times New Roman" w:hAnsi="Times New Roman" w:cs="Times New Roman"/>
          <w:sz w:val="24"/>
          <w:szCs w:val="24"/>
        </w:rPr>
        <w:t xml:space="preserve">, Казахстан, </w:t>
      </w:r>
      <w:proofErr w:type="gramStart"/>
      <w:r w:rsidRPr="004C4663">
        <w:rPr>
          <w:rFonts w:ascii="Times New Roman" w:hAnsi="Times New Roman" w:cs="Times New Roman"/>
          <w:sz w:val="24"/>
          <w:szCs w:val="24"/>
        </w:rPr>
        <w:t>г</w:t>
      </w:r>
      <w:proofErr w:type="gramEnd"/>
      <w:r w:rsidRPr="004C4663">
        <w:rPr>
          <w:rFonts w:ascii="Times New Roman" w:hAnsi="Times New Roman" w:cs="Times New Roman"/>
          <w:sz w:val="24"/>
          <w:szCs w:val="24"/>
        </w:rPr>
        <w:t xml:space="preserve">. </w:t>
      </w:r>
      <w:proofErr w:type="spellStart"/>
      <w:r w:rsidRPr="004C4663">
        <w:rPr>
          <w:rFonts w:ascii="Times New Roman" w:hAnsi="Times New Roman" w:cs="Times New Roman"/>
          <w:sz w:val="24"/>
          <w:szCs w:val="24"/>
        </w:rPr>
        <w:t>Алматы</w:t>
      </w:r>
      <w:proofErr w:type="spellEnd"/>
    </w:p>
    <w:p w:rsidR="00611122" w:rsidRDefault="00611122" w:rsidP="00611122">
      <w:pPr>
        <w:pStyle w:val="a3"/>
        <w:jc w:val="center"/>
        <w:rPr>
          <w:rFonts w:ascii="Times New Roman" w:hAnsi="Times New Roman" w:cs="Times New Roman"/>
          <w:sz w:val="24"/>
          <w:szCs w:val="24"/>
        </w:rPr>
      </w:pPr>
      <w:r>
        <w:rPr>
          <w:rFonts w:ascii="Times New Roman" w:hAnsi="Times New Roman" w:cs="Times New Roman"/>
          <w:sz w:val="24"/>
          <w:szCs w:val="24"/>
          <w:lang w:val="en-US"/>
        </w:rPr>
        <w:t>E</w:t>
      </w:r>
      <w:r w:rsidRPr="00611122">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611122">
        <w:rPr>
          <w:rFonts w:ascii="Times New Roman" w:hAnsi="Times New Roman" w:cs="Times New Roman"/>
          <w:sz w:val="24"/>
          <w:szCs w:val="24"/>
        </w:rPr>
        <w:t xml:space="preserve"> </w:t>
      </w:r>
      <w:hyperlink r:id="rId6" w:history="1">
        <w:r w:rsidRPr="00934727">
          <w:rPr>
            <w:rStyle w:val="a7"/>
            <w:rFonts w:ascii="Times New Roman" w:hAnsi="Times New Roman" w:cs="Times New Roman"/>
            <w:sz w:val="24"/>
            <w:szCs w:val="24"/>
            <w:lang w:val="en-US"/>
          </w:rPr>
          <w:t>kogut</w:t>
        </w:r>
        <w:r w:rsidRPr="00611122">
          <w:rPr>
            <w:rStyle w:val="a7"/>
            <w:rFonts w:ascii="Times New Roman" w:hAnsi="Times New Roman" w:cs="Times New Roman"/>
            <w:sz w:val="24"/>
            <w:szCs w:val="24"/>
          </w:rPr>
          <w:t>.1974@</w:t>
        </w:r>
        <w:r w:rsidRPr="00934727">
          <w:rPr>
            <w:rStyle w:val="a7"/>
            <w:rFonts w:ascii="Times New Roman" w:hAnsi="Times New Roman" w:cs="Times New Roman"/>
            <w:sz w:val="24"/>
            <w:szCs w:val="24"/>
            <w:lang w:val="en-US"/>
          </w:rPr>
          <w:t>mail</w:t>
        </w:r>
        <w:r w:rsidRPr="00611122">
          <w:rPr>
            <w:rStyle w:val="a7"/>
            <w:rFonts w:ascii="Times New Roman" w:hAnsi="Times New Roman" w:cs="Times New Roman"/>
            <w:sz w:val="24"/>
            <w:szCs w:val="24"/>
          </w:rPr>
          <w:t>.</w:t>
        </w:r>
        <w:r w:rsidRPr="00934727">
          <w:rPr>
            <w:rStyle w:val="a7"/>
            <w:rFonts w:ascii="Times New Roman" w:hAnsi="Times New Roman" w:cs="Times New Roman"/>
            <w:sz w:val="24"/>
            <w:szCs w:val="24"/>
            <w:lang w:val="en-US"/>
          </w:rPr>
          <w:t>ru</w:t>
        </w:r>
      </w:hyperlink>
    </w:p>
    <w:p w:rsidR="00611122" w:rsidRDefault="00611122" w:rsidP="00611122">
      <w:pPr>
        <w:pStyle w:val="a3"/>
        <w:jc w:val="center"/>
        <w:rPr>
          <w:sz w:val="24"/>
          <w:szCs w:val="24"/>
        </w:rPr>
      </w:pPr>
    </w:p>
    <w:p w:rsidR="00611122" w:rsidRPr="007123BC" w:rsidRDefault="00611122" w:rsidP="00611122">
      <w:pPr>
        <w:pStyle w:val="a4"/>
        <w:spacing w:before="0" w:beforeAutospacing="0" w:after="0" w:afterAutospacing="0"/>
        <w:ind w:firstLine="709"/>
        <w:jc w:val="center"/>
        <w:rPr>
          <w:b/>
        </w:rPr>
      </w:pPr>
      <w:r w:rsidRPr="007123BC">
        <w:rPr>
          <w:b/>
        </w:rPr>
        <w:t>Проблемы учета р</w:t>
      </w:r>
      <w:r w:rsidR="00877FA4" w:rsidRPr="007123BC">
        <w:rPr>
          <w:b/>
        </w:rPr>
        <w:t>асходов</w:t>
      </w:r>
      <w:r w:rsidRPr="007123BC">
        <w:rPr>
          <w:b/>
        </w:rPr>
        <w:t xml:space="preserve"> страховой деятельности на примере страховых компаний</w:t>
      </w:r>
    </w:p>
    <w:p w:rsidR="00611122" w:rsidRPr="00F005DF" w:rsidRDefault="00611122" w:rsidP="007123BC">
      <w:pPr>
        <w:pStyle w:val="a3"/>
        <w:rPr>
          <w:sz w:val="24"/>
          <w:szCs w:val="24"/>
        </w:rPr>
      </w:pPr>
    </w:p>
    <w:p w:rsidR="00611122" w:rsidRPr="007123BC" w:rsidRDefault="00611122" w:rsidP="0049106D">
      <w:pPr>
        <w:pStyle w:val="ConsNormal"/>
        <w:widowControl/>
        <w:tabs>
          <w:tab w:val="left" w:pos="993"/>
        </w:tabs>
        <w:jc w:val="both"/>
        <w:rPr>
          <w:rFonts w:ascii="Times New Roman" w:hAnsi="Times New Roman" w:cs="Times New Roman"/>
          <w:sz w:val="24"/>
          <w:szCs w:val="24"/>
        </w:rPr>
      </w:pPr>
      <w:r w:rsidRPr="007123BC">
        <w:rPr>
          <w:rFonts w:ascii="Times New Roman" w:hAnsi="Times New Roman" w:cs="Times New Roman"/>
          <w:b/>
          <w:sz w:val="24"/>
          <w:szCs w:val="24"/>
        </w:rPr>
        <w:t xml:space="preserve">Аннотация.  </w:t>
      </w:r>
      <w:r w:rsidRPr="007123BC">
        <w:rPr>
          <w:rFonts w:ascii="Times New Roman" w:hAnsi="Times New Roman" w:cs="Times New Roman"/>
          <w:sz w:val="24"/>
          <w:szCs w:val="24"/>
        </w:rPr>
        <w:t>В статье рассматриваются</w:t>
      </w:r>
      <w:r w:rsidRPr="007123BC">
        <w:rPr>
          <w:rFonts w:ascii="Times New Roman" w:hAnsi="Times New Roman"/>
          <w:sz w:val="24"/>
          <w:szCs w:val="24"/>
        </w:rPr>
        <w:t xml:space="preserve"> </w:t>
      </w:r>
      <w:r w:rsidR="00D24DA6" w:rsidRPr="007123BC">
        <w:rPr>
          <w:rFonts w:ascii="Times New Roman" w:hAnsi="Times New Roman"/>
          <w:sz w:val="24"/>
          <w:szCs w:val="24"/>
        </w:rPr>
        <w:t xml:space="preserve">особенности ведения бухгалтерского учета </w:t>
      </w:r>
      <w:r w:rsidR="0049106D" w:rsidRPr="007123BC">
        <w:rPr>
          <w:rFonts w:ascii="Times New Roman" w:hAnsi="Times New Roman"/>
          <w:sz w:val="24"/>
          <w:szCs w:val="24"/>
        </w:rPr>
        <w:t xml:space="preserve">расходов </w:t>
      </w:r>
      <w:r w:rsidR="00D24DA6" w:rsidRPr="007123BC">
        <w:rPr>
          <w:rFonts w:ascii="Times New Roman" w:hAnsi="Times New Roman"/>
          <w:sz w:val="24"/>
          <w:szCs w:val="24"/>
        </w:rPr>
        <w:t>в страховых организациях</w:t>
      </w:r>
      <w:r w:rsidR="0049106D" w:rsidRPr="007123BC">
        <w:rPr>
          <w:rFonts w:ascii="Times New Roman" w:hAnsi="Times New Roman"/>
          <w:sz w:val="24"/>
          <w:szCs w:val="24"/>
        </w:rPr>
        <w:t xml:space="preserve">, в частности: </w:t>
      </w:r>
      <w:r w:rsidR="0049106D" w:rsidRPr="007123BC">
        <w:rPr>
          <w:rFonts w:ascii="Times New Roman" w:hAnsi="Times New Roman" w:cs="Times New Roman"/>
          <w:sz w:val="24"/>
          <w:szCs w:val="24"/>
        </w:rPr>
        <w:t xml:space="preserve">расходы по ведению страховой деятельности, такие как расходы по заключению, ведению и исполнению договоров страхования, </w:t>
      </w:r>
      <w:proofErr w:type="spellStart"/>
      <w:r w:rsidR="0049106D" w:rsidRPr="007123BC">
        <w:rPr>
          <w:rFonts w:ascii="Times New Roman" w:hAnsi="Times New Roman" w:cs="Times New Roman"/>
          <w:sz w:val="24"/>
          <w:szCs w:val="24"/>
        </w:rPr>
        <w:t>сострахования</w:t>
      </w:r>
      <w:proofErr w:type="spellEnd"/>
      <w:r w:rsidR="0049106D" w:rsidRPr="007123BC">
        <w:rPr>
          <w:rFonts w:ascii="Times New Roman" w:hAnsi="Times New Roman" w:cs="Times New Roman"/>
          <w:sz w:val="24"/>
          <w:szCs w:val="24"/>
        </w:rPr>
        <w:t xml:space="preserve"> и перестрахования; административно-управленческие и общехозяйственные расходы; прочие расходы</w:t>
      </w:r>
      <w:r w:rsidR="0049106D" w:rsidRPr="007123BC">
        <w:rPr>
          <w:sz w:val="24"/>
          <w:szCs w:val="24"/>
        </w:rPr>
        <w:t>.</w:t>
      </w:r>
    </w:p>
    <w:p w:rsidR="00611122" w:rsidRPr="007123BC" w:rsidRDefault="00611122" w:rsidP="0049106D">
      <w:pPr>
        <w:pStyle w:val="a4"/>
        <w:spacing w:before="0" w:beforeAutospacing="0" w:after="0" w:afterAutospacing="0"/>
        <w:ind w:firstLine="709"/>
        <w:jc w:val="both"/>
      </w:pPr>
      <w:r w:rsidRPr="007123BC">
        <w:rPr>
          <w:b/>
          <w:i/>
        </w:rPr>
        <w:t>Ключевые слова</w:t>
      </w:r>
      <w:r w:rsidRPr="007123BC">
        <w:t>:</w:t>
      </w:r>
      <w:r w:rsidR="00D24DA6" w:rsidRPr="007123BC">
        <w:t xml:space="preserve"> страховая деятельность, страховые операции, расходы на ведение дела.</w:t>
      </w:r>
    </w:p>
    <w:p w:rsidR="00611122" w:rsidRPr="007123BC" w:rsidRDefault="00611122" w:rsidP="00611122">
      <w:pPr>
        <w:pStyle w:val="a4"/>
        <w:spacing w:before="0" w:beforeAutospacing="0" w:after="0" w:afterAutospacing="0"/>
        <w:ind w:firstLine="709"/>
        <w:jc w:val="center"/>
      </w:pPr>
    </w:p>
    <w:p w:rsidR="005E7635" w:rsidRPr="00F005DF" w:rsidRDefault="005E7635" w:rsidP="007123BC">
      <w:pPr>
        <w:pStyle w:val="a4"/>
        <w:spacing w:before="0" w:beforeAutospacing="0" w:after="0" w:afterAutospacing="0"/>
        <w:jc w:val="both"/>
      </w:pPr>
    </w:p>
    <w:p w:rsidR="005E7635" w:rsidRPr="007123BC" w:rsidRDefault="005E7635" w:rsidP="005E7635">
      <w:pPr>
        <w:pStyle w:val="a4"/>
        <w:spacing w:before="0" w:beforeAutospacing="0" w:after="0" w:afterAutospacing="0"/>
        <w:ind w:firstLine="709"/>
        <w:jc w:val="both"/>
      </w:pPr>
      <w:r w:rsidRPr="007123BC">
        <w:t>В бухгалтерском учете страховой компании «</w:t>
      </w:r>
      <w:r w:rsidR="001A4C61" w:rsidRPr="007123BC">
        <w:t xml:space="preserve">ААА </w:t>
      </w:r>
      <w:proofErr w:type="spellStart"/>
      <w:r w:rsidRPr="007123BC">
        <w:t>Иншуранс</w:t>
      </w:r>
      <w:proofErr w:type="spellEnd"/>
      <w:r w:rsidRPr="007123BC">
        <w:t xml:space="preserve">» все операции, связанные с осуществлением финансово-хозяйственной деятельности, условно разделяют на операции по страховой деятельности и операции, характерные для любой коммерческой организации. Данный подход обусловил применение Типового Плана счетов с дополнительным введением специальных счетов, предназначенных для учета непосредственно операций по страховой деятельности. Страховые организации с учетом потребностей и особенностей деятельности разрабатывают рабочий план счетов на основании Типового Плана </w:t>
      </w:r>
      <w:r w:rsidRPr="007123BC">
        <w:rPr>
          <w:rFonts w:eastAsiaTheme="minorHAnsi"/>
          <w:bCs/>
          <w:lang w:eastAsia="en-US"/>
        </w:rPr>
        <w:t>счетов бухгалтерского учета для отдельных субъектов финансового рынка Республики Казахстан</w:t>
      </w:r>
      <w:r w:rsidR="00523793">
        <w:t xml:space="preserve"> /</w:t>
      </w:r>
      <w:r w:rsidR="00D24DA6" w:rsidRPr="007123BC">
        <w:t>1</w:t>
      </w:r>
      <w:r w:rsidR="00523793">
        <w:t>/</w:t>
      </w:r>
      <w:r w:rsidRPr="007123BC">
        <w:t>.</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На практике страховой компании «</w:t>
      </w:r>
      <w:r w:rsidR="001A4C61" w:rsidRPr="007123BC">
        <w:rPr>
          <w:rFonts w:ascii="Times New Roman" w:hAnsi="Times New Roman" w:cs="Times New Roman"/>
          <w:sz w:val="24"/>
          <w:szCs w:val="24"/>
        </w:rPr>
        <w:t xml:space="preserve">ААА </w:t>
      </w:r>
      <w:proofErr w:type="spellStart"/>
      <w:r w:rsidRPr="007123BC">
        <w:rPr>
          <w:rFonts w:ascii="Times New Roman" w:hAnsi="Times New Roman" w:cs="Times New Roman"/>
          <w:sz w:val="24"/>
          <w:szCs w:val="24"/>
        </w:rPr>
        <w:t>Иншуранс</w:t>
      </w:r>
      <w:proofErr w:type="spellEnd"/>
      <w:r w:rsidRPr="007123BC">
        <w:rPr>
          <w:rFonts w:ascii="Times New Roman" w:hAnsi="Times New Roman" w:cs="Times New Roman"/>
          <w:sz w:val="24"/>
          <w:szCs w:val="24"/>
        </w:rPr>
        <w:t>» страховые операции подразделяют по форме проведения - добровольное и обязательное страхование. В учете операции перестрахования подразделяют на входящее и исходящее перестрахование.</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Организация и ведение страхового бизнеса сопровождаются соответствующими расходами, которые называют расходами на ведение дела. Эта группа расходов по удельному весу в общей сумме расходов страховой компании занимает одно из лидирующих мест.</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Расходы на ведение дела являются многоэлементными, </w:t>
      </w:r>
      <w:proofErr w:type="gramStart"/>
      <w:r w:rsidRPr="007123BC">
        <w:rPr>
          <w:rFonts w:ascii="Times New Roman" w:hAnsi="Times New Roman" w:cs="Times New Roman"/>
          <w:sz w:val="24"/>
          <w:szCs w:val="24"/>
        </w:rPr>
        <w:t>включающими</w:t>
      </w:r>
      <w:proofErr w:type="gramEnd"/>
      <w:r w:rsidRPr="007123BC">
        <w:rPr>
          <w:rFonts w:ascii="Times New Roman" w:hAnsi="Times New Roman" w:cs="Times New Roman"/>
          <w:sz w:val="24"/>
          <w:szCs w:val="24"/>
        </w:rPr>
        <w:t xml:space="preserve"> в том числе комплексные статьи:</w:t>
      </w:r>
    </w:p>
    <w:p w:rsidR="005E7635" w:rsidRPr="007123BC" w:rsidRDefault="005E7635" w:rsidP="005E7635">
      <w:pPr>
        <w:pStyle w:val="ConsNormal"/>
        <w:widowControl/>
        <w:numPr>
          <w:ilvl w:val="0"/>
          <w:numId w:val="3"/>
        </w:numPr>
        <w:tabs>
          <w:tab w:val="left" w:pos="993"/>
        </w:tabs>
        <w:ind w:left="0"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расходы по ведению страховой деятельности (расходы по заключению, ведению и исполнению договоров страхования, </w:t>
      </w:r>
      <w:proofErr w:type="spellStart"/>
      <w:r w:rsidRPr="007123BC">
        <w:rPr>
          <w:rFonts w:ascii="Times New Roman" w:hAnsi="Times New Roman" w:cs="Times New Roman"/>
          <w:sz w:val="24"/>
          <w:szCs w:val="24"/>
        </w:rPr>
        <w:t>сострахования</w:t>
      </w:r>
      <w:proofErr w:type="spellEnd"/>
      <w:r w:rsidRPr="007123BC">
        <w:rPr>
          <w:rFonts w:ascii="Times New Roman" w:hAnsi="Times New Roman" w:cs="Times New Roman"/>
          <w:sz w:val="24"/>
          <w:szCs w:val="24"/>
        </w:rPr>
        <w:t xml:space="preserve"> и перестрахования);</w:t>
      </w:r>
    </w:p>
    <w:p w:rsidR="005E7635" w:rsidRPr="007123BC" w:rsidRDefault="005E7635" w:rsidP="005E7635">
      <w:pPr>
        <w:pStyle w:val="ConsNormal"/>
        <w:widowControl/>
        <w:numPr>
          <w:ilvl w:val="0"/>
          <w:numId w:val="3"/>
        </w:numPr>
        <w:tabs>
          <w:tab w:val="left" w:pos="993"/>
        </w:tabs>
        <w:ind w:left="0" w:firstLine="709"/>
        <w:jc w:val="both"/>
        <w:rPr>
          <w:rFonts w:ascii="Times New Roman" w:hAnsi="Times New Roman" w:cs="Times New Roman"/>
          <w:sz w:val="24"/>
          <w:szCs w:val="24"/>
        </w:rPr>
      </w:pPr>
      <w:r w:rsidRPr="007123BC">
        <w:rPr>
          <w:rFonts w:ascii="Times New Roman" w:hAnsi="Times New Roman" w:cs="Times New Roman"/>
          <w:sz w:val="24"/>
          <w:szCs w:val="24"/>
        </w:rPr>
        <w:t>административно-управленческие и общехозяйственные расходы;</w:t>
      </w:r>
    </w:p>
    <w:p w:rsidR="005E7635" w:rsidRPr="007123BC" w:rsidRDefault="005E7635" w:rsidP="005E7635">
      <w:pPr>
        <w:pStyle w:val="ConsNormal"/>
        <w:widowControl/>
        <w:numPr>
          <w:ilvl w:val="0"/>
          <w:numId w:val="3"/>
        </w:numPr>
        <w:tabs>
          <w:tab w:val="left" w:pos="993"/>
        </w:tabs>
        <w:ind w:left="0" w:firstLine="709"/>
        <w:jc w:val="both"/>
        <w:rPr>
          <w:rFonts w:ascii="Times New Roman" w:hAnsi="Times New Roman" w:cs="Times New Roman"/>
          <w:sz w:val="24"/>
          <w:szCs w:val="24"/>
        </w:rPr>
      </w:pPr>
      <w:r w:rsidRPr="007123BC">
        <w:rPr>
          <w:rFonts w:ascii="Times New Roman" w:hAnsi="Times New Roman" w:cs="Times New Roman"/>
          <w:sz w:val="24"/>
          <w:szCs w:val="24"/>
        </w:rPr>
        <w:t>прочие расходы.</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Состав расходов на ведение дела в «</w:t>
      </w:r>
      <w:r w:rsidR="001A4C61" w:rsidRPr="007123BC">
        <w:rPr>
          <w:rFonts w:ascii="Times New Roman" w:hAnsi="Times New Roman" w:cs="Times New Roman"/>
          <w:sz w:val="24"/>
          <w:szCs w:val="24"/>
        </w:rPr>
        <w:t xml:space="preserve">ААА </w:t>
      </w:r>
      <w:proofErr w:type="spellStart"/>
      <w:r w:rsidRPr="007123BC">
        <w:rPr>
          <w:rFonts w:ascii="Times New Roman" w:hAnsi="Times New Roman" w:cs="Times New Roman"/>
          <w:sz w:val="24"/>
          <w:szCs w:val="24"/>
        </w:rPr>
        <w:t>И</w:t>
      </w:r>
      <w:r w:rsidR="00E477B5">
        <w:rPr>
          <w:rFonts w:ascii="Times New Roman" w:hAnsi="Times New Roman" w:cs="Times New Roman"/>
          <w:sz w:val="24"/>
          <w:szCs w:val="24"/>
        </w:rPr>
        <w:t>ншуранс</w:t>
      </w:r>
      <w:proofErr w:type="spellEnd"/>
      <w:r w:rsidR="00E477B5">
        <w:rPr>
          <w:rFonts w:ascii="Times New Roman" w:hAnsi="Times New Roman" w:cs="Times New Roman"/>
          <w:sz w:val="24"/>
          <w:szCs w:val="24"/>
        </w:rPr>
        <w:t>» представлен в таблице 1</w:t>
      </w:r>
      <w:r w:rsidRPr="007123BC">
        <w:rPr>
          <w:rFonts w:ascii="Times New Roman" w:hAnsi="Times New Roman" w:cs="Times New Roman"/>
          <w:sz w:val="24"/>
          <w:szCs w:val="24"/>
        </w:rPr>
        <w:t>.</w:t>
      </w:r>
    </w:p>
    <w:p w:rsidR="005E7635" w:rsidRPr="007123BC" w:rsidRDefault="005E7635" w:rsidP="005E7635">
      <w:pPr>
        <w:pStyle w:val="ConsNormal"/>
        <w:widowControl/>
        <w:ind w:firstLine="709"/>
        <w:jc w:val="both"/>
        <w:rPr>
          <w:rFonts w:ascii="Times New Roman" w:hAnsi="Times New Roman" w:cs="Times New Roman"/>
          <w:sz w:val="24"/>
          <w:szCs w:val="24"/>
        </w:rPr>
      </w:pPr>
    </w:p>
    <w:p w:rsidR="005E7635" w:rsidRPr="007123BC" w:rsidRDefault="00611122" w:rsidP="005E7635">
      <w:pPr>
        <w:pStyle w:val="ConsNormal"/>
        <w:widowControl/>
        <w:ind w:firstLine="0"/>
        <w:jc w:val="both"/>
        <w:rPr>
          <w:rFonts w:ascii="Times New Roman" w:hAnsi="Times New Roman" w:cs="Times New Roman"/>
          <w:sz w:val="24"/>
          <w:szCs w:val="24"/>
        </w:rPr>
      </w:pPr>
      <w:r w:rsidRPr="007123BC">
        <w:rPr>
          <w:rFonts w:ascii="Times New Roman" w:hAnsi="Times New Roman" w:cs="Times New Roman"/>
          <w:sz w:val="24"/>
          <w:szCs w:val="24"/>
        </w:rPr>
        <w:t>Таблица 1</w:t>
      </w:r>
      <w:r w:rsidR="005E7635" w:rsidRPr="007123BC">
        <w:rPr>
          <w:rFonts w:ascii="Times New Roman" w:hAnsi="Times New Roman" w:cs="Times New Roman"/>
          <w:sz w:val="24"/>
          <w:szCs w:val="24"/>
        </w:rPr>
        <w:t xml:space="preserve"> - Состав расходов на ведение дела </w:t>
      </w:r>
      <w:r w:rsidR="00523793">
        <w:rPr>
          <w:rFonts w:ascii="Times New Roman" w:hAnsi="Times New Roman" w:cs="Times New Roman"/>
          <w:sz w:val="24"/>
          <w:szCs w:val="24"/>
        </w:rPr>
        <w:t>/</w:t>
      </w:r>
      <w:r w:rsidR="00D24DA6" w:rsidRPr="007123BC">
        <w:rPr>
          <w:rFonts w:ascii="Times New Roman" w:hAnsi="Times New Roman" w:cs="Times New Roman"/>
          <w:sz w:val="24"/>
          <w:szCs w:val="24"/>
        </w:rPr>
        <w:t>2</w:t>
      </w:r>
      <w:r w:rsidR="00523793">
        <w:rPr>
          <w:rFonts w:ascii="Times New Roman" w:hAnsi="Times New Roman" w:cs="Times New Roman"/>
          <w:sz w:val="24"/>
          <w:szCs w:val="24"/>
        </w:rPr>
        <w:t>/</w:t>
      </w:r>
      <w:r w:rsidR="005E7635" w:rsidRPr="007123BC">
        <w:rPr>
          <w:rFonts w:ascii="Times New Roman" w:hAnsi="Times New Roman" w:cs="Times New Roman"/>
          <w:sz w:val="24"/>
          <w:szCs w:val="24"/>
        </w:rPr>
        <w:t>.</w:t>
      </w:r>
    </w:p>
    <w:tbl>
      <w:tblPr>
        <w:tblW w:w="5000" w:type="pct"/>
        <w:tblCellMar>
          <w:left w:w="70" w:type="dxa"/>
          <w:right w:w="70" w:type="dxa"/>
        </w:tblCellMar>
        <w:tblLook w:val="0000"/>
      </w:tblPr>
      <w:tblGrid>
        <w:gridCol w:w="3166"/>
        <w:gridCol w:w="3452"/>
        <w:gridCol w:w="2877"/>
      </w:tblGrid>
      <w:tr w:rsidR="005E7635" w:rsidRPr="007123BC" w:rsidTr="00B87C36">
        <w:trPr>
          <w:trHeight w:val="600"/>
        </w:trPr>
        <w:tc>
          <w:tcPr>
            <w:tcW w:w="1667"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Расходы по ведению страховых операций</w:t>
            </w:r>
          </w:p>
        </w:tc>
        <w:tc>
          <w:tcPr>
            <w:tcW w:w="1818"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 xml:space="preserve">Административно-   </w:t>
            </w:r>
            <w:r w:rsidRPr="007123BC">
              <w:rPr>
                <w:rFonts w:ascii="Times New Roman" w:hAnsi="Times New Roman" w:cs="Times New Roman"/>
              </w:rPr>
              <w:br/>
              <w:t>управленческие и общехозяйственные  расходы</w:t>
            </w:r>
          </w:p>
        </w:tc>
        <w:tc>
          <w:tcPr>
            <w:tcW w:w="1515"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Прочие расходы</w:t>
            </w:r>
          </w:p>
        </w:tc>
      </w:tr>
      <w:tr w:rsidR="005E7635" w:rsidRPr="007123BC" w:rsidTr="00B87C36">
        <w:trPr>
          <w:trHeight w:val="240"/>
        </w:trPr>
        <w:tc>
          <w:tcPr>
            <w:tcW w:w="1667"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1</w:t>
            </w:r>
          </w:p>
        </w:tc>
        <w:tc>
          <w:tcPr>
            <w:tcW w:w="1818"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2</w:t>
            </w:r>
          </w:p>
        </w:tc>
        <w:tc>
          <w:tcPr>
            <w:tcW w:w="1515"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3</w:t>
            </w:r>
          </w:p>
        </w:tc>
      </w:tr>
      <w:tr w:rsidR="005E7635" w:rsidRPr="007123BC" w:rsidTr="00B87C36">
        <w:trPr>
          <w:trHeight w:val="170"/>
        </w:trPr>
        <w:tc>
          <w:tcPr>
            <w:tcW w:w="1667" w:type="pct"/>
            <w:tcBorders>
              <w:top w:val="single" w:sz="6" w:space="0" w:color="auto"/>
              <w:left w:val="single" w:sz="6" w:space="0" w:color="auto"/>
              <w:bottom w:val="single" w:sz="6" w:space="0" w:color="auto"/>
              <w:right w:val="single" w:sz="6" w:space="0" w:color="auto"/>
            </w:tcBorders>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вознаграждения, уплаченные за оказание услуг страхового агента    (брокера); - вознаграждения по  </w:t>
            </w:r>
            <w:r w:rsidRPr="007123BC">
              <w:rPr>
                <w:rFonts w:ascii="Times New Roman" w:hAnsi="Times New Roman" w:cs="Times New Roman"/>
              </w:rPr>
              <w:br/>
              <w:t xml:space="preserve">договорам страхования,         </w:t>
            </w:r>
            <w:r w:rsidRPr="007123BC">
              <w:rPr>
                <w:rFonts w:ascii="Times New Roman" w:hAnsi="Times New Roman" w:cs="Times New Roman"/>
              </w:rPr>
              <w:br/>
            </w:r>
            <w:proofErr w:type="spellStart"/>
            <w:r w:rsidRPr="007123BC">
              <w:rPr>
                <w:rFonts w:ascii="Times New Roman" w:hAnsi="Times New Roman" w:cs="Times New Roman"/>
              </w:rPr>
              <w:t>сострахования</w:t>
            </w:r>
            <w:proofErr w:type="spellEnd"/>
            <w:r w:rsidRPr="007123BC">
              <w:rPr>
                <w:rFonts w:ascii="Times New Roman" w:hAnsi="Times New Roman" w:cs="Times New Roman"/>
              </w:rPr>
              <w:t xml:space="preserve">, перестрахования;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lastRenderedPageBreak/>
              <w:t xml:space="preserve">- расходы по оплате труда работников договорам страхования;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оплата услуг по изготовлению страховых            </w:t>
            </w:r>
            <w:r w:rsidRPr="007123BC">
              <w:rPr>
                <w:rFonts w:ascii="Times New Roman" w:hAnsi="Times New Roman" w:cs="Times New Roman"/>
              </w:rPr>
              <w:br/>
              <w:t>свидетельств            (полисов), квитанций, бланков строгой отчетности и иных подобных документов;</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оплата услуг организаций по выдаче справок, заключений, статистических данных и т.п.;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амортизационные отчисления и затраты на ремонт основных средств, используемых при осуществлении операций по договорам страхования;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другие расходы подразделений.           </w:t>
            </w:r>
          </w:p>
        </w:tc>
        <w:tc>
          <w:tcPr>
            <w:tcW w:w="1818" w:type="pct"/>
            <w:tcBorders>
              <w:top w:val="single" w:sz="6" w:space="0" w:color="auto"/>
              <w:left w:val="single" w:sz="6" w:space="0" w:color="auto"/>
              <w:bottom w:val="single" w:sz="6" w:space="0" w:color="auto"/>
              <w:right w:val="single" w:sz="6" w:space="0" w:color="auto"/>
            </w:tcBorders>
            <w:vAlign w:val="center"/>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lastRenderedPageBreak/>
              <w:t xml:space="preserve">- расходы по оплате    </w:t>
            </w:r>
            <w:r w:rsidRPr="007123BC">
              <w:rPr>
                <w:rFonts w:ascii="Times New Roman" w:hAnsi="Times New Roman" w:cs="Times New Roman"/>
              </w:rPr>
              <w:br/>
              <w:t xml:space="preserve">административно-управленческого         персонала; - амортизационные отчисления и расходы на ремонт основных средств управленческого и      </w:t>
            </w:r>
            <w:r w:rsidRPr="007123BC">
              <w:rPr>
                <w:rFonts w:ascii="Times New Roman" w:hAnsi="Times New Roman" w:cs="Times New Roman"/>
              </w:rPr>
              <w:br/>
            </w:r>
            <w:r w:rsidRPr="007123BC">
              <w:rPr>
                <w:rFonts w:ascii="Times New Roman" w:hAnsi="Times New Roman" w:cs="Times New Roman"/>
              </w:rPr>
              <w:lastRenderedPageBreak/>
              <w:t>общехозяйственного назначения;</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арендная плата за помещения              </w:t>
            </w:r>
            <w:r w:rsidRPr="007123BC">
              <w:rPr>
                <w:rFonts w:ascii="Times New Roman" w:hAnsi="Times New Roman" w:cs="Times New Roman"/>
              </w:rPr>
              <w:br/>
              <w:t xml:space="preserve">общехозяйственного назначения;            </w:t>
            </w:r>
            <w:r w:rsidRPr="007123BC">
              <w:rPr>
                <w:rFonts w:ascii="Times New Roman" w:hAnsi="Times New Roman" w:cs="Times New Roman"/>
              </w:rPr>
              <w:br/>
              <w:t>- коммунальные платежи;</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оплата      услуг    специалистов (экспертов, сюрвейеров, аварийных                 комиссаров, юристов, адвокатов и др.);</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оплата услуг актуариев;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расходы по оплате информационных аудиторских, консультационных услуг;</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расходы на публикацию бухгалтерской отчетности;</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оплата услуг банков и других кредитных учреждений;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оплата инкассаторских услуг;       - управленческие и общехозяйственные расходы, связанные с содержанием филиальной сети и других обособленных подразделений;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другие расходы, связанные с уставной деятельностью страховой организации.       </w:t>
            </w:r>
          </w:p>
        </w:tc>
        <w:tc>
          <w:tcPr>
            <w:tcW w:w="1515" w:type="pct"/>
            <w:tcBorders>
              <w:top w:val="single" w:sz="6" w:space="0" w:color="auto"/>
              <w:left w:val="single" w:sz="6" w:space="0" w:color="auto"/>
              <w:bottom w:val="single" w:sz="6" w:space="0" w:color="auto"/>
              <w:right w:val="single" w:sz="6" w:space="0" w:color="auto"/>
            </w:tcBorders>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lastRenderedPageBreak/>
              <w:t xml:space="preserve">- затраты по добровольному страхованию               своих работников и имущества;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представительские расходы;           </w:t>
            </w:r>
            <w:r w:rsidRPr="007123BC">
              <w:rPr>
                <w:rFonts w:ascii="Times New Roman" w:hAnsi="Times New Roman" w:cs="Times New Roman"/>
              </w:rPr>
              <w:br/>
              <w:t xml:space="preserve">- расходы на рекламу;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lastRenderedPageBreak/>
              <w:t xml:space="preserve">- расходы      по     набору, подготовке кадров, повышению квалификации персонала;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оплата услуг внешних организаций;</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 обязательные сборы, платежи,                   налоги, отчисления по                 </w:t>
            </w:r>
            <w:r w:rsidRPr="007123BC">
              <w:rPr>
                <w:rFonts w:ascii="Times New Roman" w:hAnsi="Times New Roman" w:cs="Times New Roman"/>
              </w:rPr>
              <w:br/>
              <w:t xml:space="preserve">законодательству;  </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другие расходы.</w:t>
            </w:r>
          </w:p>
        </w:tc>
      </w:tr>
    </w:tbl>
    <w:p w:rsidR="005E7635" w:rsidRPr="007123BC" w:rsidRDefault="005E7635" w:rsidP="005E7635">
      <w:pPr>
        <w:pStyle w:val="ConsNonformat"/>
        <w:widowControl/>
        <w:jc w:val="both"/>
        <w:rPr>
          <w:rFonts w:ascii="Times New Roman" w:hAnsi="Times New Roman" w:cs="Times New Roman"/>
          <w:sz w:val="24"/>
          <w:szCs w:val="24"/>
        </w:rPr>
      </w:pP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Для учета расходов на ведение дела используются активные счета </w:t>
      </w:r>
      <w:r w:rsidRPr="007123BC">
        <w:rPr>
          <w:rFonts w:ascii="Times New Roman" w:eastAsiaTheme="minorHAnsi" w:hAnsi="Times New Roman" w:cs="Times New Roman"/>
          <w:sz w:val="24"/>
          <w:szCs w:val="24"/>
          <w:lang w:eastAsia="en-US"/>
        </w:rPr>
        <w:t>7210 «Административные расходы»,</w:t>
      </w:r>
      <w:r w:rsidR="0049106D" w:rsidRPr="007123BC">
        <w:rPr>
          <w:rFonts w:ascii="Times New Roman" w:hAnsi="Times New Roman" w:cs="Times New Roman"/>
          <w:sz w:val="24"/>
          <w:szCs w:val="24"/>
        </w:rPr>
        <w:t xml:space="preserve"> 7470/</w:t>
      </w:r>
      <w:r w:rsidRPr="007123BC">
        <w:rPr>
          <w:rFonts w:ascii="Times New Roman" w:hAnsi="Times New Roman" w:cs="Times New Roman"/>
          <w:sz w:val="24"/>
          <w:szCs w:val="24"/>
        </w:rPr>
        <w:t>40 «Расходы, связанные со страховой (перестраховочной) деятельностью»</w:t>
      </w:r>
      <w:r w:rsidR="0049106D" w:rsidRPr="007123BC">
        <w:rPr>
          <w:rFonts w:ascii="Times New Roman" w:eastAsiaTheme="minorHAnsi" w:hAnsi="Times New Roman" w:cs="Times New Roman"/>
          <w:sz w:val="24"/>
          <w:szCs w:val="24"/>
          <w:lang w:eastAsia="en-US"/>
        </w:rPr>
        <w:t>, 1620/</w:t>
      </w:r>
      <w:r w:rsidRPr="007123BC">
        <w:rPr>
          <w:rFonts w:ascii="Times New Roman" w:eastAsiaTheme="minorHAnsi" w:hAnsi="Times New Roman" w:cs="Times New Roman"/>
          <w:sz w:val="24"/>
          <w:szCs w:val="24"/>
          <w:lang w:eastAsia="en-US"/>
        </w:rPr>
        <w:t>03 «Прочие расхо</w:t>
      </w:r>
      <w:r w:rsidR="0049106D" w:rsidRPr="007123BC">
        <w:rPr>
          <w:rFonts w:ascii="Times New Roman" w:eastAsiaTheme="minorHAnsi" w:hAnsi="Times New Roman" w:cs="Times New Roman"/>
          <w:sz w:val="24"/>
          <w:szCs w:val="24"/>
          <w:lang w:eastAsia="en-US"/>
        </w:rPr>
        <w:t>ды будущих периодов» и пассивный</w:t>
      </w:r>
      <w:r w:rsidRPr="007123BC">
        <w:rPr>
          <w:rFonts w:ascii="Times New Roman" w:eastAsiaTheme="minorHAnsi" w:hAnsi="Times New Roman" w:cs="Times New Roman"/>
          <w:sz w:val="24"/>
          <w:szCs w:val="24"/>
          <w:lang w:eastAsia="en-US"/>
        </w:rPr>
        <w:t xml:space="preserve"> счет </w:t>
      </w:r>
      <w:r w:rsidR="0049106D" w:rsidRPr="007123BC">
        <w:rPr>
          <w:rFonts w:ascii="Times New Roman" w:hAnsi="Times New Roman" w:cs="Times New Roman"/>
          <w:sz w:val="24"/>
          <w:szCs w:val="24"/>
        </w:rPr>
        <w:t>5460 </w:t>
      </w:r>
      <w:r w:rsidRPr="007123BC">
        <w:rPr>
          <w:rFonts w:ascii="Times New Roman" w:hAnsi="Times New Roman" w:cs="Times New Roman"/>
          <w:sz w:val="24"/>
          <w:szCs w:val="24"/>
        </w:rPr>
        <w:t>«Прочие резервы»</w:t>
      </w:r>
      <w:r w:rsidRPr="007123BC">
        <w:rPr>
          <w:rFonts w:ascii="Times New Roman" w:eastAsiaTheme="minorHAnsi" w:hAnsi="Times New Roman" w:cs="Times New Roman"/>
          <w:sz w:val="24"/>
          <w:szCs w:val="24"/>
          <w:lang w:eastAsia="en-US"/>
        </w:rPr>
        <w:t>.</w:t>
      </w:r>
    </w:p>
    <w:p w:rsidR="005E7635" w:rsidRPr="007123BC" w:rsidRDefault="00611122" w:rsidP="00611122">
      <w:pPr>
        <w:pStyle w:val="a3"/>
        <w:ind w:firstLine="708"/>
        <w:jc w:val="both"/>
        <w:rPr>
          <w:rFonts w:ascii="Times New Roman" w:eastAsiaTheme="minorHAnsi" w:hAnsi="Times New Roman" w:cs="Times New Roman"/>
          <w:sz w:val="24"/>
          <w:szCs w:val="24"/>
          <w:lang w:eastAsia="en-US"/>
        </w:rPr>
      </w:pPr>
      <w:r w:rsidRPr="007123BC">
        <w:rPr>
          <w:rFonts w:ascii="Times New Roman" w:eastAsiaTheme="minorHAnsi" w:hAnsi="Times New Roman" w:cs="Times New Roman"/>
          <w:sz w:val="24"/>
          <w:szCs w:val="24"/>
          <w:lang w:eastAsia="en-US"/>
        </w:rPr>
        <w:t xml:space="preserve">Счет </w:t>
      </w:r>
      <w:r w:rsidR="005E7635" w:rsidRPr="007123BC">
        <w:rPr>
          <w:rFonts w:ascii="Times New Roman" w:eastAsiaTheme="minorHAnsi" w:hAnsi="Times New Roman" w:cs="Times New Roman"/>
          <w:sz w:val="24"/>
          <w:szCs w:val="24"/>
          <w:lang w:eastAsia="en-US"/>
        </w:rPr>
        <w:t>7210 «Административные расходы» предназначен для учета сумм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w:t>
      </w:r>
      <w:r w:rsidR="005E7635" w:rsidRPr="007123BC">
        <w:rPr>
          <w:rFonts w:ascii="Times New Roman" w:hAnsi="Times New Roman" w:cs="Times New Roman"/>
          <w:sz w:val="24"/>
          <w:szCs w:val="24"/>
        </w:rPr>
        <w:t xml:space="preserve"> </w:t>
      </w:r>
      <w:r w:rsidRPr="007123BC">
        <w:rPr>
          <w:rFonts w:ascii="Times New Roman" w:hAnsi="Times New Roman" w:cs="Times New Roman"/>
          <w:sz w:val="24"/>
          <w:szCs w:val="24"/>
        </w:rPr>
        <w:t xml:space="preserve">Счет </w:t>
      </w:r>
      <w:r w:rsidR="0049106D" w:rsidRPr="007123BC">
        <w:rPr>
          <w:rFonts w:ascii="Times New Roman" w:hAnsi="Times New Roman" w:cs="Times New Roman"/>
          <w:sz w:val="24"/>
          <w:szCs w:val="24"/>
        </w:rPr>
        <w:t>7470/</w:t>
      </w:r>
      <w:r w:rsidR="005E7635" w:rsidRPr="007123BC">
        <w:rPr>
          <w:rFonts w:ascii="Times New Roman" w:hAnsi="Times New Roman" w:cs="Times New Roman"/>
          <w:sz w:val="24"/>
          <w:szCs w:val="24"/>
        </w:rPr>
        <w:t>40 «Расходы, связанные со страховой (перестраховочной) деятельностью» предназначен для</w:t>
      </w:r>
      <w:r w:rsidR="005E7635" w:rsidRPr="007123BC">
        <w:rPr>
          <w:rFonts w:ascii="Times New Roman" w:eastAsiaTheme="minorHAnsi" w:hAnsi="Times New Roman" w:cs="Times New Roman"/>
          <w:sz w:val="24"/>
          <w:szCs w:val="24"/>
          <w:lang w:eastAsia="en-US"/>
        </w:rPr>
        <w:t xml:space="preserve"> учета сумм расходов страховой организации в виде страховых выплат при наступлении страхового случая по договору страхования.</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Также для учета расходов в страховой компании используются отдельно открытые счета:</w:t>
      </w:r>
    </w:p>
    <w:p w:rsidR="005E7635" w:rsidRPr="007123BC" w:rsidRDefault="005E7635"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49106D" w:rsidRPr="007123BC">
        <w:rPr>
          <w:rFonts w:ascii="Times New Roman" w:eastAsiaTheme="minorHAnsi" w:hAnsi="Times New Roman" w:cs="Times New Roman"/>
          <w:sz w:val="24"/>
          <w:szCs w:val="24"/>
          <w:lang w:eastAsia="en-US"/>
        </w:rPr>
        <w:t>/</w:t>
      </w:r>
      <w:r w:rsidRPr="007123BC">
        <w:rPr>
          <w:rFonts w:ascii="Times New Roman" w:eastAsiaTheme="minorHAnsi" w:hAnsi="Times New Roman" w:cs="Times New Roman"/>
          <w:sz w:val="24"/>
          <w:szCs w:val="24"/>
          <w:lang w:eastAsia="en-US"/>
        </w:rPr>
        <w:t>42 «Расходы по осуществлению страховых выплат по</w:t>
      </w:r>
      <w:r w:rsidRPr="007123BC">
        <w:rPr>
          <w:rFonts w:ascii="Times New Roman" w:hAnsi="Times New Roman" w:cs="Times New Roman"/>
          <w:sz w:val="24"/>
          <w:szCs w:val="24"/>
        </w:rPr>
        <w:t xml:space="preserve"> </w:t>
      </w:r>
      <w:r w:rsidRPr="007123BC">
        <w:rPr>
          <w:rFonts w:ascii="Times New Roman" w:eastAsiaTheme="minorHAnsi" w:hAnsi="Times New Roman" w:cs="Times New Roman"/>
          <w:sz w:val="24"/>
          <w:szCs w:val="24"/>
          <w:lang w:eastAsia="en-US"/>
        </w:rPr>
        <w:t>перестрахованию»;</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43 «Расходы по урегулированию претензий»;</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44 «Расходы по возмещению перестраховщику по регрессному требованию»;</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45 «Расходы по оплате комиссионного вознаграждения по перестрахованию»;</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46 «Расходы по уплате обязательных взносов в фонд гарантирования страховых выплат»;</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47 «Расходы по уплате чрезвычайных взносов в фонд гарантирования страховых выплат»;</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48 «Расходы по оплате услуг страховых брокеров»;</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49 «Расходы по оплате услуг актуариев»;</w:t>
      </w:r>
    </w:p>
    <w:p w:rsidR="005E7635" w:rsidRPr="007123BC" w:rsidRDefault="0049106D" w:rsidP="005E7635">
      <w:pPr>
        <w:pStyle w:val="ConsNormal"/>
        <w:widowControl/>
        <w:numPr>
          <w:ilvl w:val="0"/>
          <w:numId w:val="4"/>
        </w:numPr>
        <w:tabs>
          <w:tab w:val="left" w:pos="993"/>
        </w:tabs>
        <w:ind w:left="0" w:firstLine="709"/>
        <w:jc w:val="both"/>
        <w:rPr>
          <w:rFonts w:ascii="Times New Roman" w:hAnsi="Times New Roman" w:cs="Times New Roman"/>
          <w:sz w:val="24"/>
          <w:szCs w:val="24"/>
        </w:rPr>
      </w:pPr>
      <w:r w:rsidRPr="007123BC">
        <w:rPr>
          <w:rFonts w:ascii="Times New Roman" w:eastAsiaTheme="minorHAnsi" w:hAnsi="Times New Roman" w:cs="Times New Roman"/>
          <w:sz w:val="24"/>
          <w:szCs w:val="24"/>
          <w:lang w:eastAsia="en-US"/>
        </w:rPr>
        <w:t>7470/</w:t>
      </w:r>
      <w:r w:rsidR="005E7635" w:rsidRPr="007123BC">
        <w:rPr>
          <w:rFonts w:ascii="Times New Roman" w:eastAsiaTheme="minorHAnsi" w:hAnsi="Times New Roman" w:cs="Times New Roman"/>
          <w:sz w:val="24"/>
          <w:szCs w:val="24"/>
          <w:lang w:eastAsia="en-US"/>
        </w:rPr>
        <w:t>50 «Прочие расходы»;</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Административно-управленческие, общехозяйственные и прочие расходы обычно определяются на основе предварительно составленной общей сметы. В целях контроля данных расходов по статьям общей сметы могут быть предусмотрены отдельные аналитические счета к счету </w:t>
      </w:r>
      <w:r w:rsidRPr="007123BC">
        <w:rPr>
          <w:rFonts w:ascii="Times New Roman" w:eastAsiaTheme="minorHAnsi" w:hAnsi="Times New Roman" w:cs="Times New Roman"/>
          <w:sz w:val="24"/>
          <w:szCs w:val="24"/>
          <w:lang w:eastAsia="en-US"/>
        </w:rPr>
        <w:t>7210 «Административные расходы»</w:t>
      </w:r>
      <w:r w:rsidRPr="007123BC">
        <w:rPr>
          <w:rFonts w:ascii="Times New Roman" w:hAnsi="Times New Roman" w:cs="Times New Roman"/>
          <w:sz w:val="24"/>
          <w:szCs w:val="24"/>
        </w:rPr>
        <w:t xml:space="preserve"> для отражения фактических расходов по каждой сметной статье.</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lastRenderedPageBreak/>
        <w:t>Административно-управленческие, общехозяйственные и прочие расходы относят к косвенным расходам и расчетным способом распределяют на конкретные виды страхования и договоры страхования. В этом случае косвенные расходы сначала собираются на отдельном субсчете к счету 7210, а затем производится их распределение. В качестве базового показателя распределения косвенных расходов могут использоваться прямые затраты, суммы собранных страховых брутто-премий и др. Способ распределения косвенных расходов должен быть закреплен в учетной политике организации.</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При этом административно-управленческие, общехозяйственные расходы и прочие расходы, не отнесенные к соответствующим видам страхования, отражаемым по счету 7210, без распределения и в общей сумме показываются в соответствующей строке Отчета о прибылях и убытках (форма N 2-страховщик).</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В конце отчетного периода сумма фактических расходов на ведение дела относится на финансовый результат, что отражается по кредиту счета </w:t>
      </w:r>
      <w:r w:rsidRPr="007123BC">
        <w:rPr>
          <w:rFonts w:ascii="Times New Roman" w:eastAsiaTheme="minorHAnsi" w:hAnsi="Times New Roman" w:cs="Times New Roman"/>
          <w:sz w:val="24"/>
          <w:szCs w:val="24"/>
          <w:lang w:eastAsia="en-US"/>
        </w:rPr>
        <w:t>7210 «Административные расходы»</w:t>
      </w:r>
      <w:r w:rsidRPr="007123BC">
        <w:rPr>
          <w:rFonts w:ascii="Times New Roman" w:hAnsi="Times New Roman" w:cs="Times New Roman"/>
          <w:sz w:val="24"/>
          <w:szCs w:val="24"/>
        </w:rPr>
        <w:t xml:space="preserve"> в корреспонденции с дебетом счета 5610 «Итоговая прибыль (итоговый убыток)».</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Расходы, произведенные в отчетном периоде (месяце), но относящиеся к другим отчетным периодам, учитываются на счете </w:t>
      </w:r>
      <w:r w:rsidR="00A342FB" w:rsidRPr="007123BC">
        <w:rPr>
          <w:rFonts w:ascii="Times New Roman" w:eastAsiaTheme="minorHAnsi" w:hAnsi="Times New Roman" w:cs="Times New Roman"/>
          <w:sz w:val="24"/>
          <w:szCs w:val="24"/>
          <w:lang w:eastAsia="en-US"/>
        </w:rPr>
        <w:t>1620/</w:t>
      </w:r>
      <w:r w:rsidRPr="007123BC">
        <w:rPr>
          <w:rFonts w:ascii="Times New Roman" w:eastAsiaTheme="minorHAnsi" w:hAnsi="Times New Roman" w:cs="Times New Roman"/>
          <w:sz w:val="24"/>
          <w:szCs w:val="24"/>
          <w:lang w:eastAsia="en-US"/>
        </w:rPr>
        <w:t>03 «Прочие расходы будущих периодов»</w:t>
      </w:r>
      <w:r w:rsidRPr="007123BC">
        <w:rPr>
          <w:rFonts w:ascii="Times New Roman" w:hAnsi="Times New Roman" w:cs="Times New Roman"/>
          <w:sz w:val="24"/>
          <w:szCs w:val="24"/>
        </w:rPr>
        <w:t>. На данном счете отражаются расходы по неравномерно производимому в течение года ремонту основных средств, расходы по рекламе, платежи за полученные лицензии на право деятельности, разовые платежи по лицензионным договорам за полученное право пользования нематериальными активами, расходы на приобретение пакетов прикладных программ для персональных компьютеров и др.</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Учтенные на счете </w:t>
      </w:r>
      <w:r w:rsidR="00A342FB" w:rsidRPr="007123BC">
        <w:rPr>
          <w:rFonts w:ascii="Times New Roman" w:eastAsiaTheme="minorHAnsi" w:hAnsi="Times New Roman" w:cs="Times New Roman"/>
          <w:sz w:val="24"/>
          <w:szCs w:val="24"/>
          <w:lang w:eastAsia="en-US"/>
        </w:rPr>
        <w:t>1620/</w:t>
      </w:r>
      <w:r w:rsidRPr="007123BC">
        <w:rPr>
          <w:rFonts w:ascii="Times New Roman" w:eastAsiaTheme="minorHAnsi" w:hAnsi="Times New Roman" w:cs="Times New Roman"/>
          <w:sz w:val="24"/>
          <w:szCs w:val="24"/>
          <w:lang w:eastAsia="en-US"/>
        </w:rPr>
        <w:t>03 «Прочие расходы будущих периодов»</w:t>
      </w:r>
      <w:r w:rsidRPr="007123BC">
        <w:rPr>
          <w:rFonts w:ascii="Times New Roman" w:hAnsi="Times New Roman" w:cs="Times New Roman"/>
          <w:sz w:val="24"/>
          <w:szCs w:val="24"/>
        </w:rPr>
        <w:t xml:space="preserve"> расходы списываются в дебет счета </w:t>
      </w:r>
      <w:r w:rsidRPr="007123BC">
        <w:rPr>
          <w:rFonts w:ascii="Times New Roman" w:eastAsiaTheme="minorHAnsi" w:hAnsi="Times New Roman" w:cs="Times New Roman"/>
          <w:sz w:val="24"/>
          <w:szCs w:val="24"/>
          <w:lang w:eastAsia="en-US"/>
        </w:rPr>
        <w:t>7210 «Административные расходы»</w:t>
      </w:r>
      <w:r w:rsidRPr="007123BC">
        <w:rPr>
          <w:rFonts w:ascii="Times New Roman" w:hAnsi="Times New Roman" w:cs="Times New Roman"/>
          <w:sz w:val="24"/>
          <w:szCs w:val="24"/>
        </w:rPr>
        <w:t xml:space="preserve"> в доле, относящейся к отчетному периоду (месяцу).</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 xml:space="preserve">Аналитический учет по счету </w:t>
      </w:r>
      <w:r w:rsidRPr="007123BC">
        <w:rPr>
          <w:rFonts w:ascii="Times New Roman" w:eastAsiaTheme="minorHAnsi" w:hAnsi="Times New Roman" w:cs="Times New Roman"/>
          <w:sz w:val="24"/>
          <w:szCs w:val="24"/>
          <w:lang w:eastAsia="en-US"/>
        </w:rPr>
        <w:t>7210 «Административные расходы»</w:t>
      </w:r>
      <w:r w:rsidRPr="007123BC">
        <w:rPr>
          <w:rFonts w:ascii="Times New Roman" w:hAnsi="Times New Roman" w:cs="Times New Roman"/>
          <w:sz w:val="24"/>
          <w:szCs w:val="24"/>
        </w:rPr>
        <w:t xml:space="preserve"> ведется по видам расходов. </w:t>
      </w:r>
      <w:proofErr w:type="gramStart"/>
      <w:r w:rsidRPr="007123BC">
        <w:rPr>
          <w:rFonts w:ascii="Times New Roman" w:hAnsi="Times New Roman" w:cs="Times New Roman"/>
          <w:sz w:val="24"/>
          <w:szCs w:val="24"/>
        </w:rPr>
        <w:t>В целях равномерного включения предстоящих расходов в расходы на ведение дела отчетного периода страховая компания создает резервы на предстоящую оплату отпусков работников; выплату ежегодного вознаграждения за выслугу лет; выплату вознаграждений по итогам за год; на ремонт основных средств; на гарантийный ремонт и гарантийное обслуживание технических средств и покрытие иных непредвиденных затрат, предусмотренных нормативными актами.</w:t>
      </w:r>
      <w:proofErr w:type="gramEnd"/>
    </w:p>
    <w:p w:rsidR="005E7635" w:rsidRPr="007123BC" w:rsidRDefault="005E7635" w:rsidP="00611122">
      <w:pPr>
        <w:pStyle w:val="a3"/>
        <w:ind w:firstLine="708"/>
        <w:jc w:val="both"/>
        <w:rPr>
          <w:rFonts w:ascii="Times New Roman" w:eastAsiaTheme="minorHAnsi" w:hAnsi="Times New Roman" w:cs="Times New Roman"/>
          <w:sz w:val="24"/>
          <w:szCs w:val="24"/>
          <w:lang w:eastAsia="en-US"/>
        </w:rPr>
      </w:pPr>
      <w:r w:rsidRPr="007123BC">
        <w:rPr>
          <w:rFonts w:ascii="Times New Roman" w:hAnsi="Times New Roman" w:cs="Times New Roman"/>
          <w:sz w:val="24"/>
          <w:szCs w:val="24"/>
        </w:rPr>
        <w:t>Резервирование тех или иных сумм отражается по кредиту счета 7440 «</w:t>
      </w:r>
      <w:r w:rsidRPr="007123BC">
        <w:rPr>
          <w:rFonts w:ascii="Times New Roman" w:eastAsiaTheme="minorHAnsi" w:hAnsi="Times New Roman" w:cs="Times New Roman"/>
          <w:sz w:val="24"/>
          <w:szCs w:val="24"/>
          <w:lang w:eastAsia="en-US"/>
        </w:rPr>
        <w:t>Расходы по созданию резерва и списанию безнадежных требований</w:t>
      </w:r>
      <w:r w:rsidRPr="007123BC">
        <w:rPr>
          <w:rFonts w:ascii="Times New Roman" w:hAnsi="Times New Roman" w:cs="Times New Roman"/>
          <w:sz w:val="24"/>
          <w:szCs w:val="24"/>
        </w:rPr>
        <w:t>» в корреспонденции со счетами учета затрат и расчетов. Фактические расходы, на которые был ранее образован резерв, относятся в дебет счета 7440 в корреспонденции с соответствующими счетами учета затрат и расчетов.</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Правильность образования и использования сумм по тому или иному резерву периодически (а в конце года обязательно) проверяется по данным смет, расчетов и т.п. и при необходимости корректируется.</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Основанием для осуществления бухгалтерских записей по учету расходов на ведение дела страховых операций в страховой компании «</w:t>
      </w:r>
      <w:r w:rsidR="001A4C61" w:rsidRPr="007123BC">
        <w:rPr>
          <w:rFonts w:ascii="Times New Roman" w:hAnsi="Times New Roman" w:cs="Times New Roman"/>
          <w:sz w:val="24"/>
          <w:szCs w:val="24"/>
        </w:rPr>
        <w:t xml:space="preserve">ААА </w:t>
      </w:r>
      <w:proofErr w:type="spellStart"/>
      <w:r w:rsidRPr="007123BC">
        <w:rPr>
          <w:rFonts w:ascii="Times New Roman" w:hAnsi="Times New Roman" w:cs="Times New Roman"/>
          <w:sz w:val="24"/>
          <w:szCs w:val="24"/>
        </w:rPr>
        <w:t>Иншуранс</w:t>
      </w:r>
      <w:proofErr w:type="spellEnd"/>
      <w:r w:rsidRPr="007123BC">
        <w:rPr>
          <w:rFonts w:ascii="Times New Roman" w:hAnsi="Times New Roman" w:cs="Times New Roman"/>
          <w:sz w:val="24"/>
          <w:szCs w:val="24"/>
        </w:rPr>
        <w:t>» являются следующие документы:</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счета;</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платежное поручение, кассовый чек;</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выписка банка;</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расходный кассовый ордер;</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агентский договор (договор поручения);</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отчет страхового агента (страхового брокера);</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бухгалтерская справка-расчет;</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акты выполненных работ;</w:t>
      </w:r>
    </w:p>
    <w:p w:rsidR="005E7635" w:rsidRPr="007123BC" w:rsidRDefault="005E7635" w:rsidP="005E7635">
      <w:pPr>
        <w:pStyle w:val="ConsNormal"/>
        <w:widowControl/>
        <w:numPr>
          <w:ilvl w:val="0"/>
          <w:numId w:val="5"/>
        </w:numPr>
        <w:tabs>
          <w:tab w:val="left" w:pos="993"/>
        </w:tabs>
        <w:ind w:hanging="11"/>
        <w:jc w:val="both"/>
        <w:rPr>
          <w:rFonts w:ascii="Times New Roman" w:hAnsi="Times New Roman" w:cs="Times New Roman"/>
          <w:sz w:val="24"/>
          <w:szCs w:val="24"/>
        </w:rPr>
      </w:pPr>
      <w:proofErr w:type="spellStart"/>
      <w:r w:rsidRPr="007123BC">
        <w:rPr>
          <w:rFonts w:ascii="Times New Roman" w:hAnsi="Times New Roman" w:cs="Times New Roman"/>
          <w:sz w:val="24"/>
          <w:szCs w:val="24"/>
        </w:rPr>
        <w:t>лимитно-заборные</w:t>
      </w:r>
      <w:proofErr w:type="spellEnd"/>
      <w:r w:rsidRPr="007123BC">
        <w:rPr>
          <w:rFonts w:ascii="Times New Roman" w:hAnsi="Times New Roman" w:cs="Times New Roman"/>
          <w:sz w:val="24"/>
          <w:szCs w:val="24"/>
        </w:rPr>
        <w:t xml:space="preserve"> карты, требования;</w:t>
      </w:r>
    </w:p>
    <w:p w:rsidR="005E7635" w:rsidRPr="007123BC" w:rsidRDefault="005E7635" w:rsidP="005E7635">
      <w:pPr>
        <w:pStyle w:val="ConsNormal"/>
        <w:widowControl/>
        <w:numPr>
          <w:ilvl w:val="0"/>
          <w:numId w:val="5"/>
        </w:numPr>
        <w:tabs>
          <w:tab w:val="left" w:pos="993"/>
          <w:tab w:val="left" w:pos="1134"/>
        </w:tabs>
        <w:ind w:hanging="11"/>
        <w:jc w:val="both"/>
        <w:rPr>
          <w:rFonts w:ascii="Times New Roman" w:hAnsi="Times New Roman" w:cs="Times New Roman"/>
          <w:sz w:val="24"/>
          <w:szCs w:val="24"/>
        </w:rPr>
      </w:pPr>
      <w:r w:rsidRPr="007123BC">
        <w:rPr>
          <w:rFonts w:ascii="Times New Roman" w:hAnsi="Times New Roman" w:cs="Times New Roman"/>
          <w:sz w:val="24"/>
          <w:szCs w:val="24"/>
        </w:rPr>
        <w:lastRenderedPageBreak/>
        <w:t>авансовый отчет;</w:t>
      </w:r>
    </w:p>
    <w:p w:rsidR="005E7635" w:rsidRPr="007123BC" w:rsidRDefault="005E7635" w:rsidP="005E7635">
      <w:pPr>
        <w:pStyle w:val="ConsNormal"/>
        <w:widowControl/>
        <w:numPr>
          <w:ilvl w:val="0"/>
          <w:numId w:val="5"/>
        </w:numPr>
        <w:tabs>
          <w:tab w:val="left" w:pos="993"/>
          <w:tab w:val="left" w:pos="1134"/>
        </w:tabs>
        <w:ind w:hanging="11"/>
        <w:jc w:val="both"/>
        <w:rPr>
          <w:rFonts w:ascii="Times New Roman" w:hAnsi="Times New Roman" w:cs="Times New Roman"/>
          <w:sz w:val="24"/>
          <w:szCs w:val="24"/>
        </w:rPr>
      </w:pPr>
      <w:r w:rsidRPr="007123BC">
        <w:rPr>
          <w:rFonts w:ascii="Times New Roman" w:hAnsi="Times New Roman" w:cs="Times New Roman"/>
          <w:sz w:val="24"/>
          <w:szCs w:val="24"/>
        </w:rPr>
        <w:t>приказ руководителя.</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В табл</w:t>
      </w:r>
      <w:r w:rsidR="00611122" w:rsidRPr="007123BC">
        <w:rPr>
          <w:rFonts w:ascii="Times New Roman" w:hAnsi="Times New Roman" w:cs="Times New Roman"/>
          <w:sz w:val="24"/>
          <w:szCs w:val="24"/>
        </w:rPr>
        <w:t>ице 2</w:t>
      </w:r>
      <w:r w:rsidRPr="007123BC">
        <w:rPr>
          <w:rFonts w:ascii="Times New Roman" w:hAnsi="Times New Roman" w:cs="Times New Roman"/>
          <w:sz w:val="24"/>
          <w:szCs w:val="24"/>
        </w:rPr>
        <w:t xml:space="preserve"> приведен пример корреспонденции счетов учета расходов на ведение дела по страховым операциям в страховой компании «</w:t>
      </w:r>
      <w:r w:rsidR="001A4C61" w:rsidRPr="007123BC">
        <w:rPr>
          <w:rFonts w:ascii="Times New Roman" w:hAnsi="Times New Roman" w:cs="Times New Roman"/>
          <w:sz w:val="24"/>
          <w:szCs w:val="24"/>
        </w:rPr>
        <w:t xml:space="preserve">ААА </w:t>
      </w:r>
      <w:proofErr w:type="spellStart"/>
      <w:r w:rsidRPr="007123BC">
        <w:rPr>
          <w:rFonts w:ascii="Times New Roman" w:hAnsi="Times New Roman" w:cs="Times New Roman"/>
          <w:sz w:val="24"/>
          <w:szCs w:val="24"/>
        </w:rPr>
        <w:t>Иншуранс</w:t>
      </w:r>
      <w:proofErr w:type="spellEnd"/>
      <w:r w:rsidRPr="007123BC">
        <w:rPr>
          <w:rFonts w:ascii="Times New Roman" w:hAnsi="Times New Roman" w:cs="Times New Roman"/>
          <w:sz w:val="24"/>
          <w:szCs w:val="24"/>
        </w:rPr>
        <w:t>», которые подтверждают соответствующие операции.</w:t>
      </w:r>
    </w:p>
    <w:p w:rsidR="00D24DA6" w:rsidRPr="007123BC" w:rsidRDefault="00D24DA6" w:rsidP="005E7635">
      <w:pPr>
        <w:pStyle w:val="ConsNormal"/>
        <w:widowControl/>
        <w:ind w:firstLine="0"/>
        <w:jc w:val="both"/>
        <w:rPr>
          <w:rFonts w:ascii="Times New Roman" w:hAnsi="Times New Roman" w:cs="Times New Roman"/>
          <w:sz w:val="24"/>
          <w:szCs w:val="24"/>
        </w:rPr>
      </w:pPr>
    </w:p>
    <w:p w:rsidR="005E7635" w:rsidRPr="007123BC" w:rsidRDefault="00611122" w:rsidP="005E7635">
      <w:pPr>
        <w:pStyle w:val="ConsNormal"/>
        <w:widowControl/>
        <w:ind w:firstLine="0"/>
        <w:jc w:val="both"/>
        <w:rPr>
          <w:rFonts w:ascii="Times New Roman" w:hAnsi="Times New Roman" w:cs="Times New Roman"/>
          <w:sz w:val="24"/>
          <w:szCs w:val="24"/>
        </w:rPr>
      </w:pPr>
      <w:r w:rsidRPr="007123BC">
        <w:rPr>
          <w:rFonts w:ascii="Times New Roman" w:hAnsi="Times New Roman" w:cs="Times New Roman"/>
          <w:sz w:val="24"/>
          <w:szCs w:val="24"/>
        </w:rPr>
        <w:t>Таблица 2</w:t>
      </w:r>
      <w:r w:rsidR="005E7635" w:rsidRPr="007123BC">
        <w:rPr>
          <w:rFonts w:ascii="Times New Roman" w:hAnsi="Times New Roman" w:cs="Times New Roman"/>
          <w:sz w:val="24"/>
          <w:szCs w:val="24"/>
        </w:rPr>
        <w:t xml:space="preserve"> - Учета расходов на ведение дела</w:t>
      </w:r>
    </w:p>
    <w:tbl>
      <w:tblPr>
        <w:tblStyle w:val="a6"/>
        <w:tblW w:w="5000" w:type="pct"/>
        <w:tblLook w:val="0000"/>
      </w:tblPr>
      <w:tblGrid>
        <w:gridCol w:w="4111"/>
        <w:gridCol w:w="2730"/>
        <w:gridCol w:w="2730"/>
      </w:tblGrid>
      <w:tr w:rsidR="005E7635" w:rsidRPr="007123BC" w:rsidTr="00B87C36">
        <w:trPr>
          <w:trHeight w:val="360"/>
        </w:trPr>
        <w:tc>
          <w:tcPr>
            <w:tcW w:w="2148" w:type="pct"/>
            <w:vMerge w:val="restart"/>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Содержание операций</w:t>
            </w:r>
          </w:p>
        </w:tc>
        <w:tc>
          <w:tcPr>
            <w:tcW w:w="2852" w:type="pct"/>
            <w:gridSpan w:val="2"/>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Корреспонденция счетов</w:t>
            </w:r>
          </w:p>
        </w:tc>
      </w:tr>
      <w:tr w:rsidR="005E7635" w:rsidRPr="007123BC" w:rsidTr="00B87C36">
        <w:trPr>
          <w:trHeight w:val="240"/>
        </w:trPr>
        <w:tc>
          <w:tcPr>
            <w:tcW w:w="2148" w:type="pct"/>
            <w:vMerge/>
            <w:vAlign w:val="center"/>
          </w:tcPr>
          <w:p w:rsidR="005E7635" w:rsidRPr="007123BC" w:rsidRDefault="005E7635" w:rsidP="00B87C36">
            <w:pPr>
              <w:pStyle w:val="ConsCell"/>
              <w:widowControl/>
              <w:ind w:firstLine="709"/>
              <w:jc w:val="center"/>
              <w:rPr>
                <w:rFonts w:ascii="Times New Roman" w:hAnsi="Times New Roman" w:cs="Times New Roman"/>
              </w:rPr>
            </w:pPr>
          </w:p>
        </w:tc>
        <w:tc>
          <w:tcPr>
            <w:tcW w:w="1426" w:type="pct"/>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Дт</w:t>
            </w:r>
          </w:p>
        </w:tc>
        <w:tc>
          <w:tcPr>
            <w:tcW w:w="1426" w:type="pct"/>
            <w:vAlign w:val="center"/>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Кт</w:t>
            </w:r>
          </w:p>
        </w:tc>
      </w:tr>
      <w:tr w:rsidR="005E7635" w:rsidRPr="007123BC" w:rsidTr="00B87C36">
        <w:trPr>
          <w:trHeight w:val="240"/>
        </w:trPr>
        <w:tc>
          <w:tcPr>
            <w:tcW w:w="2148" w:type="pct"/>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1</w:t>
            </w:r>
          </w:p>
        </w:tc>
        <w:tc>
          <w:tcPr>
            <w:tcW w:w="1426" w:type="pct"/>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2</w:t>
            </w:r>
          </w:p>
        </w:tc>
        <w:tc>
          <w:tcPr>
            <w:tcW w:w="1426" w:type="pct"/>
          </w:tcPr>
          <w:p w:rsidR="005E7635" w:rsidRPr="007123BC" w:rsidRDefault="005E7635" w:rsidP="00B87C36">
            <w:pPr>
              <w:pStyle w:val="ConsCell"/>
              <w:widowControl/>
              <w:jc w:val="center"/>
              <w:rPr>
                <w:rFonts w:ascii="Times New Roman" w:hAnsi="Times New Roman" w:cs="Times New Roman"/>
              </w:rPr>
            </w:pPr>
            <w:r w:rsidRPr="007123BC">
              <w:rPr>
                <w:rFonts w:ascii="Times New Roman" w:hAnsi="Times New Roman" w:cs="Times New Roman"/>
              </w:rPr>
              <w:t>3</w:t>
            </w:r>
          </w:p>
        </w:tc>
      </w:tr>
      <w:tr w:rsidR="005E7635" w:rsidRPr="007123BC" w:rsidTr="002D1791">
        <w:trPr>
          <w:trHeight w:val="1420"/>
        </w:trPr>
        <w:tc>
          <w:tcPr>
            <w:tcW w:w="2148" w:type="pct"/>
            <w:tcBorders>
              <w:bottom w:val="single" w:sz="4" w:space="0" w:color="auto"/>
            </w:tcBorders>
          </w:tcPr>
          <w:p w:rsidR="005E7635" w:rsidRPr="007123BC" w:rsidRDefault="005E7635" w:rsidP="00B87C36">
            <w:pPr>
              <w:pStyle w:val="ConsCell"/>
              <w:jc w:val="both"/>
              <w:rPr>
                <w:rFonts w:ascii="Times New Roman" w:hAnsi="Times New Roman" w:cs="Times New Roman"/>
              </w:rPr>
            </w:pPr>
            <w:r w:rsidRPr="007123BC">
              <w:rPr>
                <w:rFonts w:ascii="Times New Roman" w:hAnsi="Times New Roman" w:cs="Times New Roman"/>
              </w:rPr>
              <w:t>При осуществлении страховой организацией страхователю (</w:t>
            </w:r>
            <w:proofErr w:type="spellStart"/>
            <w:r w:rsidRPr="007123BC">
              <w:rPr>
                <w:rFonts w:ascii="Times New Roman" w:hAnsi="Times New Roman" w:cs="Times New Roman"/>
              </w:rPr>
              <w:t>выгодоприобретателю</w:t>
            </w:r>
            <w:proofErr w:type="spellEnd"/>
            <w:r w:rsidRPr="007123BC">
              <w:rPr>
                <w:rFonts w:ascii="Times New Roman" w:hAnsi="Times New Roman" w:cs="Times New Roman"/>
              </w:rPr>
              <w:t>) страховой выплаты, уменьшенной на сумму его задолженности по уплате страховой премии, осуществляются следующие бухгалтерские записи:</w:t>
            </w:r>
          </w:p>
        </w:tc>
        <w:tc>
          <w:tcPr>
            <w:tcW w:w="1426" w:type="pct"/>
            <w:tcBorders>
              <w:bottom w:val="single" w:sz="4" w:space="0" w:color="auto"/>
            </w:tcBorders>
          </w:tcPr>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tc>
        <w:tc>
          <w:tcPr>
            <w:tcW w:w="1426" w:type="pct"/>
            <w:tcBorders>
              <w:bottom w:val="single" w:sz="4" w:space="0" w:color="auto"/>
            </w:tcBorders>
          </w:tcPr>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ind w:firstLine="709"/>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tc>
      </w:tr>
      <w:tr w:rsidR="002D1791" w:rsidRPr="007123BC" w:rsidTr="002D1791">
        <w:trPr>
          <w:trHeight w:val="1784"/>
        </w:trPr>
        <w:tc>
          <w:tcPr>
            <w:tcW w:w="2148" w:type="pct"/>
            <w:tcBorders>
              <w:top w:val="single" w:sz="4" w:space="0" w:color="auto"/>
            </w:tcBorders>
          </w:tcPr>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 xml:space="preserve">Страховой организацией: </w:t>
            </w:r>
          </w:p>
          <w:p w:rsidR="002D1791" w:rsidRPr="007123BC" w:rsidRDefault="008D1771" w:rsidP="008D1771">
            <w:pPr>
              <w:pStyle w:val="ConsCell"/>
              <w:jc w:val="both"/>
              <w:rPr>
                <w:rFonts w:ascii="Times New Roman" w:hAnsi="Times New Roman" w:cs="Times New Roman"/>
              </w:rPr>
            </w:pPr>
            <w:r>
              <w:rPr>
                <w:rFonts w:ascii="Times New Roman" w:hAnsi="Times New Roman" w:cs="Times New Roman"/>
              </w:rPr>
              <w:t xml:space="preserve">- </w:t>
            </w:r>
            <w:r w:rsidR="002D1791" w:rsidRPr="007123BC">
              <w:rPr>
                <w:rFonts w:ascii="Times New Roman" w:hAnsi="Times New Roman" w:cs="Times New Roman"/>
              </w:rPr>
              <w:t>при начислении суммы страховой выплаты по договору страхования:</w:t>
            </w:r>
          </w:p>
        </w:tc>
        <w:tc>
          <w:tcPr>
            <w:tcW w:w="1426" w:type="pct"/>
            <w:tcBorders>
              <w:top w:val="single" w:sz="4" w:space="0" w:color="auto"/>
            </w:tcBorders>
          </w:tcPr>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 xml:space="preserve">3390/52 </w:t>
            </w:r>
          </w:p>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«Резерв    заявленных, но неурегулированных убытков»,</w:t>
            </w:r>
            <w:r w:rsidRPr="007123BC">
              <w:rPr>
                <w:rFonts w:ascii="Times New Roman" w:hAnsi="Times New Roman" w:cs="Times New Roman"/>
              </w:rPr>
              <w:br/>
              <w:t>3390/53</w:t>
            </w:r>
          </w:p>
          <w:p w:rsidR="002D1791" w:rsidRPr="007123BC" w:rsidRDefault="002D1791" w:rsidP="00B87C36">
            <w:pPr>
              <w:pStyle w:val="ConsCell"/>
              <w:jc w:val="both"/>
              <w:rPr>
                <w:rFonts w:ascii="Times New Roman" w:hAnsi="Times New Roman" w:cs="Times New Roman"/>
              </w:rPr>
            </w:pPr>
            <w:r w:rsidRPr="007123BC">
              <w:rPr>
                <w:rFonts w:ascii="Times New Roman" w:hAnsi="Times New Roman" w:cs="Times New Roman"/>
              </w:rPr>
              <w:t>«Дополнительные резервы»</w:t>
            </w:r>
          </w:p>
        </w:tc>
        <w:tc>
          <w:tcPr>
            <w:tcW w:w="1426" w:type="pct"/>
            <w:tcBorders>
              <w:top w:val="single" w:sz="4" w:space="0" w:color="auto"/>
            </w:tcBorders>
          </w:tcPr>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 xml:space="preserve">3390/44 </w:t>
            </w:r>
          </w:p>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«Расчеты                       со страхователями»,</w:t>
            </w:r>
          </w:p>
          <w:p w:rsidR="002D1791" w:rsidRPr="007123BC" w:rsidRDefault="002D1791" w:rsidP="00B87C36">
            <w:pPr>
              <w:pStyle w:val="ConsCell"/>
              <w:widowControl/>
              <w:jc w:val="both"/>
              <w:rPr>
                <w:rFonts w:ascii="Times New Roman" w:hAnsi="Times New Roman" w:cs="Times New Roman"/>
              </w:rPr>
            </w:pPr>
            <w:r w:rsidRPr="007123BC">
              <w:rPr>
                <w:rFonts w:ascii="Times New Roman" w:hAnsi="Times New Roman" w:cs="Times New Roman"/>
              </w:rPr>
              <w:t xml:space="preserve">1280/41 </w:t>
            </w:r>
          </w:p>
          <w:p w:rsidR="002D1791" w:rsidRPr="007123BC" w:rsidRDefault="002D1791" w:rsidP="00B87C36">
            <w:pPr>
              <w:pStyle w:val="ConsCell"/>
              <w:jc w:val="both"/>
              <w:rPr>
                <w:rFonts w:ascii="Times New Roman" w:hAnsi="Times New Roman" w:cs="Times New Roman"/>
              </w:rPr>
            </w:pPr>
            <w:r w:rsidRPr="007123BC">
              <w:rPr>
                <w:rFonts w:ascii="Times New Roman" w:hAnsi="Times New Roman" w:cs="Times New Roman"/>
              </w:rPr>
              <w:t>«Страховые     премии   к получению от страхователей»</w:t>
            </w:r>
          </w:p>
        </w:tc>
      </w:tr>
      <w:tr w:rsidR="005E7635" w:rsidRPr="007123BC" w:rsidTr="00B87C36">
        <w:trPr>
          <w:trHeight w:val="240"/>
        </w:trPr>
        <w:tc>
          <w:tcPr>
            <w:tcW w:w="2148" w:type="pct"/>
          </w:tcPr>
          <w:p w:rsidR="005E7635" w:rsidRPr="007123BC" w:rsidRDefault="008D1771" w:rsidP="008D1771">
            <w:pPr>
              <w:pStyle w:val="ConsCell"/>
              <w:widowControl/>
              <w:jc w:val="both"/>
              <w:rPr>
                <w:rFonts w:ascii="Times New Roman" w:hAnsi="Times New Roman" w:cs="Times New Roman"/>
              </w:rPr>
            </w:pPr>
            <w:r>
              <w:rPr>
                <w:rFonts w:ascii="Times New Roman" w:hAnsi="Times New Roman" w:cs="Times New Roman"/>
              </w:rPr>
              <w:t xml:space="preserve">- </w:t>
            </w:r>
            <w:r w:rsidR="005E7635" w:rsidRPr="007123BC">
              <w:rPr>
                <w:rFonts w:ascii="Times New Roman" w:hAnsi="Times New Roman" w:cs="Times New Roman"/>
              </w:rPr>
              <w:t>и одновременно, на данную сумму:</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7470/</w:t>
            </w:r>
            <w:r w:rsidR="005E7635" w:rsidRPr="007123BC">
              <w:rPr>
                <w:rFonts w:ascii="Times New Roman" w:hAnsi="Times New Roman" w:cs="Times New Roman"/>
              </w:rPr>
              <w:t>41</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«Расходы по осуществлению страховых выплат по страхованию»</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7440/</w:t>
            </w:r>
            <w:r w:rsidR="005E7635" w:rsidRPr="007123BC">
              <w:rPr>
                <w:rFonts w:ascii="Times New Roman" w:hAnsi="Times New Roman" w:cs="Times New Roman"/>
              </w:rPr>
              <w:t>45</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«Расходы по формированию резерва заявленных, но неурегулированных убытков»</w:t>
            </w:r>
          </w:p>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7440/</w:t>
            </w:r>
            <w:r w:rsidR="005E7635" w:rsidRPr="007123BC">
              <w:rPr>
                <w:rFonts w:ascii="Times New Roman" w:hAnsi="Times New Roman" w:cs="Times New Roman"/>
              </w:rPr>
              <w:t>46</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«Расходы по формированию дополнительных резервов»</w:t>
            </w:r>
            <w:r w:rsidRPr="007123BC">
              <w:rPr>
                <w:rFonts w:ascii="Times New Roman" w:hAnsi="Times New Roman" w:cs="Times New Roman"/>
              </w:rPr>
              <w:br/>
            </w:r>
          </w:p>
        </w:tc>
      </w:tr>
      <w:tr w:rsidR="005E7635" w:rsidRPr="007123BC" w:rsidTr="00B87C36">
        <w:trPr>
          <w:trHeight w:val="1304"/>
        </w:trPr>
        <w:tc>
          <w:tcPr>
            <w:tcW w:w="2148" w:type="pct"/>
          </w:tcPr>
          <w:p w:rsidR="005E7635" w:rsidRPr="007123BC" w:rsidRDefault="008D1771" w:rsidP="008D1771">
            <w:pPr>
              <w:pStyle w:val="ConsCell"/>
              <w:widowControl/>
              <w:jc w:val="both"/>
              <w:rPr>
                <w:rFonts w:ascii="Times New Roman" w:hAnsi="Times New Roman" w:cs="Times New Roman"/>
              </w:rPr>
            </w:pPr>
            <w:r>
              <w:rPr>
                <w:rFonts w:ascii="Times New Roman" w:hAnsi="Times New Roman" w:cs="Times New Roman"/>
              </w:rPr>
              <w:t xml:space="preserve">- </w:t>
            </w:r>
            <w:r w:rsidR="005E7635" w:rsidRPr="007123BC">
              <w:rPr>
                <w:rFonts w:ascii="Times New Roman" w:hAnsi="Times New Roman" w:cs="Times New Roman"/>
              </w:rPr>
              <w:t>начислено комиссионное вознаграждение страховым агентам (брокерам) за оказание услуг:</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1270/</w:t>
            </w:r>
            <w:r w:rsidR="005E7635" w:rsidRPr="007123BC">
              <w:rPr>
                <w:rFonts w:ascii="Times New Roman" w:hAnsi="Times New Roman" w:cs="Times New Roman"/>
              </w:rPr>
              <w:t>43</w:t>
            </w:r>
          </w:p>
          <w:p w:rsidR="005E7635" w:rsidRPr="007123BC" w:rsidRDefault="005E7635" w:rsidP="00B87C36">
            <w:pPr>
              <w:pStyle w:val="ConsCell"/>
              <w:widowControl/>
              <w:jc w:val="both"/>
              <w:rPr>
                <w:rFonts w:ascii="Times New Roman" w:hAnsi="Times New Roman" w:cs="Times New Roman"/>
                <w:highlight w:val="yellow"/>
              </w:rPr>
            </w:pPr>
            <w:r w:rsidRPr="007123BC">
              <w:rPr>
                <w:rFonts w:ascii="Times New Roman" w:hAnsi="Times New Roman" w:cs="Times New Roman"/>
              </w:rPr>
              <w:t xml:space="preserve">«Начисленные комиссионные доходы страховых брокеров»    </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6110/</w:t>
            </w:r>
            <w:r w:rsidR="005E7635" w:rsidRPr="007123BC">
              <w:rPr>
                <w:rFonts w:ascii="Times New Roman" w:hAnsi="Times New Roman" w:cs="Times New Roman"/>
              </w:rPr>
              <w:t>42</w:t>
            </w:r>
          </w:p>
          <w:p w:rsidR="005E7635" w:rsidRPr="007123BC" w:rsidRDefault="005E7635" w:rsidP="00B87C36">
            <w:pPr>
              <w:pStyle w:val="ConsCell"/>
              <w:widowControl/>
              <w:jc w:val="both"/>
              <w:rPr>
                <w:rFonts w:ascii="Times New Roman" w:hAnsi="Times New Roman" w:cs="Times New Roman"/>
                <w:highlight w:val="yellow"/>
              </w:rPr>
            </w:pPr>
            <w:r w:rsidRPr="007123BC">
              <w:rPr>
                <w:rFonts w:ascii="Times New Roman" w:hAnsi="Times New Roman" w:cs="Times New Roman"/>
              </w:rPr>
              <w:t>«Комиссионные доходы страховых брокеров»</w:t>
            </w:r>
          </w:p>
        </w:tc>
      </w:tr>
      <w:tr w:rsidR="005E7635" w:rsidRPr="007123BC" w:rsidTr="008D1771">
        <w:trPr>
          <w:trHeight w:val="1483"/>
        </w:trPr>
        <w:tc>
          <w:tcPr>
            <w:tcW w:w="2148" w:type="pct"/>
          </w:tcPr>
          <w:p w:rsidR="005E7635" w:rsidRPr="007123BC" w:rsidRDefault="00924605" w:rsidP="00924605">
            <w:pPr>
              <w:pStyle w:val="ConsCell"/>
              <w:widowControl/>
              <w:jc w:val="both"/>
              <w:rPr>
                <w:rFonts w:ascii="Times New Roman" w:hAnsi="Times New Roman" w:cs="Times New Roman"/>
              </w:rPr>
            </w:pPr>
            <w:r>
              <w:rPr>
                <w:rFonts w:ascii="Times New Roman" w:hAnsi="Times New Roman" w:cs="Times New Roman"/>
              </w:rPr>
              <w:t xml:space="preserve">- </w:t>
            </w:r>
            <w:r w:rsidR="005E7635" w:rsidRPr="007123BC">
              <w:rPr>
                <w:rFonts w:ascii="Times New Roman" w:hAnsi="Times New Roman" w:cs="Times New Roman"/>
              </w:rPr>
              <w:t>при осуществлении фактической страховой выплаты страхователю (</w:t>
            </w:r>
            <w:proofErr w:type="spellStart"/>
            <w:r w:rsidR="005E7635" w:rsidRPr="007123BC">
              <w:rPr>
                <w:rFonts w:ascii="Times New Roman" w:hAnsi="Times New Roman" w:cs="Times New Roman"/>
              </w:rPr>
              <w:t>выгодоприобретателю</w:t>
            </w:r>
            <w:proofErr w:type="spellEnd"/>
            <w:r w:rsidR="005E7635" w:rsidRPr="007123BC">
              <w:rPr>
                <w:rFonts w:ascii="Times New Roman" w:hAnsi="Times New Roman" w:cs="Times New Roman"/>
              </w:rPr>
              <w:t>) на сумму выплаты:</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3390/</w:t>
            </w:r>
            <w:r w:rsidR="005E7635" w:rsidRPr="007123BC">
              <w:rPr>
                <w:rFonts w:ascii="Times New Roman" w:hAnsi="Times New Roman" w:cs="Times New Roman"/>
              </w:rPr>
              <w:t>44</w:t>
            </w:r>
          </w:p>
          <w:p w:rsidR="005E7635" w:rsidRPr="007123BC" w:rsidRDefault="005E7635" w:rsidP="00B87C36">
            <w:pPr>
              <w:pStyle w:val="ConsCell"/>
              <w:widowControl/>
              <w:jc w:val="both"/>
              <w:rPr>
                <w:rFonts w:ascii="Times New Roman" w:hAnsi="Times New Roman" w:cs="Times New Roman"/>
                <w:highlight w:val="yellow"/>
              </w:rPr>
            </w:pPr>
            <w:r w:rsidRPr="007123BC">
              <w:rPr>
                <w:rFonts w:ascii="Times New Roman" w:hAnsi="Times New Roman" w:cs="Times New Roman"/>
              </w:rPr>
              <w:t>«Расчеты со страхователями»</w:t>
            </w:r>
          </w:p>
        </w:tc>
        <w:tc>
          <w:tcPr>
            <w:tcW w:w="1426" w:type="pct"/>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1010</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«Денежные средства в кассе»,</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1030</w:t>
            </w:r>
          </w:p>
          <w:p w:rsidR="005E7635" w:rsidRPr="007123BC" w:rsidRDefault="005E7635" w:rsidP="00B87C36">
            <w:pPr>
              <w:pStyle w:val="ConsCell"/>
              <w:widowControl/>
              <w:jc w:val="both"/>
              <w:rPr>
                <w:rFonts w:ascii="Times New Roman" w:hAnsi="Times New Roman" w:cs="Times New Roman"/>
                <w:highlight w:val="yellow"/>
              </w:rPr>
            </w:pPr>
            <w:r w:rsidRPr="007123BC">
              <w:rPr>
                <w:rFonts w:ascii="Times New Roman" w:hAnsi="Times New Roman" w:cs="Times New Roman"/>
              </w:rPr>
              <w:t>«Денежные средства на текущих счетах»</w:t>
            </w:r>
          </w:p>
        </w:tc>
      </w:tr>
      <w:tr w:rsidR="005E7635" w:rsidRPr="007123BC" w:rsidTr="00B87C36">
        <w:trPr>
          <w:trHeight w:val="720"/>
        </w:trPr>
        <w:tc>
          <w:tcPr>
            <w:tcW w:w="2148" w:type="pct"/>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При осуществлении страховой организацией страхователю (</w:t>
            </w:r>
            <w:proofErr w:type="spellStart"/>
            <w:r w:rsidRPr="007123BC">
              <w:rPr>
                <w:rFonts w:ascii="Times New Roman" w:hAnsi="Times New Roman" w:cs="Times New Roman"/>
              </w:rPr>
              <w:t>выгодоприобретателю</w:t>
            </w:r>
            <w:proofErr w:type="spellEnd"/>
            <w:r w:rsidRPr="007123BC">
              <w:rPr>
                <w:rFonts w:ascii="Times New Roman" w:hAnsi="Times New Roman" w:cs="Times New Roman"/>
              </w:rPr>
              <w:t xml:space="preserve">) страховой выплаты, уменьшенной на сумму его задолженности по уплате страховой </w:t>
            </w:r>
            <w:r w:rsidR="002D1791" w:rsidRPr="007123BC">
              <w:rPr>
                <w:rFonts w:ascii="Times New Roman" w:hAnsi="Times New Roman" w:cs="Times New Roman"/>
              </w:rPr>
              <w:t>премии, осуществляются следующие бухгалтерские записи:</w:t>
            </w:r>
          </w:p>
        </w:tc>
        <w:tc>
          <w:tcPr>
            <w:tcW w:w="1426" w:type="pct"/>
          </w:tcPr>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tc>
        <w:tc>
          <w:tcPr>
            <w:tcW w:w="1426" w:type="pct"/>
          </w:tcPr>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rPr>
            </w:pPr>
          </w:p>
          <w:p w:rsidR="005E7635" w:rsidRPr="007123BC" w:rsidRDefault="005E7635" w:rsidP="00B87C36">
            <w:pPr>
              <w:pStyle w:val="ConsCell"/>
              <w:widowControl/>
              <w:jc w:val="both"/>
              <w:rPr>
                <w:rFonts w:ascii="Times New Roman" w:hAnsi="Times New Roman" w:cs="Times New Roman"/>
                <w:highlight w:val="yellow"/>
              </w:rPr>
            </w:pPr>
          </w:p>
        </w:tc>
      </w:tr>
      <w:tr w:rsidR="005E7635" w:rsidRPr="007123BC" w:rsidTr="00B87C36">
        <w:trPr>
          <w:trHeight w:val="480"/>
        </w:trPr>
        <w:tc>
          <w:tcPr>
            <w:tcW w:w="2148" w:type="pct"/>
          </w:tcPr>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Перестраховочной организацией:</w:t>
            </w:r>
          </w:p>
          <w:p w:rsidR="005E7635" w:rsidRPr="007123BC" w:rsidRDefault="00924605" w:rsidP="00924605">
            <w:pPr>
              <w:pStyle w:val="ConsCell"/>
              <w:widowControl/>
              <w:jc w:val="both"/>
              <w:rPr>
                <w:rFonts w:ascii="Times New Roman" w:hAnsi="Times New Roman" w:cs="Times New Roman"/>
              </w:rPr>
            </w:pPr>
            <w:r>
              <w:rPr>
                <w:rFonts w:ascii="Times New Roman" w:hAnsi="Times New Roman" w:cs="Times New Roman"/>
              </w:rPr>
              <w:t xml:space="preserve">- </w:t>
            </w:r>
            <w:r w:rsidR="005E7635" w:rsidRPr="007123BC">
              <w:rPr>
                <w:rFonts w:ascii="Times New Roman" w:hAnsi="Times New Roman" w:cs="Times New Roman"/>
              </w:rPr>
              <w:t>при начислении суммы страховой выплаты по договору перестрахования:</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3390/</w:t>
            </w:r>
            <w:r w:rsidR="005E7635" w:rsidRPr="007123BC">
              <w:rPr>
                <w:rFonts w:ascii="Times New Roman" w:hAnsi="Times New Roman" w:cs="Times New Roman"/>
              </w:rPr>
              <w:t>52</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«Резерв заявленных, но неурегулированных убытков»</w:t>
            </w:r>
          </w:p>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3390/</w:t>
            </w:r>
            <w:r w:rsidR="005E7635" w:rsidRPr="007123BC">
              <w:rPr>
                <w:rFonts w:ascii="Times New Roman" w:hAnsi="Times New Roman" w:cs="Times New Roman"/>
              </w:rPr>
              <w:t>53</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«Дополнительные резервы»</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3390/</w:t>
            </w:r>
            <w:r w:rsidR="005E7635" w:rsidRPr="007123BC">
              <w:rPr>
                <w:rFonts w:ascii="Times New Roman" w:hAnsi="Times New Roman" w:cs="Times New Roman"/>
              </w:rPr>
              <w:t>43</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«Расчеты с </w:t>
            </w:r>
            <w:proofErr w:type="spellStart"/>
            <w:r w:rsidRPr="007123BC">
              <w:rPr>
                <w:rFonts w:ascii="Times New Roman" w:hAnsi="Times New Roman" w:cs="Times New Roman"/>
              </w:rPr>
              <w:t>перестрахователями</w:t>
            </w:r>
            <w:proofErr w:type="spellEnd"/>
            <w:r w:rsidRPr="007123BC">
              <w:rPr>
                <w:rFonts w:ascii="Times New Roman" w:hAnsi="Times New Roman" w:cs="Times New Roman"/>
              </w:rPr>
              <w:t>»</w:t>
            </w:r>
          </w:p>
        </w:tc>
      </w:tr>
      <w:tr w:rsidR="005E7635" w:rsidRPr="007123BC" w:rsidTr="00B87C36">
        <w:trPr>
          <w:trHeight w:val="480"/>
        </w:trPr>
        <w:tc>
          <w:tcPr>
            <w:tcW w:w="2148" w:type="pct"/>
          </w:tcPr>
          <w:p w:rsidR="005E7635" w:rsidRPr="007123BC" w:rsidRDefault="00924605" w:rsidP="00924605">
            <w:pPr>
              <w:pStyle w:val="ConsCell"/>
              <w:widowControl/>
              <w:jc w:val="both"/>
              <w:rPr>
                <w:rFonts w:ascii="Times New Roman" w:hAnsi="Times New Roman" w:cs="Times New Roman"/>
              </w:rPr>
            </w:pPr>
            <w:r>
              <w:rPr>
                <w:rFonts w:ascii="Times New Roman" w:hAnsi="Times New Roman" w:cs="Times New Roman"/>
              </w:rPr>
              <w:t xml:space="preserve">- </w:t>
            </w:r>
            <w:r w:rsidR="005E7635" w:rsidRPr="007123BC">
              <w:rPr>
                <w:rFonts w:ascii="Times New Roman" w:hAnsi="Times New Roman" w:cs="Times New Roman"/>
              </w:rPr>
              <w:t>и одновременно, на данную сумму:</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7470/</w:t>
            </w:r>
            <w:r w:rsidR="005E7635" w:rsidRPr="007123BC">
              <w:rPr>
                <w:rFonts w:ascii="Times New Roman" w:hAnsi="Times New Roman" w:cs="Times New Roman"/>
              </w:rPr>
              <w:t>42</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«Расходы по осуществлению страховых выплат по </w:t>
            </w:r>
            <w:r w:rsidRPr="007123BC">
              <w:rPr>
                <w:rFonts w:ascii="Times New Roman" w:hAnsi="Times New Roman" w:cs="Times New Roman"/>
              </w:rPr>
              <w:lastRenderedPageBreak/>
              <w:t>перестрахованию»</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lastRenderedPageBreak/>
              <w:t>7440/</w:t>
            </w:r>
            <w:r w:rsidR="005E7635" w:rsidRPr="007123BC">
              <w:rPr>
                <w:rFonts w:ascii="Times New Roman" w:hAnsi="Times New Roman" w:cs="Times New Roman"/>
              </w:rPr>
              <w:t>45</w:t>
            </w:r>
          </w:p>
          <w:p w:rsidR="005E7635" w:rsidRPr="007123BC" w:rsidRDefault="005E7635" w:rsidP="00B87C36">
            <w:pPr>
              <w:pStyle w:val="ConsCell"/>
              <w:widowControl/>
              <w:jc w:val="both"/>
              <w:rPr>
                <w:rFonts w:ascii="Times New Roman" w:hAnsi="Times New Roman" w:cs="Times New Roman"/>
              </w:rPr>
            </w:pPr>
            <w:r w:rsidRPr="007123BC">
              <w:rPr>
                <w:rFonts w:ascii="Times New Roman" w:hAnsi="Times New Roman" w:cs="Times New Roman"/>
              </w:rPr>
              <w:t xml:space="preserve">«Расходы по формированию резерва заявленных, но </w:t>
            </w:r>
            <w:r w:rsidRPr="007123BC">
              <w:rPr>
                <w:rFonts w:ascii="Times New Roman" w:hAnsi="Times New Roman" w:cs="Times New Roman"/>
              </w:rPr>
              <w:lastRenderedPageBreak/>
              <w:t>неурегулированных убытков»</w:t>
            </w:r>
          </w:p>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7440/</w:t>
            </w:r>
            <w:r w:rsidR="005E7635" w:rsidRPr="007123BC">
              <w:rPr>
                <w:rFonts w:ascii="Times New Roman" w:hAnsi="Times New Roman" w:cs="Times New Roman"/>
              </w:rPr>
              <w:t>46</w:t>
            </w:r>
          </w:p>
          <w:p w:rsidR="005E7635" w:rsidRPr="007123BC" w:rsidRDefault="005E7635" w:rsidP="00B87C36">
            <w:pPr>
              <w:pStyle w:val="a4"/>
              <w:spacing w:before="0" w:beforeAutospacing="0" w:after="0" w:afterAutospacing="0"/>
              <w:jc w:val="both"/>
              <w:rPr>
                <w:sz w:val="20"/>
                <w:szCs w:val="20"/>
              </w:rPr>
            </w:pPr>
            <w:r w:rsidRPr="007123BC">
              <w:rPr>
                <w:sz w:val="20"/>
                <w:szCs w:val="20"/>
              </w:rPr>
              <w:t>«Расходы                      по формированию дополнительных резервов»</w:t>
            </w:r>
          </w:p>
        </w:tc>
      </w:tr>
      <w:tr w:rsidR="005E7635" w:rsidRPr="007123BC" w:rsidTr="00B87C36">
        <w:trPr>
          <w:trHeight w:val="480"/>
        </w:trPr>
        <w:tc>
          <w:tcPr>
            <w:tcW w:w="2148" w:type="pct"/>
          </w:tcPr>
          <w:p w:rsidR="005E7635" w:rsidRPr="007123BC" w:rsidRDefault="00924605" w:rsidP="00924605">
            <w:pPr>
              <w:pStyle w:val="ConsCell"/>
              <w:widowControl/>
              <w:jc w:val="both"/>
              <w:rPr>
                <w:rFonts w:ascii="Times New Roman" w:hAnsi="Times New Roman" w:cs="Times New Roman"/>
              </w:rPr>
            </w:pPr>
            <w:r>
              <w:rPr>
                <w:rFonts w:ascii="Times New Roman" w:hAnsi="Times New Roman" w:cs="Times New Roman"/>
              </w:rPr>
              <w:lastRenderedPageBreak/>
              <w:t xml:space="preserve">- </w:t>
            </w:r>
            <w:r w:rsidR="005E7635" w:rsidRPr="007123BC">
              <w:rPr>
                <w:rFonts w:ascii="Times New Roman" w:hAnsi="Times New Roman" w:cs="Times New Roman"/>
              </w:rPr>
              <w:t xml:space="preserve">при осуществлении фактической страховой выплаты </w:t>
            </w:r>
            <w:proofErr w:type="spellStart"/>
            <w:r w:rsidR="005E7635" w:rsidRPr="007123BC">
              <w:rPr>
                <w:rFonts w:ascii="Times New Roman" w:hAnsi="Times New Roman" w:cs="Times New Roman"/>
              </w:rPr>
              <w:t>перестрахователю</w:t>
            </w:r>
            <w:proofErr w:type="spellEnd"/>
            <w:r w:rsidR="005E7635" w:rsidRPr="007123BC">
              <w:rPr>
                <w:rFonts w:ascii="Times New Roman" w:hAnsi="Times New Roman" w:cs="Times New Roman"/>
              </w:rPr>
              <w:t xml:space="preserve"> (</w:t>
            </w:r>
            <w:proofErr w:type="spellStart"/>
            <w:r w:rsidR="005E7635" w:rsidRPr="007123BC">
              <w:rPr>
                <w:rFonts w:ascii="Times New Roman" w:hAnsi="Times New Roman" w:cs="Times New Roman"/>
              </w:rPr>
              <w:t>выгодоприобретателю</w:t>
            </w:r>
            <w:proofErr w:type="spellEnd"/>
            <w:r w:rsidR="005E7635" w:rsidRPr="007123BC">
              <w:rPr>
                <w:rFonts w:ascii="Times New Roman" w:hAnsi="Times New Roman" w:cs="Times New Roman"/>
              </w:rPr>
              <w:t>) на сумму выплаты:</w:t>
            </w:r>
          </w:p>
        </w:tc>
        <w:tc>
          <w:tcPr>
            <w:tcW w:w="1426" w:type="pct"/>
          </w:tcPr>
          <w:p w:rsidR="005E7635" w:rsidRPr="007123BC" w:rsidRDefault="00A342FB" w:rsidP="00B87C36">
            <w:pPr>
              <w:pStyle w:val="ConsCell"/>
              <w:widowControl/>
              <w:jc w:val="both"/>
              <w:rPr>
                <w:rFonts w:ascii="Times New Roman" w:hAnsi="Times New Roman" w:cs="Times New Roman"/>
              </w:rPr>
            </w:pPr>
            <w:r w:rsidRPr="007123BC">
              <w:rPr>
                <w:rFonts w:ascii="Times New Roman" w:hAnsi="Times New Roman" w:cs="Times New Roman"/>
              </w:rPr>
              <w:t>3390/</w:t>
            </w:r>
            <w:r w:rsidR="005E7635" w:rsidRPr="007123BC">
              <w:rPr>
                <w:rFonts w:ascii="Times New Roman" w:hAnsi="Times New Roman" w:cs="Times New Roman"/>
              </w:rPr>
              <w:t>43</w:t>
            </w:r>
          </w:p>
          <w:p w:rsidR="005E7635" w:rsidRPr="007123BC" w:rsidRDefault="005E7635" w:rsidP="00B87C36">
            <w:pPr>
              <w:pStyle w:val="ConsCell"/>
              <w:widowControl/>
              <w:jc w:val="both"/>
              <w:rPr>
                <w:rFonts w:ascii="Times New Roman" w:hAnsi="Times New Roman" w:cs="Times New Roman"/>
                <w:highlight w:val="yellow"/>
              </w:rPr>
            </w:pPr>
            <w:r w:rsidRPr="007123BC">
              <w:rPr>
                <w:rFonts w:ascii="Times New Roman" w:hAnsi="Times New Roman" w:cs="Times New Roman"/>
              </w:rPr>
              <w:t xml:space="preserve">«Расчеты с </w:t>
            </w:r>
            <w:proofErr w:type="spellStart"/>
            <w:r w:rsidRPr="007123BC">
              <w:rPr>
                <w:rFonts w:ascii="Times New Roman" w:hAnsi="Times New Roman" w:cs="Times New Roman"/>
              </w:rPr>
              <w:t>перестрахователями</w:t>
            </w:r>
            <w:proofErr w:type="spellEnd"/>
            <w:r w:rsidRPr="007123BC">
              <w:rPr>
                <w:rFonts w:ascii="Times New Roman" w:hAnsi="Times New Roman" w:cs="Times New Roman"/>
              </w:rPr>
              <w:t>»</w:t>
            </w:r>
          </w:p>
        </w:tc>
        <w:tc>
          <w:tcPr>
            <w:tcW w:w="1426" w:type="pct"/>
          </w:tcPr>
          <w:p w:rsidR="005E7635" w:rsidRPr="007123BC" w:rsidRDefault="005E7635" w:rsidP="00B87C36">
            <w:pPr>
              <w:pStyle w:val="a4"/>
              <w:spacing w:before="0" w:beforeAutospacing="0" w:after="0" w:afterAutospacing="0"/>
              <w:jc w:val="both"/>
              <w:rPr>
                <w:sz w:val="20"/>
                <w:szCs w:val="20"/>
              </w:rPr>
            </w:pPr>
            <w:r w:rsidRPr="007123BC">
              <w:rPr>
                <w:sz w:val="20"/>
                <w:szCs w:val="20"/>
              </w:rPr>
              <w:t>1010</w:t>
            </w:r>
          </w:p>
          <w:p w:rsidR="005E7635" w:rsidRPr="007123BC" w:rsidRDefault="005E7635" w:rsidP="00B87C36">
            <w:pPr>
              <w:pStyle w:val="a4"/>
              <w:spacing w:before="0" w:beforeAutospacing="0" w:after="0" w:afterAutospacing="0"/>
              <w:jc w:val="both"/>
              <w:rPr>
                <w:sz w:val="20"/>
                <w:szCs w:val="20"/>
              </w:rPr>
            </w:pPr>
            <w:r w:rsidRPr="007123BC">
              <w:rPr>
                <w:sz w:val="20"/>
                <w:szCs w:val="20"/>
              </w:rPr>
              <w:t>«Денежные средства в кассе»</w:t>
            </w:r>
          </w:p>
          <w:p w:rsidR="005E7635" w:rsidRPr="007123BC" w:rsidRDefault="005E7635" w:rsidP="00B87C36">
            <w:pPr>
              <w:pStyle w:val="a4"/>
              <w:spacing w:before="0" w:beforeAutospacing="0" w:after="0" w:afterAutospacing="0"/>
              <w:jc w:val="both"/>
              <w:rPr>
                <w:sz w:val="20"/>
                <w:szCs w:val="20"/>
              </w:rPr>
            </w:pPr>
            <w:r w:rsidRPr="007123BC">
              <w:rPr>
                <w:sz w:val="20"/>
                <w:szCs w:val="20"/>
              </w:rPr>
              <w:t>1030</w:t>
            </w:r>
          </w:p>
          <w:p w:rsidR="005E7635" w:rsidRPr="007123BC" w:rsidRDefault="005E7635" w:rsidP="00B87C36">
            <w:pPr>
              <w:pStyle w:val="a4"/>
              <w:spacing w:before="0" w:beforeAutospacing="0" w:after="0" w:afterAutospacing="0"/>
              <w:jc w:val="both"/>
              <w:rPr>
                <w:sz w:val="20"/>
                <w:szCs w:val="20"/>
              </w:rPr>
            </w:pPr>
            <w:r w:rsidRPr="007123BC">
              <w:rPr>
                <w:sz w:val="20"/>
                <w:szCs w:val="20"/>
              </w:rPr>
              <w:t>«Денежные средства на текущих счетах»</w:t>
            </w:r>
          </w:p>
        </w:tc>
      </w:tr>
    </w:tbl>
    <w:p w:rsidR="005E7635" w:rsidRPr="00E477B5" w:rsidRDefault="005E7635" w:rsidP="005E7635">
      <w:pPr>
        <w:pStyle w:val="ConsNonformat"/>
        <w:widowControl/>
        <w:jc w:val="both"/>
        <w:rPr>
          <w:rFonts w:ascii="Times New Roman" w:hAnsi="Times New Roman" w:cs="Times New Roman"/>
        </w:rPr>
      </w:pPr>
      <w:r w:rsidRPr="00E477B5">
        <w:rPr>
          <w:rFonts w:ascii="Times New Roman" w:hAnsi="Times New Roman" w:cs="Times New Roman"/>
        </w:rPr>
        <w:t>Примечание. Составлено автором на основании данных со сборников бухгалтерских проводок по учету страховых операций.</w:t>
      </w:r>
    </w:p>
    <w:p w:rsidR="005E7635" w:rsidRPr="007123BC" w:rsidRDefault="005E7635" w:rsidP="005E7635">
      <w:pPr>
        <w:pStyle w:val="ConsNonformat"/>
        <w:widowControl/>
        <w:ind w:firstLine="709"/>
        <w:jc w:val="both"/>
        <w:rPr>
          <w:rFonts w:ascii="Times New Roman" w:hAnsi="Times New Roman" w:cs="Times New Roman"/>
          <w:sz w:val="24"/>
          <w:szCs w:val="24"/>
        </w:rPr>
      </w:pP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Страховая компания «</w:t>
      </w:r>
      <w:r w:rsidR="001A4C61" w:rsidRPr="007123BC">
        <w:rPr>
          <w:rFonts w:ascii="Times New Roman" w:hAnsi="Times New Roman" w:cs="Times New Roman"/>
          <w:sz w:val="24"/>
          <w:szCs w:val="24"/>
        </w:rPr>
        <w:t xml:space="preserve">ААА </w:t>
      </w:r>
      <w:proofErr w:type="spellStart"/>
      <w:r w:rsidRPr="007123BC">
        <w:rPr>
          <w:rFonts w:ascii="Times New Roman" w:hAnsi="Times New Roman" w:cs="Times New Roman"/>
          <w:sz w:val="24"/>
          <w:szCs w:val="24"/>
        </w:rPr>
        <w:t>Иншуранс</w:t>
      </w:r>
      <w:proofErr w:type="spellEnd"/>
      <w:r w:rsidRPr="007123BC">
        <w:rPr>
          <w:rFonts w:ascii="Times New Roman" w:hAnsi="Times New Roman" w:cs="Times New Roman"/>
          <w:sz w:val="24"/>
          <w:szCs w:val="24"/>
        </w:rPr>
        <w:t>» при формировании расходов по обычным видам деятельности производится их классификация по элементам затрат:</w:t>
      </w:r>
    </w:p>
    <w:p w:rsidR="005E7635" w:rsidRPr="007123BC" w:rsidRDefault="005E7635" w:rsidP="005E7635">
      <w:pPr>
        <w:pStyle w:val="ConsNormal"/>
        <w:widowControl/>
        <w:numPr>
          <w:ilvl w:val="0"/>
          <w:numId w:val="7"/>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материальные затраты;</w:t>
      </w:r>
    </w:p>
    <w:p w:rsidR="005E7635" w:rsidRPr="007123BC" w:rsidRDefault="005E7635" w:rsidP="005E7635">
      <w:pPr>
        <w:pStyle w:val="ConsNormal"/>
        <w:widowControl/>
        <w:numPr>
          <w:ilvl w:val="0"/>
          <w:numId w:val="7"/>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затраты на оплату труда;</w:t>
      </w:r>
    </w:p>
    <w:p w:rsidR="005E7635" w:rsidRPr="007123BC" w:rsidRDefault="005E7635" w:rsidP="005E7635">
      <w:pPr>
        <w:pStyle w:val="ConsNormal"/>
        <w:widowControl/>
        <w:numPr>
          <w:ilvl w:val="0"/>
          <w:numId w:val="7"/>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отчисления на социальные нужды;</w:t>
      </w:r>
    </w:p>
    <w:p w:rsidR="005E7635" w:rsidRPr="007123BC" w:rsidRDefault="005E7635" w:rsidP="005E7635">
      <w:pPr>
        <w:pStyle w:val="ConsNormal"/>
        <w:widowControl/>
        <w:numPr>
          <w:ilvl w:val="0"/>
          <w:numId w:val="7"/>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амортизация;</w:t>
      </w:r>
    </w:p>
    <w:p w:rsidR="005E7635" w:rsidRPr="007123BC" w:rsidRDefault="005E7635" w:rsidP="005E7635">
      <w:pPr>
        <w:pStyle w:val="ConsNormal"/>
        <w:widowControl/>
        <w:numPr>
          <w:ilvl w:val="0"/>
          <w:numId w:val="7"/>
        </w:numPr>
        <w:tabs>
          <w:tab w:val="left" w:pos="993"/>
        </w:tabs>
        <w:ind w:hanging="11"/>
        <w:jc w:val="both"/>
        <w:rPr>
          <w:rFonts w:ascii="Times New Roman" w:hAnsi="Times New Roman" w:cs="Times New Roman"/>
          <w:sz w:val="24"/>
          <w:szCs w:val="24"/>
        </w:rPr>
      </w:pPr>
      <w:r w:rsidRPr="007123BC">
        <w:rPr>
          <w:rFonts w:ascii="Times New Roman" w:hAnsi="Times New Roman" w:cs="Times New Roman"/>
          <w:sz w:val="24"/>
          <w:szCs w:val="24"/>
        </w:rPr>
        <w:t>прочие затраты.</w:t>
      </w:r>
    </w:p>
    <w:p w:rsidR="005E7635" w:rsidRPr="007123BC" w:rsidRDefault="005E7635" w:rsidP="005E7635">
      <w:pPr>
        <w:pStyle w:val="ConsNormal"/>
        <w:widowControl/>
        <w:ind w:firstLine="709"/>
        <w:jc w:val="both"/>
        <w:rPr>
          <w:rFonts w:ascii="Times New Roman" w:hAnsi="Times New Roman" w:cs="Times New Roman"/>
          <w:sz w:val="24"/>
          <w:szCs w:val="24"/>
        </w:rPr>
      </w:pPr>
      <w:r w:rsidRPr="007123BC">
        <w:rPr>
          <w:rFonts w:ascii="Times New Roman" w:hAnsi="Times New Roman" w:cs="Times New Roman"/>
          <w:sz w:val="24"/>
          <w:szCs w:val="24"/>
        </w:rPr>
        <w:t>Данная классификация характеризует затраты страховой компании на совокупном уровне в разрезе основных элементов. Информация по основным элементам затрат представляется в приложении к бухгалтерскому балансу страховой организации (форма N 5-страховщик). Следует отметить, что в настоящее время учет затрат по элементам не ведется, и для целей составления бухгалтерской отчетности данная информация формируется расчетным способом.</w:t>
      </w:r>
    </w:p>
    <w:p w:rsidR="00611122" w:rsidRPr="007123BC" w:rsidRDefault="00611122" w:rsidP="005E7635">
      <w:pPr>
        <w:pStyle w:val="ConsNormal"/>
        <w:widowControl/>
        <w:ind w:firstLine="709"/>
        <w:jc w:val="both"/>
        <w:rPr>
          <w:rFonts w:ascii="Times New Roman" w:hAnsi="Times New Roman" w:cs="Times New Roman"/>
          <w:sz w:val="24"/>
          <w:szCs w:val="24"/>
        </w:rPr>
      </w:pPr>
    </w:p>
    <w:p w:rsidR="00877FA4" w:rsidRPr="007123BC" w:rsidRDefault="00D24DA6" w:rsidP="007123BC">
      <w:pPr>
        <w:pStyle w:val="a3"/>
        <w:jc w:val="center"/>
        <w:rPr>
          <w:rFonts w:ascii="Times New Roman" w:hAnsi="Times New Roman" w:cs="Times New Roman"/>
          <w:sz w:val="24"/>
          <w:szCs w:val="24"/>
          <w:lang w:val="en-US"/>
        </w:rPr>
      </w:pPr>
      <w:r w:rsidRPr="007123BC">
        <w:rPr>
          <w:rFonts w:ascii="Times New Roman" w:hAnsi="Times New Roman" w:cs="Times New Roman"/>
          <w:sz w:val="24"/>
          <w:szCs w:val="24"/>
        </w:rPr>
        <w:t>***</w:t>
      </w:r>
    </w:p>
    <w:p w:rsidR="00D24DA6" w:rsidRPr="00C374B6" w:rsidRDefault="00D24DA6" w:rsidP="00C374B6">
      <w:pPr>
        <w:pStyle w:val="a3"/>
        <w:rPr>
          <w:rFonts w:ascii="Times New Roman" w:hAnsi="Times New Roman" w:cs="Times New Roman"/>
          <w:b/>
          <w:sz w:val="24"/>
          <w:szCs w:val="24"/>
        </w:rPr>
      </w:pPr>
      <w:r w:rsidRPr="007123BC">
        <w:rPr>
          <w:rFonts w:ascii="Times New Roman" w:hAnsi="Times New Roman" w:cs="Times New Roman"/>
          <w:b/>
          <w:sz w:val="24"/>
          <w:szCs w:val="24"/>
        </w:rPr>
        <w:t>Литература:</w:t>
      </w:r>
    </w:p>
    <w:p w:rsidR="00611122" w:rsidRPr="007123BC" w:rsidRDefault="00611122" w:rsidP="00611122">
      <w:pPr>
        <w:pStyle w:val="a5"/>
        <w:numPr>
          <w:ilvl w:val="0"/>
          <w:numId w:val="13"/>
        </w:numPr>
        <w:tabs>
          <w:tab w:val="left" w:pos="284"/>
          <w:tab w:val="left" w:pos="1134"/>
        </w:tabs>
        <w:ind w:left="0" w:firstLine="709"/>
        <w:jc w:val="both"/>
      </w:pPr>
      <w:r w:rsidRPr="007123BC">
        <w:t>Типовой план счетов бухгалтерского учета для отдельных субъектов финансового рынка РК.</w:t>
      </w:r>
    </w:p>
    <w:p w:rsidR="00611122" w:rsidRPr="007123BC" w:rsidRDefault="00611122" w:rsidP="00611122">
      <w:pPr>
        <w:pStyle w:val="a5"/>
        <w:numPr>
          <w:ilvl w:val="0"/>
          <w:numId w:val="13"/>
        </w:numPr>
        <w:tabs>
          <w:tab w:val="left" w:pos="284"/>
          <w:tab w:val="left" w:pos="1134"/>
        </w:tabs>
        <w:ind w:left="0" w:firstLine="709"/>
        <w:jc w:val="both"/>
      </w:pPr>
      <w:r w:rsidRPr="007123BC">
        <w:t>Савченко О. С. Большая книга бухгалтера страховой компании. – М.: Регламент, 2006 г. – 230с.</w:t>
      </w:r>
    </w:p>
    <w:p w:rsidR="00611122" w:rsidRPr="007123BC" w:rsidRDefault="00611122" w:rsidP="00611122">
      <w:pPr>
        <w:pStyle w:val="a5"/>
        <w:tabs>
          <w:tab w:val="left" w:pos="284"/>
          <w:tab w:val="left" w:pos="1134"/>
        </w:tabs>
        <w:ind w:left="709"/>
        <w:jc w:val="both"/>
      </w:pPr>
    </w:p>
    <w:p w:rsidR="00504D92" w:rsidRPr="00C374B6" w:rsidRDefault="00504D92" w:rsidP="00C374B6">
      <w:pPr>
        <w:pStyle w:val="a5"/>
        <w:tabs>
          <w:tab w:val="left" w:pos="284"/>
          <w:tab w:val="left" w:pos="1134"/>
        </w:tabs>
        <w:ind w:left="709"/>
        <w:jc w:val="center"/>
      </w:pPr>
      <w:r w:rsidRPr="007123BC">
        <w:t>***</w:t>
      </w:r>
    </w:p>
    <w:p w:rsidR="00504D92" w:rsidRPr="007123BC" w:rsidRDefault="00504D92" w:rsidP="00504D92">
      <w:pPr>
        <w:pStyle w:val="a3"/>
        <w:jc w:val="center"/>
        <w:rPr>
          <w:rFonts w:ascii="Times New Roman" w:hAnsi="Times New Roman" w:cs="Times New Roman"/>
          <w:sz w:val="24"/>
          <w:szCs w:val="24"/>
        </w:rPr>
      </w:pPr>
      <w:r w:rsidRPr="007123BC">
        <w:rPr>
          <w:rFonts w:ascii="Times New Roman" w:hAnsi="Times New Roman" w:cs="Times New Roman"/>
          <w:sz w:val="24"/>
          <w:szCs w:val="24"/>
        </w:rPr>
        <w:t xml:space="preserve">О.Ю. </w:t>
      </w:r>
      <w:proofErr w:type="spellStart"/>
      <w:r w:rsidRPr="007123BC">
        <w:rPr>
          <w:rFonts w:ascii="Times New Roman" w:hAnsi="Times New Roman" w:cs="Times New Roman"/>
          <w:sz w:val="24"/>
          <w:szCs w:val="24"/>
        </w:rPr>
        <w:t>Когут</w:t>
      </w:r>
      <w:proofErr w:type="spellEnd"/>
    </w:p>
    <w:p w:rsidR="00504D92" w:rsidRPr="007123BC" w:rsidRDefault="00504D92" w:rsidP="00504D92">
      <w:pPr>
        <w:pStyle w:val="a5"/>
        <w:tabs>
          <w:tab w:val="left" w:pos="284"/>
          <w:tab w:val="left" w:pos="1134"/>
        </w:tabs>
        <w:ind w:left="709"/>
        <w:jc w:val="center"/>
      </w:pPr>
    </w:p>
    <w:p w:rsidR="00504D92" w:rsidRPr="007123BC" w:rsidRDefault="00504D92" w:rsidP="00504D92">
      <w:pPr>
        <w:pStyle w:val="ConsNormal"/>
        <w:widowControl/>
        <w:tabs>
          <w:tab w:val="left" w:pos="993"/>
        </w:tabs>
        <w:jc w:val="both"/>
        <w:rPr>
          <w:rFonts w:ascii="Times New Roman" w:hAnsi="Times New Roman" w:cs="Times New Roman"/>
          <w:sz w:val="24"/>
          <w:szCs w:val="24"/>
          <w:lang w:val="kk-KZ"/>
        </w:rPr>
      </w:pPr>
      <w:r w:rsidRPr="007123BC">
        <w:rPr>
          <w:rFonts w:ascii="Times New Roman" w:hAnsi="Times New Roman" w:cs="Times New Roman"/>
          <w:b/>
          <w:sz w:val="24"/>
          <w:szCs w:val="24"/>
          <w:lang w:val="kk-KZ"/>
        </w:rPr>
        <w:t>Аннотация</w:t>
      </w:r>
      <w:r w:rsidRPr="007123BC">
        <w:rPr>
          <w:rFonts w:ascii="Times New Roman" w:hAnsi="Times New Roman" w:cs="Times New Roman"/>
          <w:sz w:val="24"/>
          <w:szCs w:val="24"/>
          <w:lang w:val="kk-KZ"/>
        </w:rPr>
        <w:t>.  Мақалада сақтандыру ұйымдарындағы шығыстардың бухгалтерлік есебін жүргізу ерекшеліктері қарастырылған, оның ішінде: сақтандыру қызметін жүзеге асыру бойынша, сақтандыру келісім шарттарын жасау, жүргізу және орындау бойынша, қайта сақтандыру, әкімшілік-басқарушы және жалпы шаруашылық шығыстар, басқа да шығыстар</w:t>
      </w:r>
      <w:r w:rsidRPr="007123BC">
        <w:rPr>
          <w:sz w:val="24"/>
          <w:szCs w:val="24"/>
          <w:lang w:val="kk-KZ"/>
        </w:rPr>
        <w:t>.</w:t>
      </w:r>
    </w:p>
    <w:p w:rsidR="00504D92" w:rsidRPr="007123BC" w:rsidRDefault="00504D92" w:rsidP="00504D92">
      <w:pPr>
        <w:pStyle w:val="a4"/>
        <w:spacing w:before="0" w:beforeAutospacing="0" w:after="0" w:afterAutospacing="0"/>
        <w:ind w:firstLine="709"/>
        <w:jc w:val="both"/>
        <w:rPr>
          <w:lang w:val="kk-KZ"/>
        </w:rPr>
      </w:pPr>
      <w:r w:rsidRPr="007123BC">
        <w:rPr>
          <w:b/>
          <w:i/>
          <w:lang w:val="kk-KZ"/>
        </w:rPr>
        <w:t>Түйін сөздер</w:t>
      </w:r>
      <w:r w:rsidRPr="007123BC">
        <w:rPr>
          <w:lang w:val="kk-KZ"/>
        </w:rPr>
        <w:t>: сақтандыру қызметі, сақтандыру операциялары, іс жүргізуге шығыстар.</w:t>
      </w:r>
    </w:p>
    <w:p w:rsidR="00611122" w:rsidRPr="007123BC" w:rsidRDefault="00611122" w:rsidP="005E7635">
      <w:pPr>
        <w:pStyle w:val="ConsNormal"/>
        <w:widowControl/>
        <w:ind w:firstLine="709"/>
        <w:jc w:val="both"/>
        <w:rPr>
          <w:rFonts w:ascii="Times New Roman" w:hAnsi="Times New Roman" w:cs="Times New Roman"/>
          <w:sz w:val="24"/>
          <w:szCs w:val="24"/>
          <w:lang w:val="kk-KZ"/>
        </w:rPr>
      </w:pPr>
    </w:p>
    <w:p w:rsidR="00504D92" w:rsidRPr="00C374B6" w:rsidRDefault="00504D92" w:rsidP="00C374B6">
      <w:pPr>
        <w:pStyle w:val="ConsNormal"/>
        <w:widowControl/>
        <w:ind w:firstLine="709"/>
        <w:jc w:val="center"/>
        <w:rPr>
          <w:rFonts w:ascii="Times New Roman" w:hAnsi="Times New Roman" w:cs="Times New Roman"/>
          <w:sz w:val="24"/>
          <w:szCs w:val="24"/>
        </w:rPr>
      </w:pPr>
      <w:r w:rsidRPr="007123BC">
        <w:rPr>
          <w:rFonts w:ascii="Times New Roman" w:hAnsi="Times New Roman" w:cs="Times New Roman"/>
          <w:sz w:val="24"/>
          <w:szCs w:val="24"/>
          <w:lang w:val="en-US"/>
        </w:rPr>
        <w:t>***</w:t>
      </w:r>
    </w:p>
    <w:p w:rsidR="001B7817" w:rsidRPr="007123BC" w:rsidRDefault="001B7817" w:rsidP="001B7817">
      <w:pPr>
        <w:pStyle w:val="a3"/>
        <w:jc w:val="center"/>
        <w:rPr>
          <w:rFonts w:ascii="Times New Roman" w:hAnsi="Times New Roman" w:cs="Times New Roman"/>
          <w:sz w:val="24"/>
          <w:szCs w:val="24"/>
          <w:lang w:val="en-US"/>
        </w:rPr>
      </w:pPr>
      <w:proofErr w:type="spellStart"/>
      <w:r w:rsidRPr="007123BC">
        <w:rPr>
          <w:rFonts w:ascii="Times New Roman" w:hAnsi="Times New Roman" w:cs="Times New Roman"/>
          <w:sz w:val="24"/>
          <w:szCs w:val="24"/>
          <w:lang w:val="en-US"/>
        </w:rPr>
        <w:t>O.U.Kogut</w:t>
      </w:r>
      <w:proofErr w:type="spellEnd"/>
    </w:p>
    <w:p w:rsidR="001B7817" w:rsidRPr="007123BC" w:rsidRDefault="001B7817" w:rsidP="00504D92">
      <w:pPr>
        <w:pStyle w:val="ConsNormal"/>
        <w:widowControl/>
        <w:ind w:firstLine="709"/>
        <w:jc w:val="center"/>
        <w:rPr>
          <w:rFonts w:ascii="Times New Roman" w:hAnsi="Times New Roman" w:cs="Times New Roman"/>
          <w:sz w:val="24"/>
          <w:szCs w:val="24"/>
          <w:lang w:val="en-US"/>
        </w:rPr>
      </w:pPr>
    </w:p>
    <w:p w:rsidR="00981579" w:rsidRPr="007123BC" w:rsidRDefault="00981579" w:rsidP="00981579">
      <w:pPr>
        <w:pStyle w:val="a3"/>
        <w:ind w:firstLine="708"/>
        <w:jc w:val="both"/>
        <w:rPr>
          <w:rFonts w:ascii="Times New Roman" w:hAnsi="Times New Roman" w:cs="Times New Roman"/>
          <w:sz w:val="24"/>
          <w:szCs w:val="24"/>
          <w:lang w:val="en-US"/>
        </w:rPr>
      </w:pPr>
      <w:proofErr w:type="gramStart"/>
      <w:r w:rsidRPr="007123BC">
        <w:rPr>
          <w:rFonts w:ascii="Times New Roman" w:hAnsi="Times New Roman" w:cs="Times New Roman"/>
          <w:b/>
          <w:color w:val="000000"/>
          <w:sz w:val="24"/>
          <w:szCs w:val="24"/>
          <w:shd w:val="clear" w:color="auto" w:fill="FFFFFF"/>
          <w:lang w:val="en-US"/>
        </w:rPr>
        <w:t>Annotation</w:t>
      </w:r>
      <w:r w:rsidRPr="007123BC">
        <w:rPr>
          <w:rFonts w:ascii="Times New Roman" w:hAnsi="Times New Roman" w:cs="Times New Roman"/>
          <w:b/>
          <w:sz w:val="24"/>
          <w:szCs w:val="24"/>
          <w:lang w:val="en-US"/>
        </w:rPr>
        <w:t>.</w:t>
      </w:r>
      <w:proofErr w:type="gramEnd"/>
      <w:r w:rsidRPr="007123BC">
        <w:rPr>
          <w:rFonts w:ascii="Times New Roman" w:hAnsi="Times New Roman" w:cs="Times New Roman"/>
          <w:sz w:val="24"/>
          <w:szCs w:val="24"/>
          <w:lang w:val="en-US"/>
        </w:rPr>
        <w:t xml:space="preserve"> The article discusses the features of cost accounting in insurance organizations, including: the cost of conducting insurance business, such as the cost of conclusion, management and execution of insurance contracts, coinsurance and reinsurance, administrative and management expenses and general expenses, other expenses.</w:t>
      </w:r>
    </w:p>
    <w:p w:rsidR="00981579" w:rsidRPr="007123BC" w:rsidRDefault="00981579" w:rsidP="00981579">
      <w:pPr>
        <w:pStyle w:val="a3"/>
        <w:ind w:firstLine="708"/>
        <w:jc w:val="both"/>
        <w:rPr>
          <w:rFonts w:ascii="Times New Roman" w:hAnsi="Times New Roman" w:cs="Times New Roman"/>
          <w:sz w:val="24"/>
          <w:szCs w:val="24"/>
          <w:lang w:val="en-US"/>
        </w:rPr>
      </w:pPr>
      <w:r w:rsidRPr="007123BC">
        <w:rPr>
          <w:rFonts w:ascii="Times New Roman" w:hAnsi="Times New Roman" w:cs="Times New Roman"/>
          <w:b/>
          <w:i/>
          <w:sz w:val="24"/>
          <w:szCs w:val="24"/>
          <w:lang w:val="en-US"/>
        </w:rPr>
        <w:t>Keywords</w:t>
      </w:r>
      <w:r w:rsidRPr="007123BC">
        <w:rPr>
          <w:rFonts w:ascii="Times New Roman" w:hAnsi="Times New Roman" w:cs="Times New Roman"/>
          <w:sz w:val="24"/>
          <w:szCs w:val="24"/>
          <w:lang w:val="en-US"/>
        </w:rPr>
        <w:t>: insurance, insurance operations, the cost of doing business.</w:t>
      </w:r>
    </w:p>
    <w:p w:rsidR="00981579" w:rsidRPr="00504D92" w:rsidRDefault="00981579" w:rsidP="00504D92">
      <w:pPr>
        <w:pStyle w:val="ConsNormal"/>
        <w:widowControl/>
        <w:ind w:firstLine="709"/>
        <w:jc w:val="center"/>
        <w:rPr>
          <w:rFonts w:ascii="Times New Roman" w:hAnsi="Times New Roman" w:cs="Times New Roman"/>
          <w:sz w:val="28"/>
          <w:szCs w:val="28"/>
          <w:lang w:val="en-US"/>
        </w:rPr>
      </w:pPr>
    </w:p>
    <w:sectPr w:rsidR="00981579" w:rsidRPr="00504D92" w:rsidSect="00153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B574F"/>
    <w:multiLevelType w:val="hybridMultilevel"/>
    <w:tmpl w:val="7DA6AEB6"/>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D6DA9"/>
    <w:multiLevelType w:val="hybridMultilevel"/>
    <w:tmpl w:val="0F800F6C"/>
    <w:lvl w:ilvl="0" w:tplc="AC5EFC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9A09CD"/>
    <w:multiLevelType w:val="hybridMultilevel"/>
    <w:tmpl w:val="59940572"/>
    <w:lvl w:ilvl="0" w:tplc="008E98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63180"/>
    <w:multiLevelType w:val="hybridMultilevel"/>
    <w:tmpl w:val="58A62A8C"/>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12244D"/>
    <w:multiLevelType w:val="hybridMultilevel"/>
    <w:tmpl w:val="C102E222"/>
    <w:lvl w:ilvl="0" w:tplc="008E98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E32F2F"/>
    <w:multiLevelType w:val="hybridMultilevel"/>
    <w:tmpl w:val="C31A39EE"/>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355F65"/>
    <w:multiLevelType w:val="hybridMultilevel"/>
    <w:tmpl w:val="E9061D16"/>
    <w:lvl w:ilvl="0" w:tplc="008E98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DB64F0"/>
    <w:multiLevelType w:val="hybridMultilevel"/>
    <w:tmpl w:val="2668D6B6"/>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B000C6"/>
    <w:multiLevelType w:val="hybridMultilevel"/>
    <w:tmpl w:val="A692D470"/>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FC3FC0"/>
    <w:multiLevelType w:val="hybridMultilevel"/>
    <w:tmpl w:val="ADEE34F2"/>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387818"/>
    <w:multiLevelType w:val="hybridMultilevel"/>
    <w:tmpl w:val="E66C7DEE"/>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D641D0"/>
    <w:multiLevelType w:val="hybridMultilevel"/>
    <w:tmpl w:val="BDAE5488"/>
    <w:lvl w:ilvl="0" w:tplc="4322D3E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9736D5"/>
    <w:multiLevelType w:val="hybridMultilevel"/>
    <w:tmpl w:val="76144A6C"/>
    <w:lvl w:ilvl="0" w:tplc="361AE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2"/>
  </w:num>
  <w:num w:numId="5">
    <w:abstractNumId w:val="6"/>
  </w:num>
  <w:num w:numId="6">
    <w:abstractNumId w:val="0"/>
  </w:num>
  <w:num w:numId="7">
    <w:abstractNumId w:val="2"/>
  </w:num>
  <w:num w:numId="8">
    <w:abstractNumId w:val="3"/>
  </w:num>
  <w:num w:numId="9">
    <w:abstractNumId w:val="8"/>
  </w:num>
  <w:num w:numId="10">
    <w:abstractNumId w:val="7"/>
  </w:num>
  <w:num w:numId="11">
    <w:abstractNumId w:val="10"/>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5E7635"/>
    <w:rsid w:val="00153CEB"/>
    <w:rsid w:val="001A4C61"/>
    <w:rsid w:val="001B7817"/>
    <w:rsid w:val="002D1791"/>
    <w:rsid w:val="0049106D"/>
    <w:rsid w:val="00504D92"/>
    <w:rsid w:val="00523793"/>
    <w:rsid w:val="005E7635"/>
    <w:rsid w:val="00611122"/>
    <w:rsid w:val="007123BC"/>
    <w:rsid w:val="007C0156"/>
    <w:rsid w:val="00877FA4"/>
    <w:rsid w:val="008D1771"/>
    <w:rsid w:val="00924605"/>
    <w:rsid w:val="00981579"/>
    <w:rsid w:val="00A342FB"/>
    <w:rsid w:val="00A82951"/>
    <w:rsid w:val="00B1399E"/>
    <w:rsid w:val="00C374B6"/>
    <w:rsid w:val="00D24DA6"/>
    <w:rsid w:val="00E477B5"/>
    <w:rsid w:val="00F005DF"/>
    <w:rsid w:val="00F41FD7"/>
    <w:rsid w:val="00F53AB2"/>
    <w:rsid w:val="00FB1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7635"/>
    <w:pPr>
      <w:spacing w:after="0" w:line="240" w:lineRule="auto"/>
    </w:pPr>
  </w:style>
  <w:style w:type="paragraph" w:styleId="a4">
    <w:name w:val="Normal (Web)"/>
    <w:basedOn w:val="a"/>
    <w:uiPriority w:val="99"/>
    <w:unhideWhenUsed/>
    <w:rsid w:val="005E763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E7635"/>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uiPriority w:val="59"/>
    <w:rsid w:val="005E76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5E76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5E763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5E7635"/>
    <w:pPr>
      <w:widowControl w:val="0"/>
      <w:autoSpaceDE w:val="0"/>
      <w:autoSpaceDN w:val="0"/>
      <w:adjustRightInd w:val="0"/>
      <w:spacing w:after="0" w:line="240" w:lineRule="auto"/>
    </w:pPr>
    <w:rPr>
      <w:rFonts w:ascii="Arial" w:eastAsia="Times New Roman" w:hAnsi="Arial" w:cs="Arial"/>
      <w:sz w:val="20"/>
      <w:szCs w:val="20"/>
    </w:rPr>
  </w:style>
  <w:style w:type="character" w:styleId="a7">
    <w:name w:val="Hyperlink"/>
    <w:basedOn w:val="a0"/>
    <w:uiPriority w:val="99"/>
    <w:unhideWhenUsed/>
    <w:rsid w:val="006111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37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gut.19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7853-4D6D-4E07-BE5E-566953D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Cogut</dc:creator>
  <cp:keywords/>
  <dc:description/>
  <cp:lastModifiedBy>Cogut</cp:lastModifiedBy>
  <cp:revision>16</cp:revision>
  <dcterms:created xsi:type="dcterms:W3CDTF">2013-02-01T08:50:00Z</dcterms:created>
  <dcterms:modified xsi:type="dcterms:W3CDTF">2013-02-08T08:16:00Z</dcterms:modified>
</cp:coreProperties>
</file>