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61" w:rsidRDefault="00B85E61" w:rsidP="003E027D">
      <w:pPr>
        <w:spacing w:after="0"/>
        <w:ind w:firstLine="567"/>
        <w:jc w:val="both"/>
        <w:rPr>
          <w:rFonts w:ascii="Times New Roman" w:hAnsi="Times New Roman" w:cs="Times New Roman"/>
          <w:b/>
          <w:sz w:val="28"/>
          <w:lang w:val="kk-KZ"/>
        </w:rPr>
      </w:pPr>
      <w:r>
        <w:rPr>
          <w:rFonts w:ascii="Times New Roman" w:hAnsi="Times New Roman" w:cs="Times New Roman"/>
          <w:b/>
          <w:sz w:val="28"/>
          <w:lang w:val="kk-KZ"/>
        </w:rPr>
        <w:t>Коммерциялық банктердің қаржы жағдайын талдау ерекшеліктері.</w:t>
      </w:r>
    </w:p>
    <w:p w:rsidR="00B85E61" w:rsidRPr="00B85E61" w:rsidRDefault="00B85E61" w:rsidP="003E027D">
      <w:pPr>
        <w:spacing w:after="0"/>
        <w:ind w:firstLine="567"/>
        <w:jc w:val="both"/>
        <w:rPr>
          <w:rFonts w:ascii="Times New Roman" w:hAnsi="Times New Roman" w:cs="Times New Roman"/>
          <w:b/>
          <w:sz w:val="28"/>
          <w:lang w:val="kk-KZ"/>
        </w:rPr>
      </w:pPr>
    </w:p>
    <w:p w:rsidR="00B85E61" w:rsidRPr="00B85E61" w:rsidRDefault="00B85E61" w:rsidP="00B85E61">
      <w:pPr>
        <w:spacing w:after="0" w:line="240" w:lineRule="auto"/>
        <w:ind w:firstLine="430"/>
        <w:jc w:val="right"/>
        <w:rPr>
          <w:rFonts w:ascii="Times New Roman" w:eastAsia="Calibri" w:hAnsi="Times New Roman" w:cs="Times New Roman"/>
          <w:bCs/>
          <w:lang w:val="kk-KZ"/>
        </w:rPr>
      </w:pPr>
      <w:r>
        <w:rPr>
          <w:rFonts w:ascii="Times New Roman" w:eastAsia="Calibri" w:hAnsi="Times New Roman" w:cs="Times New Roman"/>
          <w:bCs/>
          <w:lang w:val="kk-KZ"/>
        </w:rPr>
        <w:t>ә</w:t>
      </w:r>
      <w:r w:rsidRPr="00B85E61">
        <w:rPr>
          <w:rFonts w:ascii="Times New Roman" w:eastAsia="Calibri" w:hAnsi="Times New Roman" w:cs="Times New Roman"/>
          <w:bCs/>
          <w:lang w:val="kk-KZ"/>
        </w:rPr>
        <w:t>л-Фараби атындағы КазҰУ, ЭжБЖМ</w:t>
      </w:r>
    </w:p>
    <w:p w:rsidR="00B85E61" w:rsidRPr="00B85E61" w:rsidRDefault="00B85E61" w:rsidP="00B85E61">
      <w:pPr>
        <w:spacing w:after="0" w:line="240" w:lineRule="auto"/>
        <w:ind w:firstLine="430"/>
        <w:jc w:val="right"/>
        <w:rPr>
          <w:rFonts w:ascii="Times New Roman" w:eastAsia="Calibri" w:hAnsi="Times New Roman" w:cs="Times New Roman"/>
          <w:bCs/>
          <w:lang w:val="kk-KZ"/>
        </w:rPr>
      </w:pPr>
      <w:r w:rsidRPr="00B85E61">
        <w:rPr>
          <w:rFonts w:ascii="Times New Roman" w:eastAsia="Calibri" w:hAnsi="Times New Roman" w:cs="Times New Roman"/>
          <w:bCs/>
          <w:lang w:val="kk-KZ"/>
        </w:rPr>
        <w:t>Қаржы</w:t>
      </w:r>
      <w:r>
        <w:rPr>
          <w:rFonts w:ascii="Times New Roman" w:eastAsia="Calibri" w:hAnsi="Times New Roman" w:cs="Times New Roman"/>
          <w:bCs/>
          <w:lang w:val="kk-KZ"/>
        </w:rPr>
        <w:t>, 4</w:t>
      </w:r>
      <w:r w:rsidRPr="00B85E61">
        <w:rPr>
          <w:rFonts w:ascii="Times New Roman" w:eastAsia="Calibri" w:hAnsi="Times New Roman" w:cs="Times New Roman"/>
          <w:bCs/>
          <w:lang w:val="kk-KZ"/>
        </w:rPr>
        <w:t>-курс студенті</w:t>
      </w:r>
    </w:p>
    <w:p w:rsidR="00B85E61" w:rsidRPr="00B85E61" w:rsidRDefault="00B85E61" w:rsidP="00B85E61">
      <w:pPr>
        <w:spacing w:after="0" w:line="240" w:lineRule="auto"/>
        <w:ind w:firstLine="430"/>
        <w:jc w:val="right"/>
        <w:rPr>
          <w:rFonts w:ascii="Times New Roman" w:eastAsia="Calibri" w:hAnsi="Times New Roman" w:cs="Times New Roman"/>
          <w:bCs/>
          <w:lang w:val="kk-KZ"/>
        </w:rPr>
      </w:pPr>
      <w:r w:rsidRPr="00B85E61">
        <w:rPr>
          <w:rFonts w:ascii="Times New Roman" w:eastAsia="Calibri" w:hAnsi="Times New Roman" w:cs="Times New Roman"/>
          <w:bCs/>
          <w:lang w:val="kk-KZ"/>
        </w:rPr>
        <w:t>Каримова А.Т.</w:t>
      </w:r>
    </w:p>
    <w:p w:rsidR="00B85E61" w:rsidRDefault="00B85E61" w:rsidP="00B85E61">
      <w:pPr>
        <w:spacing w:after="0" w:line="240" w:lineRule="auto"/>
        <w:ind w:firstLine="430"/>
        <w:jc w:val="right"/>
        <w:rPr>
          <w:rFonts w:ascii="Times New Roman" w:eastAsia="Calibri" w:hAnsi="Times New Roman" w:cs="Times New Roman"/>
          <w:bCs/>
          <w:lang w:val="kk-KZ"/>
        </w:rPr>
      </w:pPr>
      <w:r w:rsidRPr="00B85E61">
        <w:rPr>
          <w:rFonts w:ascii="Times New Roman" w:eastAsia="Calibri" w:hAnsi="Times New Roman" w:cs="Times New Roman"/>
          <w:bCs/>
          <w:lang w:val="kk-KZ"/>
        </w:rPr>
        <w:t xml:space="preserve">Ғылыми жетекшісі: </w:t>
      </w:r>
      <w:r>
        <w:rPr>
          <w:rFonts w:ascii="Times New Roman" w:eastAsia="Calibri" w:hAnsi="Times New Roman" w:cs="Times New Roman"/>
          <w:bCs/>
          <w:lang w:val="kk-KZ"/>
        </w:rPr>
        <w:t>Жорабаева Ж.К.</w:t>
      </w:r>
    </w:p>
    <w:p w:rsidR="00B85E61" w:rsidRPr="00B85E61" w:rsidRDefault="00C47FB0" w:rsidP="00B85E61">
      <w:pPr>
        <w:spacing w:after="0" w:line="240" w:lineRule="auto"/>
        <w:ind w:firstLine="430"/>
        <w:jc w:val="right"/>
        <w:rPr>
          <w:rFonts w:ascii="Times New Roman" w:eastAsia="Calibri" w:hAnsi="Times New Roman" w:cs="Times New Roman"/>
          <w:bCs/>
          <w:lang w:val="kk-KZ"/>
        </w:rPr>
      </w:pPr>
      <w:r>
        <w:rPr>
          <w:rFonts w:ascii="Times New Roman" w:eastAsia="Calibri" w:hAnsi="Times New Roman" w:cs="Times New Roman"/>
          <w:bCs/>
          <w:lang w:val="kk-KZ"/>
        </w:rPr>
        <w:t>Қ</w:t>
      </w:r>
      <w:r w:rsidR="00B85E61">
        <w:rPr>
          <w:rFonts w:ascii="Times New Roman" w:eastAsia="Calibri" w:hAnsi="Times New Roman" w:cs="Times New Roman"/>
          <w:bCs/>
          <w:lang w:val="kk-KZ"/>
        </w:rPr>
        <w:t>аржы кафедрасының</w:t>
      </w:r>
    </w:p>
    <w:p w:rsidR="00B85E61" w:rsidRPr="00B85E61" w:rsidRDefault="00B85E61" w:rsidP="00B85E61">
      <w:pPr>
        <w:spacing w:after="0" w:line="240" w:lineRule="auto"/>
        <w:ind w:firstLine="430"/>
        <w:jc w:val="right"/>
        <w:rPr>
          <w:rFonts w:ascii="Times New Roman" w:eastAsia="Calibri" w:hAnsi="Times New Roman" w:cs="Times New Roman"/>
          <w:bCs/>
          <w:lang w:val="kk-KZ"/>
        </w:rPr>
      </w:pPr>
      <w:r>
        <w:rPr>
          <w:rFonts w:ascii="Times New Roman" w:eastAsia="Calibri" w:hAnsi="Times New Roman" w:cs="Times New Roman"/>
          <w:bCs/>
          <w:lang w:val="kk-KZ"/>
        </w:rPr>
        <w:t>а</w:t>
      </w:r>
      <w:r w:rsidRPr="00B85E61">
        <w:rPr>
          <w:rFonts w:ascii="Times New Roman" w:eastAsia="Calibri" w:hAnsi="Times New Roman" w:cs="Times New Roman"/>
          <w:bCs/>
          <w:lang w:val="kk-KZ"/>
        </w:rPr>
        <w:t>ға оқытушы</w:t>
      </w:r>
      <w:r>
        <w:rPr>
          <w:rFonts w:ascii="Times New Roman" w:eastAsia="Calibri" w:hAnsi="Times New Roman" w:cs="Times New Roman"/>
          <w:bCs/>
          <w:lang w:val="kk-KZ"/>
        </w:rPr>
        <w:t>сы, э.ғ.к.</w:t>
      </w:r>
    </w:p>
    <w:p w:rsidR="00B85E61" w:rsidRDefault="00B85E61" w:rsidP="003E027D">
      <w:pPr>
        <w:spacing w:after="0"/>
        <w:ind w:firstLine="567"/>
        <w:jc w:val="both"/>
        <w:rPr>
          <w:rFonts w:ascii="Times New Roman" w:hAnsi="Times New Roman" w:cs="Times New Roman"/>
          <w:sz w:val="24"/>
          <w:lang w:val="kk-KZ"/>
        </w:rPr>
      </w:pPr>
      <w:bookmarkStart w:id="0" w:name="_GoBack"/>
      <w:bookmarkEnd w:id="0"/>
    </w:p>
    <w:p w:rsidR="003E027D" w:rsidRDefault="003E027D" w:rsidP="003E027D">
      <w:pPr>
        <w:spacing w:after="0"/>
        <w:ind w:firstLine="567"/>
        <w:jc w:val="both"/>
        <w:rPr>
          <w:rFonts w:ascii="Times New Roman" w:hAnsi="Times New Roman" w:cs="Times New Roman"/>
          <w:sz w:val="24"/>
          <w:lang w:val="kk-KZ"/>
        </w:rPr>
      </w:pPr>
      <w:r w:rsidRPr="003E027D">
        <w:rPr>
          <w:rFonts w:ascii="Times New Roman" w:hAnsi="Times New Roman" w:cs="Times New Roman"/>
          <w:sz w:val="24"/>
          <w:lang w:val="kk-KZ"/>
        </w:rPr>
        <w:t>Коммерциялық банктің қаржылық қызметіне талдау нәтижесі, жұмыс бағыты үшін ең бір маңызды болып табылады. Осының</w:t>
      </w:r>
      <w:r>
        <w:rPr>
          <w:rFonts w:ascii="Times New Roman" w:hAnsi="Times New Roman" w:cs="Times New Roman"/>
          <w:sz w:val="24"/>
          <w:lang w:val="kk-KZ"/>
        </w:rPr>
        <w:t xml:space="preserve"> көм</w:t>
      </w:r>
      <w:r w:rsidRPr="003E027D">
        <w:rPr>
          <w:rFonts w:ascii="Times New Roman" w:hAnsi="Times New Roman" w:cs="Times New Roman"/>
          <w:sz w:val="24"/>
          <w:lang w:val="kk-KZ"/>
        </w:rPr>
        <w:t>егімен мемлекеттік реттеу мен банк қызметін банк ішіндегі талдау мақсатымен қадағалау элементтерін байланыстыру болып табылады.</w:t>
      </w:r>
      <w:r>
        <w:rPr>
          <w:rFonts w:ascii="Times New Roman" w:hAnsi="Times New Roman" w:cs="Times New Roman"/>
          <w:sz w:val="24"/>
          <w:lang w:val="kk-KZ"/>
        </w:rPr>
        <w:t xml:space="preserve"> </w:t>
      </w:r>
      <w:r w:rsidRPr="003E027D">
        <w:rPr>
          <w:rFonts w:ascii="Times New Roman" w:hAnsi="Times New Roman" w:cs="Times New Roman"/>
          <w:sz w:val="24"/>
          <w:lang w:val="kk-KZ"/>
        </w:rPr>
        <w:t>Қаржылық нәтижені талдау – белгіленген нормативтердің орындалуын ғана емес,</w:t>
      </w:r>
      <w:r>
        <w:rPr>
          <w:rFonts w:ascii="Times New Roman" w:hAnsi="Times New Roman" w:cs="Times New Roman"/>
          <w:sz w:val="24"/>
          <w:lang w:val="kk-KZ"/>
        </w:rPr>
        <w:t xml:space="preserve"> </w:t>
      </w:r>
      <w:r w:rsidRPr="003E027D">
        <w:rPr>
          <w:rFonts w:ascii="Times New Roman" w:hAnsi="Times New Roman" w:cs="Times New Roman"/>
          <w:sz w:val="24"/>
          <w:lang w:val="kk-KZ"/>
        </w:rPr>
        <w:t>қаржылық тұрақтылығын оның аспектілерін бөлек есебі арқылы бақылап отырады</w:t>
      </w:r>
      <w:r>
        <w:rPr>
          <w:rFonts w:ascii="Times New Roman" w:hAnsi="Times New Roman" w:cs="Times New Roman"/>
          <w:sz w:val="24"/>
          <w:lang w:val="kk-KZ"/>
        </w:rPr>
        <w:t>.</w:t>
      </w:r>
    </w:p>
    <w:p w:rsidR="003E027D" w:rsidRPr="003E027D" w:rsidRDefault="003E027D" w:rsidP="003E027D">
      <w:pPr>
        <w:spacing w:after="0"/>
        <w:ind w:firstLine="567"/>
        <w:jc w:val="both"/>
        <w:rPr>
          <w:rFonts w:ascii="Times New Roman" w:hAnsi="Times New Roman" w:cs="Times New Roman"/>
          <w:sz w:val="24"/>
          <w:lang w:val="kk-KZ"/>
        </w:rPr>
      </w:pPr>
      <w:r w:rsidRPr="003E027D">
        <w:rPr>
          <w:rFonts w:ascii="Times New Roman" w:hAnsi="Times New Roman" w:cs="Times New Roman"/>
          <w:sz w:val="24"/>
          <w:lang w:val="kk-KZ"/>
        </w:rPr>
        <w:t>Коммерциялық банктің қаржылық қызметін талдауда технологиялар тұжырымдамасын құруды суреттеу және оның бөлек аспектілерін, қалыптастырылған мәселені ашу болып табылады.</w:t>
      </w:r>
      <w:r>
        <w:rPr>
          <w:rFonts w:ascii="Times New Roman" w:hAnsi="Times New Roman" w:cs="Times New Roman"/>
          <w:sz w:val="24"/>
          <w:lang w:val="kk-KZ"/>
        </w:rPr>
        <w:t xml:space="preserve"> </w:t>
      </w:r>
      <w:r w:rsidRPr="003E027D">
        <w:rPr>
          <w:rFonts w:ascii="Times New Roman" w:hAnsi="Times New Roman" w:cs="Times New Roman"/>
          <w:sz w:val="24"/>
          <w:lang w:val="kk-KZ"/>
        </w:rPr>
        <w:t>Бұл деңгей банктің қаржылық нәтижесін анықтауға, оған әсер ететін факторларды белгілеуге және банк қызметінің басқару тиімділігін пайда алып келуіне көмектеседі.</w:t>
      </w:r>
    </w:p>
    <w:p w:rsidR="00545FFC" w:rsidRDefault="00511710" w:rsidP="00545FFC">
      <w:pPr>
        <w:spacing w:after="0"/>
        <w:ind w:firstLine="567"/>
        <w:jc w:val="both"/>
        <w:rPr>
          <w:rFonts w:ascii="Times New Roman" w:hAnsi="Times New Roman" w:cs="Times New Roman"/>
          <w:sz w:val="24"/>
          <w:lang w:val="kk-KZ"/>
        </w:rPr>
      </w:pPr>
      <w:r>
        <w:rPr>
          <w:rFonts w:ascii="Times New Roman" w:hAnsi="Times New Roman" w:cs="Times New Roman"/>
          <w:sz w:val="24"/>
          <w:lang w:val="kk-KZ"/>
        </w:rPr>
        <w:t>2015</w:t>
      </w:r>
      <w:r w:rsidR="00545FFC" w:rsidRPr="0039559E">
        <w:rPr>
          <w:rFonts w:ascii="Times New Roman" w:hAnsi="Times New Roman" w:cs="Times New Roman"/>
          <w:sz w:val="24"/>
          <w:lang w:val="kk-KZ"/>
        </w:rPr>
        <w:t xml:space="preserve"> жылдың нәтижесі бойынша</w:t>
      </w:r>
      <w:r w:rsidR="00570BDE">
        <w:rPr>
          <w:rFonts w:ascii="Times New Roman" w:hAnsi="Times New Roman" w:cs="Times New Roman"/>
          <w:sz w:val="24"/>
          <w:lang w:val="kk-KZ"/>
        </w:rPr>
        <w:t xml:space="preserve">, екі мега келісім жасалды – БТА Банк пен Казкоммерцбанктің қосылуы, сонымен қоса </w:t>
      </w:r>
      <w:r w:rsidR="00570BDE" w:rsidRPr="00570BDE">
        <w:rPr>
          <w:rFonts w:ascii="Georgia" w:hAnsi="Georgia"/>
          <w:color w:val="000000"/>
          <w:sz w:val="23"/>
          <w:szCs w:val="23"/>
          <w:shd w:val="clear" w:color="auto" w:fill="FFFFFF"/>
          <w:lang w:val="kk-KZ"/>
        </w:rPr>
        <w:t>ForteBank</w:t>
      </w:r>
      <w:r w:rsidR="00570BDE">
        <w:rPr>
          <w:rFonts w:ascii="Georgia" w:hAnsi="Georgia"/>
          <w:color w:val="000000"/>
          <w:sz w:val="23"/>
          <w:szCs w:val="23"/>
          <w:shd w:val="clear" w:color="auto" w:fill="FFFFFF"/>
          <w:lang w:val="kk-KZ"/>
        </w:rPr>
        <w:t>, Темірбанк ж</w:t>
      </w:r>
      <w:r w:rsidR="00570BDE">
        <w:rPr>
          <w:rFonts w:ascii="Times New Roman" w:hAnsi="Times New Roman" w:cs="Times New Roman"/>
          <w:color w:val="000000"/>
          <w:sz w:val="23"/>
          <w:szCs w:val="23"/>
          <w:shd w:val="clear" w:color="auto" w:fill="FFFFFF"/>
          <w:lang w:val="kk-KZ"/>
        </w:rPr>
        <w:t>әне</w:t>
      </w:r>
      <w:r w:rsidR="00570BDE" w:rsidRPr="00570BDE">
        <w:rPr>
          <w:rFonts w:ascii="Georgia" w:hAnsi="Georgia"/>
          <w:color w:val="000000"/>
          <w:sz w:val="23"/>
          <w:szCs w:val="23"/>
          <w:shd w:val="clear" w:color="auto" w:fill="FFFFFF"/>
          <w:lang w:val="kk-KZ"/>
        </w:rPr>
        <w:t> </w:t>
      </w:r>
      <w:r w:rsidR="00545FFC" w:rsidRPr="0039559E">
        <w:rPr>
          <w:rFonts w:ascii="Times New Roman" w:hAnsi="Times New Roman" w:cs="Times New Roman"/>
          <w:sz w:val="24"/>
          <w:lang w:val="kk-KZ"/>
        </w:rPr>
        <w:t xml:space="preserve"> </w:t>
      </w:r>
      <w:r w:rsidR="00570BDE" w:rsidRPr="00570BDE">
        <w:rPr>
          <w:rFonts w:ascii="Georgia" w:hAnsi="Georgia"/>
          <w:color w:val="000000"/>
          <w:sz w:val="23"/>
          <w:szCs w:val="23"/>
          <w:shd w:val="clear" w:color="auto" w:fill="FFFFFF"/>
          <w:lang w:val="kk-KZ"/>
        </w:rPr>
        <w:t>Альянс Банк</w:t>
      </w:r>
      <w:r w:rsidR="00570BDE">
        <w:rPr>
          <w:rFonts w:ascii="Georgia" w:hAnsi="Georgia"/>
          <w:color w:val="000000"/>
          <w:sz w:val="23"/>
          <w:szCs w:val="23"/>
          <w:shd w:val="clear" w:color="auto" w:fill="FFFFFF"/>
          <w:lang w:val="kk-KZ"/>
        </w:rPr>
        <w:t>ті</w:t>
      </w:r>
      <w:r w:rsidR="00570BDE">
        <w:rPr>
          <w:rFonts w:ascii="Times New Roman" w:hAnsi="Times New Roman" w:cs="Times New Roman"/>
          <w:color w:val="000000"/>
          <w:sz w:val="23"/>
          <w:szCs w:val="23"/>
          <w:shd w:val="clear" w:color="auto" w:fill="FFFFFF"/>
          <w:lang w:val="kk-KZ"/>
        </w:rPr>
        <w:t>ң бірігуі нәтижесінде</w:t>
      </w:r>
      <w:r w:rsidR="00570BDE" w:rsidRPr="00570BDE">
        <w:rPr>
          <w:rFonts w:ascii="Georgia" w:hAnsi="Georgia"/>
          <w:color w:val="000000"/>
          <w:sz w:val="23"/>
          <w:szCs w:val="23"/>
          <w:shd w:val="clear" w:color="auto" w:fill="FFFFFF"/>
          <w:lang w:val="kk-KZ"/>
        </w:rPr>
        <w:t xml:space="preserve"> </w:t>
      </w:r>
      <w:r w:rsidR="00545FFC" w:rsidRPr="0039559E">
        <w:rPr>
          <w:rFonts w:ascii="Times New Roman" w:hAnsi="Times New Roman" w:cs="Times New Roman"/>
          <w:sz w:val="24"/>
          <w:lang w:val="kk-KZ"/>
        </w:rPr>
        <w:t>Қазақста</w:t>
      </w:r>
      <w:r w:rsidR="00570BDE">
        <w:rPr>
          <w:rFonts w:ascii="Times New Roman" w:hAnsi="Times New Roman" w:cs="Times New Roman"/>
          <w:sz w:val="24"/>
          <w:lang w:val="kk-KZ"/>
        </w:rPr>
        <w:t>н Республикасының екінші деңгейлі банктер саны санын 35-ге</w:t>
      </w:r>
      <w:r w:rsidR="00545FFC" w:rsidRPr="0039559E">
        <w:rPr>
          <w:rFonts w:ascii="Times New Roman" w:hAnsi="Times New Roman" w:cs="Times New Roman"/>
          <w:sz w:val="24"/>
          <w:lang w:val="kk-KZ"/>
        </w:rPr>
        <w:t xml:space="preserve"> </w:t>
      </w:r>
      <w:r w:rsidR="00570BDE">
        <w:rPr>
          <w:rFonts w:ascii="Times New Roman" w:hAnsi="Times New Roman" w:cs="Times New Roman"/>
          <w:sz w:val="24"/>
          <w:lang w:val="kk-KZ"/>
        </w:rPr>
        <w:t>қысқарды. Оның</w:t>
      </w:r>
      <w:r w:rsidR="00545FFC" w:rsidRPr="0039559E">
        <w:rPr>
          <w:rFonts w:ascii="Times New Roman" w:hAnsi="Times New Roman" w:cs="Times New Roman"/>
          <w:sz w:val="24"/>
          <w:lang w:val="kk-KZ"/>
        </w:rPr>
        <w:t xml:space="preserve"> ішінде: жарғылық қорындағы 100 %-дық мемлекеттік қатысуы бар банк – 1; шетелдік қатысуымен қызмет ететін банктер – 17; енші</w:t>
      </w:r>
      <w:r w:rsidR="00570BDE">
        <w:rPr>
          <w:rFonts w:ascii="Times New Roman" w:hAnsi="Times New Roman" w:cs="Times New Roman"/>
          <w:sz w:val="24"/>
          <w:lang w:val="kk-KZ"/>
        </w:rPr>
        <w:t>лес екінші деңгейлі банктер – 17. Оның ішінде 35</w:t>
      </w:r>
      <w:r w:rsidR="00545FFC" w:rsidRPr="0039559E">
        <w:rPr>
          <w:rFonts w:ascii="Times New Roman" w:hAnsi="Times New Roman" w:cs="Times New Roman"/>
          <w:sz w:val="24"/>
          <w:lang w:val="kk-KZ"/>
        </w:rPr>
        <w:t xml:space="preserve"> банктің өз филиалдық желілері бар, мұндағы жалпы филиалдарының саны 378 құрап отыр.</w:t>
      </w:r>
    </w:p>
    <w:p w:rsidR="003E027D" w:rsidRPr="003E027D" w:rsidRDefault="003E027D" w:rsidP="003E027D">
      <w:pPr>
        <w:spacing w:after="0"/>
        <w:ind w:firstLine="567"/>
        <w:jc w:val="both"/>
        <w:rPr>
          <w:rFonts w:ascii="Times New Roman" w:hAnsi="Times New Roman" w:cs="Times New Roman"/>
          <w:sz w:val="24"/>
          <w:lang w:val="kk-KZ"/>
        </w:rPr>
      </w:pPr>
      <w:r w:rsidRPr="003E027D">
        <w:rPr>
          <w:rFonts w:ascii="Times New Roman" w:hAnsi="Times New Roman" w:cs="Times New Roman"/>
          <w:sz w:val="24"/>
          <w:lang w:val="kk-KZ"/>
        </w:rPr>
        <w:t>Қаржылық нәтижелерді талдау мақсатында – банктің пайдалы қызметінің резервтер өсімі, сонымен қатар дағдарысқа ұшырауына дейін мәселелердің туындауына алып келуі және банктің келешек жұмысында осы ұсынылған негізі ретінде қалыптастыру.</w:t>
      </w:r>
    </w:p>
    <w:p w:rsidR="003E027D" w:rsidRPr="003E027D" w:rsidRDefault="003E027D" w:rsidP="003E027D">
      <w:pPr>
        <w:spacing w:after="0"/>
        <w:ind w:firstLine="567"/>
        <w:jc w:val="both"/>
        <w:rPr>
          <w:rFonts w:ascii="Times New Roman" w:hAnsi="Times New Roman" w:cs="Times New Roman"/>
          <w:sz w:val="24"/>
          <w:lang w:val="kk-KZ"/>
        </w:rPr>
      </w:pPr>
      <w:r w:rsidRPr="003E027D">
        <w:rPr>
          <w:rFonts w:ascii="Times New Roman" w:hAnsi="Times New Roman" w:cs="Times New Roman"/>
          <w:sz w:val="24"/>
          <w:lang w:val="kk-KZ"/>
        </w:rPr>
        <w:t>Банк стратегиясы келесі принциптерін қалыптастыруы керек:</w:t>
      </w:r>
    </w:p>
    <w:p w:rsidR="003E027D" w:rsidRPr="003E027D" w:rsidRDefault="003E027D" w:rsidP="003E027D">
      <w:pPr>
        <w:numPr>
          <w:ilvl w:val="0"/>
          <w:numId w:val="43"/>
        </w:numPr>
        <w:spacing w:after="0"/>
        <w:jc w:val="both"/>
        <w:rPr>
          <w:rFonts w:ascii="Times New Roman" w:hAnsi="Times New Roman" w:cs="Times New Roman"/>
          <w:sz w:val="24"/>
          <w:lang w:val="kk-KZ"/>
        </w:rPr>
      </w:pPr>
      <w:r w:rsidRPr="003E027D">
        <w:rPr>
          <w:rFonts w:ascii="Times New Roman" w:hAnsi="Times New Roman" w:cs="Times New Roman"/>
          <w:sz w:val="24"/>
          <w:lang w:val="kk-KZ"/>
        </w:rPr>
        <w:t>капиталдарды барынша төмен бағамен сатып алу;</w:t>
      </w:r>
    </w:p>
    <w:p w:rsidR="003E027D" w:rsidRPr="003E027D" w:rsidRDefault="003E027D" w:rsidP="003E027D">
      <w:pPr>
        <w:numPr>
          <w:ilvl w:val="0"/>
          <w:numId w:val="43"/>
        </w:numPr>
        <w:spacing w:after="0"/>
        <w:jc w:val="both"/>
        <w:rPr>
          <w:rFonts w:ascii="Times New Roman" w:hAnsi="Times New Roman" w:cs="Times New Roman"/>
          <w:sz w:val="24"/>
          <w:lang w:val="kk-KZ"/>
        </w:rPr>
      </w:pPr>
      <w:r w:rsidRPr="003E027D">
        <w:rPr>
          <w:rFonts w:ascii="Times New Roman" w:hAnsi="Times New Roman" w:cs="Times New Roman"/>
          <w:sz w:val="24"/>
          <w:lang w:val="kk-KZ"/>
        </w:rPr>
        <w:t>капиталды сату және тиімділік тұрақтылығының қызметі;</w:t>
      </w:r>
    </w:p>
    <w:p w:rsidR="003E027D" w:rsidRDefault="003E027D" w:rsidP="003E027D">
      <w:pPr>
        <w:numPr>
          <w:ilvl w:val="0"/>
          <w:numId w:val="43"/>
        </w:numPr>
        <w:spacing w:after="0"/>
        <w:jc w:val="both"/>
        <w:rPr>
          <w:rFonts w:ascii="Times New Roman" w:hAnsi="Times New Roman" w:cs="Times New Roman"/>
          <w:sz w:val="24"/>
          <w:lang w:val="kk-KZ"/>
        </w:rPr>
      </w:pPr>
      <w:r w:rsidRPr="003E027D">
        <w:rPr>
          <w:rFonts w:ascii="Times New Roman" w:hAnsi="Times New Roman" w:cs="Times New Roman"/>
          <w:sz w:val="24"/>
          <w:lang w:val="kk-KZ"/>
        </w:rPr>
        <w:t>банктік тәуекелдердің төмендеуі, сенімді клиенттерді іріктеу жолымен айырылуы және кепіл алуы, әртараптандыру операциясы.</w:t>
      </w:r>
    </w:p>
    <w:p w:rsidR="00545FFC" w:rsidRPr="0039559E" w:rsidRDefault="00C84CF1" w:rsidP="00545FFC">
      <w:pPr>
        <w:spacing w:after="0"/>
        <w:ind w:firstLine="567"/>
        <w:jc w:val="both"/>
        <w:rPr>
          <w:rFonts w:ascii="Times New Roman" w:hAnsi="Times New Roman" w:cs="Times New Roman"/>
          <w:sz w:val="24"/>
          <w:lang w:val="kk-KZ"/>
        </w:rPr>
      </w:pPr>
      <w:r>
        <w:rPr>
          <w:rFonts w:ascii="Times New Roman" w:hAnsi="Times New Roman" w:cs="Times New Roman"/>
          <w:sz w:val="24"/>
          <w:lang w:val="kk-KZ"/>
        </w:rPr>
        <w:t>Соңғы үш</w:t>
      </w:r>
      <w:r w:rsidR="00545FFC" w:rsidRPr="0039559E">
        <w:rPr>
          <w:rFonts w:ascii="Times New Roman" w:hAnsi="Times New Roman" w:cs="Times New Roman"/>
          <w:sz w:val="24"/>
          <w:lang w:val="kk-KZ"/>
        </w:rPr>
        <w:t xml:space="preserve"> жыл ішіндегі Қа</w:t>
      </w:r>
      <w:r w:rsidR="00B85E61">
        <w:rPr>
          <w:rFonts w:ascii="Times New Roman" w:hAnsi="Times New Roman" w:cs="Times New Roman"/>
          <w:sz w:val="24"/>
          <w:lang w:val="kk-KZ"/>
        </w:rPr>
        <w:t>зақстан Республикасы банк сектор</w:t>
      </w:r>
      <w:r w:rsidR="00545FFC" w:rsidRPr="0039559E">
        <w:rPr>
          <w:rFonts w:ascii="Times New Roman" w:hAnsi="Times New Roman" w:cs="Times New Roman"/>
          <w:sz w:val="24"/>
          <w:lang w:val="kk-KZ"/>
        </w:rPr>
        <w:t xml:space="preserve">ының жиынтық активтерінің жалпы көрсеткіштерін келесі кестеден </w:t>
      </w:r>
      <w:r w:rsidR="00B85E61">
        <w:rPr>
          <w:rFonts w:ascii="Times New Roman" w:hAnsi="Times New Roman" w:cs="Times New Roman"/>
          <w:sz w:val="24"/>
          <w:lang w:val="kk-KZ"/>
        </w:rPr>
        <w:t>көруге болады (кесте 1</w:t>
      </w:r>
      <w:r w:rsidR="00545FFC" w:rsidRPr="0039559E">
        <w:rPr>
          <w:rFonts w:ascii="Times New Roman" w:hAnsi="Times New Roman" w:cs="Times New Roman"/>
          <w:sz w:val="24"/>
          <w:lang w:val="kk-KZ"/>
        </w:rPr>
        <w:t>).</w:t>
      </w:r>
    </w:p>
    <w:p w:rsidR="00545FFC" w:rsidRPr="0039559E" w:rsidRDefault="00545FFC" w:rsidP="00545FFC">
      <w:pPr>
        <w:spacing w:after="0"/>
        <w:ind w:firstLine="567"/>
        <w:jc w:val="both"/>
        <w:rPr>
          <w:rFonts w:ascii="Times New Roman" w:hAnsi="Times New Roman" w:cs="Times New Roman"/>
          <w:sz w:val="24"/>
          <w:lang w:val="kk-KZ"/>
        </w:rPr>
      </w:pPr>
      <w:r w:rsidRPr="0039559E">
        <w:rPr>
          <w:rFonts w:ascii="Times New Roman" w:hAnsi="Times New Roman" w:cs="Times New Roman"/>
          <w:sz w:val="24"/>
          <w:lang w:val="kk-KZ"/>
        </w:rPr>
        <w:t>Кестеден көріп тұрғандай, 2014 жылдың басында екінші деңгейлі банктердің активтері 20659,0 млрд. теңге құрады, яғни 2013 жылдың басымен салыстырғанда 2676,9 млрд. теңгеге немесе 14,9%-ға өсіп отыр. Оның ішінде: ҚР екінші деңгейдегі банктерінің қолма-қол ақшалар мен корреспонденттік шоттардағы ақшалардың 474,3 млрд. теңгеге немесе 32,1%-ға, банктік қарыздар мен «кері РЕПО» операцияларының 1 723,9 млрд. теңгеге немесе 14,8%-ға, өзге активтердің 482,0 млн. теңгеге немесе 22,5%-ға ұлғаюы есебінен 1 581,8 млрд. теңгеге немесе 11,4%-ға ұлғайып, 2014 жылғы 1 қаңтардағы жағдай бойынша 15 461,7 млрд. теңге болды.</w:t>
      </w:r>
    </w:p>
    <w:p w:rsidR="00545FFC" w:rsidRPr="0039559E" w:rsidRDefault="00B85E61" w:rsidP="007C0843">
      <w:pPr>
        <w:spacing w:after="0"/>
        <w:ind w:firstLine="567"/>
        <w:jc w:val="both"/>
        <w:rPr>
          <w:rFonts w:ascii="Times New Roman" w:hAnsi="Times New Roman" w:cs="Times New Roman"/>
          <w:sz w:val="24"/>
          <w:lang w:val="kk-KZ"/>
        </w:rPr>
      </w:pPr>
      <w:r>
        <w:rPr>
          <w:rFonts w:ascii="Times New Roman" w:hAnsi="Times New Roman" w:cs="Times New Roman"/>
          <w:sz w:val="24"/>
          <w:lang w:val="kk-KZ"/>
        </w:rPr>
        <w:t>Кесте 1</w:t>
      </w:r>
      <w:r w:rsidR="007C0843" w:rsidRPr="0039559E">
        <w:rPr>
          <w:rFonts w:ascii="Times New Roman" w:hAnsi="Times New Roman" w:cs="Times New Roman"/>
          <w:sz w:val="24"/>
          <w:lang w:val="kk-KZ"/>
        </w:rPr>
        <w:t xml:space="preserve">. </w:t>
      </w:r>
      <w:r w:rsidR="00545FFC" w:rsidRPr="0039559E">
        <w:rPr>
          <w:rFonts w:ascii="Times New Roman" w:hAnsi="Times New Roman" w:cs="Times New Roman"/>
          <w:sz w:val="24"/>
          <w:lang w:val="kk-KZ"/>
        </w:rPr>
        <w:t>Қазақстан Республикасы банк секторының жиынтық активтерінің құрылымы</w:t>
      </w:r>
    </w:p>
    <w:tbl>
      <w:tblPr>
        <w:tblW w:w="9427" w:type="dxa"/>
        <w:jc w:val="center"/>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996"/>
        <w:gridCol w:w="956"/>
        <w:gridCol w:w="1309"/>
        <w:gridCol w:w="984"/>
        <w:gridCol w:w="868"/>
      </w:tblGrid>
      <w:tr w:rsidR="00545FFC" w:rsidRPr="0039559E" w:rsidTr="00317556">
        <w:trPr>
          <w:trHeight w:val="279"/>
          <w:jc w:val="center"/>
        </w:trPr>
        <w:tc>
          <w:tcPr>
            <w:tcW w:w="4314" w:type="dxa"/>
            <w:vMerge w:val="restart"/>
            <w:vAlign w:val="center"/>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lastRenderedPageBreak/>
              <w:t>Көрсеткіштер</w:t>
            </w:r>
          </w:p>
        </w:tc>
        <w:tc>
          <w:tcPr>
            <w:tcW w:w="1952" w:type="dxa"/>
            <w:gridSpan w:val="2"/>
            <w:vAlign w:val="center"/>
          </w:tcPr>
          <w:p w:rsidR="00545FFC" w:rsidRPr="0039559E" w:rsidRDefault="00B85E61" w:rsidP="007C0843">
            <w:pPr>
              <w:spacing w:after="0"/>
              <w:jc w:val="both"/>
              <w:rPr>
                <w:rFonts w:ascii="Times New Roman" w:hAnsi="Times New Roman" w:cs="Times New Roman"/>
                <w:sz w:val="24"/>
                <w:lang w:val="kk-KZ"/>
              </w:rPr>
            </w:pPr>
            <w:r>
              <w:rPr>
                <w:rFonts w:ascii="Times New Roman" w:hAnsi="Times New Roman" w:cs="Times New Roman"/>
                <w:sz w:val="24"/>
                <w:lang w:val="kk-KZ"/>
              </w:rPr>
              <w:t>2013</w:t>
            </w:r>
            <w:r w:rsidR="00545FFC" w:rsidRPr="0039559E">
              <w:rPr>
                <w:rFonts w:ascii="Times New Roman" w:hAnsi="Times New Roman" w:cs="Times New Roman"/>
                <w:sz w:val="24"/>
                <w:lang w:val="kk-KZ"/>
              </w:rPr>
              <w:t xml:space="preserve"> жыл</w:t>
            </w:r>
          </w:p>
        </w:tc>
        <w:tc>
          <w:tcPr>
            <w:tcW w:w="2293" w:type="dxa"/>
            <w:gridSpan w:val="2"/>
            <w:vAlign w:val="center"/>
          </w:tcPr>
          <w:p w:rsidR="00545FFC" w:rsidRPr="0039559E" w:rsidRDefault="00B85E61" w:rsidP="007C0843">
            <w:pPr>
              <w:spacing w:after="0"/>
              <w:jc w:val="both"/>
              <w:rPr>
                <w:rFonts w:ascii="Times New Roman" w:hAnsi="Times New Roman" w:cs="Times New Roman"/>
                <w:sz w:val="24"/>
                <w:lang w:val="kk-KZ"/>
              </w:rPr>
            </w:pPr>
            <w:r>
              <w:rPr>
                <w:rFonts w:ascii="Times New Roman" w:hAnsi="Times New Roman" w:cs="Times New Roman"/>
                <w:sz w:val="24"/>
                <w:lang w:val="kk-KZ"/>
              </w:rPr>
              <w:t>2014</w:t>
            </w:r>
            <w:r w:rsidR="00545FFC" w:rsidRPr="0039559E">
              <w:rPr>
                <w:rFonts w:ascii="Times New Roman" w:hAnsi="Times New Roman" w:cs="Times New Roman"/>
                <w:sz w:val="24"/>
                <w:lang w:val="kk-KZ"/>
              </w:rPr>
              <w:t xml:space="preserve"> жыл</w:t>
            </w:r>
          </w:p>
        </w:tc>
        <w:tc>
          <w:tcPr>
            <w:tcW w:w="868" w:type="dxa"/>
            <w:vMerge w:val="restart"/>
            <w:vAlign w:val="center"/>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Өсімі,</w:t>
            </w:r>
          </w:p>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w:t>
            </w:r>
          </w:p>
        </w:tc>
      </w:tr>
      <w:tr w:rsidR="00545FFC" w:rsidRPr="0039559E" w:rsidTr="00317556">
        <w:trPr>
          <w:trHeight w:val="267"/>
          <w:jc w:val="center"/>
        </w:trPr>
        <w:tc>
          <w:tcPr>
            <w:tcW w:w="4314" w:type="dxa"/>
            <w:vMerge/>
          </w:tcPr>
          <w:p w:rsidR="00545FFC" w:rsidRPr="0039559E" w:rsidRDefault="00545FFC" w:rsidP="007C0843">
            <w:pPr>
              <w:spacing w:after="0"/>
              <w:jc w:val="both"/>
              <w:rPr>
                <w:rFonts w:ascii="Times New Roman" w:hAnsi="Times New Roman" w:cs="Times New Roman"/>
                <w:sz w:val="24"/>
                <w:lang w:val="kk-KZ"/>
              </w:rPr>
            </w:pPr>
          </w:p>
        </w:tc>
        <w:tc>
          <w:tcPr>
            <w:tcW w:w="996"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млрд. теңге</w:t>
            </w:r>
          </w:p>
        </w:tc>
        <w:tc>
          <w:tcPr>
            <w:tcW w:w="956"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w:t>
            </w:r>
          </w:p>
        </w:tc>
        <w:tc>
          <w:tcPr>
            <w:tcW w:w="1309"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млрд. теңге</w:t>
            </w:r>
          </w:p>
        </w:tc>
        <w:tc>
          <w:tcPr>
            <w:tcW w:w="984"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w:t>
            </w:r>
          </w:p>
        </w:tc>
        <w:tc>
          <w:tcPr>
            <w:tcW w:w="868" w:type="dxa"/>
            <w:vMerge/>
          </w:tcPr>
          <w:p w:rsidR="00545FFC" w:rsidRPr="0039559E" w:rsidRDefault="00545FFC" w:rsidP="007C0843">
            <w:pPr>
              <w:spacing w:after="0"/>
              <w:jc w:val="both"/>
              <w:rPr>
                <w:rFonts w:ascii="Times New Roman" w:hAnsi="Times New Roman" w:cs="Times New Roman"/>
                <w:sz w:val="24"/>
                <w:lang w:val="kk-KZ"/>
              </w:rPr>
            </w:pPr>
          </w:p>
        </w:tc>
      </w:tr>
      <w:tr w:rsidR="00545FFC" w:rsidRPr="0039559E" w:rsidTr="00317556">
        <w:trPr>
          <w:trHeight w:val="267"/>
          <w:jc w:val="center"/>
        </w:trPr>
        <w:tc>
          <w:tcPr>
            <w:tcW w:w="4314"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Қолма-қол ақшалар, тазартылған асыл металдар, корреспонденттік шоттар</w:t>
            </w:r>
          </w:p>
        </w:tc>
        <w:tc>
          <w:tcPr>
            <w:tcW w:w="99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1479,3</w:t>
            </w:r>
          </w:p>
        </w:tc>
        <w:tc>
          <w:tcPr>
            <w:tcW w:w="95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8,2%</w:t>
            </w:r>
          </w:p>
        </w:tc>
        <w:tc>
          <w:tcPr>
            <w:tcW w:w="1309"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1 953,6</w:t>
            </w:r>
          </w:p>
        </w:tc>
        <w:tc>
          <w:tcPr>
            <w:tcW w:w="984"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9,5%</w:t>
            </w:r>
          </w:p>
        </w:tc>
        <w:tc>
          <w:tcPr>
            <w:tcW w:w="868"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32,1%</w:t>
            </w:r>
          </w:p>
        </w:tc>
      </w:tr>
      <w:tr w:rsidR="00545FFC" w:rsidRPr="0039559E" w:rsidTr="00317556">
        <w:trPr>
          <w:trHeight w:val="267"/>
          <w:jc w:val="center"/>
        </w:trPr>
        <w:tc>
          <w:tcPr>
            <w:tcW w:w="4314"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Бағалы қағаздар</w:t>
            </w:r>
          </w:p>
        </w:tc>
        <w:tc>
          <w:tcPr>
            <w:tcW w:w="99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1891,2</w:t>
            </w:r>
          </w:p>
        </w:tc>
        <w:tc>
          <w:tcPr>
            <w:tcW w:w="95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10,5%</w:t>
            </w:r>
          </w:p>
        </w:tc>
        <w:tc>
          <w:tcPr>
            <w:tcW w:w="1309"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1 916,6</w:t>
            </w:r>
          </w:p>
        </w:tc>
        <w:tc>
          <w:tcPr>
            <w:tcW w:w="984"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9,3%</w:t>
            </w:r>
          </w:p>
        </w:tc>
        <w:tc>
          <w:tcPr>
            <w:tcW w:w="868"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1,3%</w:t>
            </w:r>
          </w:p>
        </w:tc>
      </w:tr>
      <w:tr w:rsidR="00545FFC" w:rsidRPr="0039559E" w:rsidTr="00317556">
        <w:trPr>
          <w:trHeight w:val="267"/>
          <w:jc w:val="center"/>
        </w:trPr>
        <w:tc>
          <w:tcPr>
            <w:tcW w:w="4314"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Банктік зайымдар және «кері РЕПО» операциялары</w:t>
            </w:r>
          </w:p>
        </w:tc>
        <w:tc>
          <w:tcPr>
            <w:tcW w:w="99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11624,2</w:t>
            </w:r>
          </w:p>
        </w:tc>
        <w:tc>
          <w:tcPr>
            <w:tcW w:w="95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64,6%</w:t>
            </w:r>
          </w:p>
        </w:tc>
        <w:tc>
          <w:tcPr>
            <w:tcW w:w="1309"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13 348,2</w:t>
            </w:r>
          </w:p>
        </w:tc>
        <w:tc>
          <w:tcPr>
            <w:tcW w:w="984"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64,6%</w:t>
            </w:r>
          </w:p>
        </w:tc>
        <w:tc>
          <w:tcPr>
            <w:tcW w:w="868"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14,8%</w:t>
            </w:r>
          </w:p>
        </w:tc>
      </w:tr>
      <w:tr w:rsidR="00545FFC" w:rsidRPr="0039559E" w:rsidTr="00317556">
        <w:trPr>
          <w:trHeight w:val="279"/>
          <w:jc w:val="center"/>
        </w:trPr>
        <w:tc>
          <w:tcPr>
            <w:tcW w:w="4314"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Капиталға жұмсалға инвестициялар</w:t>
            </w:r>
          </w:p>
        </w:tc>
        <w:tc>
          <w:tcPr>
            <w:tcW w:w="99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325,3</w:t>
            </w:r>
          </w:p>
        </w:tc>
        <w:tc>
          <w:tcPr>
            <w:tcW w:w="95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1,9%</w:t>
            </w:r>
          </w:p>
        </w:tc>
        <w:tc>
          <w:tcPr>
            <w:tcW w:w="1309"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351,7</w:t>
            </w:r>
          </w:p>
        </w:tc>
        <w:tc>
          <w:tcPr>
            <w:tcW w:w="984"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1,7%</w:t>
            </w:r>
          </w:p>
        </w:tc>
        <w:tc>
          <w:tcPr>
            <w:tcW w:w="868"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8,1%</w:t>
            </w:r>
          </w:p>
        </w:tc>
      </w:tr>
      <w:tr w:rsidR="00545FFC" w:rsidRPr="0039559E" w:rsidTr="00317556">
        <w:trPr>
          <w:trHeight w:val="267"/>
          <w:jc w:val="center"/>
        </w:trPr>
        <w:tc>
          <w:tcPr>
            <w:tcW w:w="4314"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Барлық активтер (резервтерді (провизияларды) есепке алмағанда)</w:t>
            </w:r>
          </w:p>
        </w:tc>
        <w:tc>
          <w:tcPr>
            <w:tcW w:w="99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17982,1</w:t>
            </w:r>
          </w:p>
        </w:tc>
        <w:tc>
          <w:tcPr>
            <w:tcW w:w="95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100,0%</w:t>
            </w:r>
          </w:p>
        </w:tc>
        <w:tc>
          <w:tcPr>
            <w:tcW w:w="1309" w:type="dxa"/>
            <w:vAlign w:val="bottom"/>
          </w:tcPr>
          <w:p w:rsidR="00545FFC" w:rsidRPr="0039559E" w:rsidRDefault="00545FFC" w:rsidP="007C0843">
            <w:pPr>
              <w:spacing w:after="0"/>
              <w:jc w:val="both"/>
              <w:rPr>
                <w:rFonts w:ascii="Times New Roman" w:hAnsi="Times New Roman" w:cs="Times New Roman"/>
                <w:bCs/>
                <w:sz w:val="24"/>
                <w:lang w:val="kk-KZ"/>
              </w:rPr>
            </w:pPr>
            <w:r w:rsidRPr="0039559E">
              <w:rPr>
                <w:rFonts w:ascii="Times New Roman" w:hAnsi="Times New Roman" w:cs="Times New Roman"/>
                <w:bCs/>
                <w:sz w:val="24"/>
                <w:lang w:val="kk-KZ"/>
              </w:rPr>
              <w:t>20659</w:t>
            </w:r>
          </w:p>
        </w:tc>
        <w:tc>
          <w:tcPr>
            <w:tcW w:w="984" w:type="dxa"/>
            <w:vAlign w:val="bottom"/>
          </w:tcPr>
          <w:p w:rsidR="00545FFC" w:rsidRPr="0039559E" w:rsidRDefault="00545FFC" w:rsidP="007C0843">
            <w:pPr>
              <w:spacing w:after="0"/>
              <w:jc w:val="both"/>
              <w:rPr>
                <w:rFonts w:ascii="Times New Roman" w:hAnsi="Times New Roman" w:cs="Times New Roman"/>
                <w:bCs/>
                <w:sz w:val="24"/>
                <w:lang w:val="kk-KZ"/>
              </w:rPr>
            </w:pPr>
            <w:r w:rsidRPr="0039559E">
              <w:rPr>
                <w:rFonts w:ascii="Times New Roman" w:hAnsi="Times New Roman" w:cs="Times New Roman"/>
                <w:bCs/>
                <w:sz w:val="24"/>
                <w:lang w:val="kk-KZ"/>
              </w:rPr>
              <w:t>100,0%</w:t>
            </w:r>
          </w:p>
        </w:tc>
        <w:tc>
          <w:tcPr>
            <w:tcW w:w="868"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14,9%</w:t>
            </w:r>
          </w:p>
        </w:tc>
      </w:tr>
      <w:tr w:rsidR="00545FFC" w:rsidRPr="0039559E" w:rsidTr="00317556">
        <w:trPr>
          <w:trHeight w:val="279"/>
          <w:jc w:val="center"/>
        </w:trPr>
        <w:tc>
          <w:tcPr>
            <w:tcW w:w="4314"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Бағалы қағаздар бойынша резервтер (провизиялар)</w:t>
            </w:r>
          </w:p>
        </w:tc>
        <w:tc>
          <w:tcPr>
            <w:tcW w:w="99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-54,0</w:t>
            </w:r>
          </w:p>
        </w:tc>
        <w:tc>
          <w:tcPr>
            <w:tcW w:w="95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-0,3%</w:t>
            </w:r>
          </w:p>
        </w:tc>
        <w:tc>
          <w:tcPr>
            <w:tcW w:w="1309"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-54,9</w:t>
            </w:r>
          </w:p>
        </w:tc>
        <w:tc>
          <w:tcPr>
            <w:tcW w:w="984"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-0,3%</w:t>
            </w:r>
          </w:p>
        </w:tc>
        <w:tc>
          <w:tcPr>
            <w:tcW w:w="868"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1,7%</w:t>
            </w:r>
          </w:p>
        </w:tc>
      </w:tr>
      <w:tr w:rsidR="00545FFC" w:rsidRPr="0039559E" w:rsidTr="00317556">
        <w:trPr>
          <w:trHeight w:val="279"/>
          <w:jc w:val="center"/>
        </w:trPr>
        <w:tc>
          <w:tcPr>
            <w:tcW w:w="4314"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Банктік қарыздар мен "Кері РЕПО" операциялары бойынша резервтер (провизиялар)</w:t>
            </w:r>
          </w:p>
        </w:tc>
        <w:tc>
          <w:tcPr>
            <w:tcW w:w="99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-3715,2</w:t>
            </w:r>
          </w:p>
        </w:tc>
        <w:tc>
          <w:tcPr>
            <w:tcW w:w="95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-20,7%</w:t>
            </w:r>
          </w:p>
        </w:tc>
        <w:tc>
          <w:tcPr>
            <w:tcW w:w="1309"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-4 643,9</w:t>
            </w:r>
          </w:p>
        </w:tc>
        <w:tc>
          <w:tcPr>
            <w:tcW w:w="984"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-22,5%</w:t>
            </w:r>
          </w:p>
        </w:tc>
        <w:tc>
          <w:tcPr>
            <w:tcW w:w="868"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25,0%</w:t>
            </w:r>
          </w:p>
        </w:tc>
      </w:tr>
      <w:tr w:rsidR="00545FFC" w:rsidRPr="0039559E" w:rsidTr="00317556">
        <w:trPr>
          <w:trHeight w:val="279"/>
          <w:jc w:val="center"/>
        </w:trPr>
        <w:tc>
          <w:tcPr>
            <w:tcW w:w="4314"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Еншілес және қауымдасқан ұйымдарға инвестициялар бойынша шығындарды жабуға резервтер (провизиялар)</w:t>
            </w:r>
          </w:p>
        </w:tc>
        <w:tc>
          <w:tcPr>
            <w:tcW w:w="99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-116,2</w:t>
            </w:r>
          </w:p>
        </w:tc>
        <w:tc>
          <w:tcPr>
            <w:tcW w:w="95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-0,6%</w:t>
            </w:r>
          </w:p>
        </w:tc>
        <w:tc>
          <w:tcPr>
            <w:tcW w:w="1309"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-116,0</w:t>
            </w:r>
          </w:p>
        </w:tc>
        <w:tc>
          <w:tcPr>
            <w:tcW w:w="984"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-0,6%</w:t>
            </w:r>
          </w:p>
        </w:tc>
        <w:tc>
          <w:tcPr>
            <w:tcW w:w="868"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-0,2%</w:t>
            </w:r>
          </w:p>
        </w:tc>
      </w:tr>
      <w:tr w:rsidR="00545FFC" w:rsidRPr="0039559E" w:rsidTr="00317556">
        <w:trPr>
          <w:trHeight w:val="279"/>
          <w:jc w:val="center"/>
        </w:trPr>
        <w:tc>
          <w:tcPr>
            <w:tcW w:w="4314" w:type="dxa"/>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Активтердің барлығы</w:t>
            </w:r>
          </w:p>
        </w:tc>
        <w:tc>
          <w:tcPr>
            <w:tcW w:w="99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13 880,0</w:t>
            </w:r>
          </w:p>
        </w:tc>
        <w:tc>
          <w:tcPr>
            <w:tcW w:w="956"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w:t>
            </w:r>
          </w:p>
        </w:tc>
        <w:tc>
          <w:tcPr>
            <w:tcW w:w="1309"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15 461,7</w:t>
            </w:r>
          </w:p>
        </w:tc>
        <w:tc>
          <w:tcPr>
            <w:tcW w:w="984"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w:t>
            </w:r>
          </w:p>
        </w:tc>
        <w:tc>
          <w:tcPr>
            <w:tcW w:w="868" w:type="dxa"/>
            <w:vAlign w:val="bottom"/>
          </w:tcPr>
          <w:p w:rsidR="00545FFC" w:rsidRPr="0039559E" w:rsidRDefault="00545FFC" w:rsidP="007C0843">
            <w:pPr>
              <w:spacing w:after="0"/>
              <w:jc w:val="both"/>
              <w:rPr>
                <w:rFonts w:ascii="Times New Roman" w:hAnsi="Times New Roman" w:cs="Times New Roman"/>
                <w:sz w:val="24"/>
                <w:lang w:val="kk-KZ"/>
              </w:rPr>
            </w:pPr>
            <w:r w:rsidRPr="0039559E">
              <w:rPr>
                <w:rFonts w:ascii="Times New Roman" w:hAnsi="Times New Roman" w:cs="Times New Roman"/>
                <w:sz w:val="24"/>
                <w:lang w:val="kk-KZ"/>
              </w:rPr>
              <w:t>11,4%</w:t>
            </w:r>
          </w:p>
        </w:tc>
      </w:tr>
    </w:tbl>
    <w:p w:rsidR="00545FFC" w:rsidRPr="0039559E" w:rsidRDefault="00545FFC" w:rsidP="00545FFC">
      <w:pPr>
        <w:spacing w:after="0"/>
        <w:ind w:firstLine="567"/>
        <w:jc w:val="both"/>
        <w:rPr>
          <w:rFonts w:ascii="Times New Roman" w:hAnsi="Times New Roman" w:cs="Times New Roman"/>
          <w:sz w:val="24"/>
          <w:lang w:val="kk-KZ"/>
        </w:rPr>
      </w:pPr>
    </w:p>
    <w:p w:rsidR="00545FFC" w:rsidRPr="0039559E" w:rsidRDefault="00545FFC" w:rsidP="00545FFC">
      <w:pPr>
        <w:spacing w:after="0"/>
        <w:ind w:firstLine="567"/>
        <w:jc w:val="both"/>
        <w:rPr>
          <w:rFonts w:ascii="Times New Roman" w:hAnsi="Times New Roman" w:cs="Times New Roman"/>
          <w:sz w:val="24"/>
          <w:lang w:val="kk-KZ"/>
        </w:rPr>
      </w:pPr>
      <w:r w:rsidRPr="0039559E">
        <w:rPr>
          <w:rFonts w:ascii="Times New Roman" w:hAnsi="Times New Roman" w:cs="Times New Roman"/>
          <w:sz w:val="24"/>
          <w:lang w:val="kk-KZ"/>
        </w:rPr>
        <w:t>Жылдың басымен салыстырғанда екінші деңгейдегі банктер активтерінің құрылымында елеулі өзгерістер байқалмады. Активтер құрылымындағы негізгі үлесті банктік қарыздар мен «кері РЕПО» операциялары алады - 64,6%, қолма-қол ақша, тазартылған қымбат металлдар, корреспонденттік шоттарға - 9,5%, бағалы қағаздарға - 9,3% тиесілі. Жылдың басында тиісінше банктік қарыздар мен «кері РЕПО» операцияларына - 64,6%, қолма-қол ақша, тазартылған қымбат металлдар, корреспонденттік шоттарға - 8,2%, ал портфельдегі бағалы қағаздарға - 10,5% тиесілі болған еді.</w:t>
      </w:r>
    </w:p>
    <w:p w:rsidR="00545FFC" w:rsidRPr="0039559E" w:rsidRDefault="00545FFC" w:rsidP="00545FFC">
      <w:pPr>
        <w:spacing w:after="0"/>
        <w:ind w:firstLine="567"/>
        <w:jc w:val="both"/>
        <w:rPr>
          <w:rFonts w:ascii="Times New Roman" w:hAnsi="Times New Roman" w:cs="Times New Roman"/>
          <w:sz w:val="24"/>
          <w:lang w:val="kk-KZ"/>
        </w:rPr>
      </w:pPr>
      <w:r w:rsidRPr="0039559E">
        <w:rPr>
          <w:rFonts w:ascii="Times New Roman" w:hAnsi="Times New Roman" w:cs="Times New Roman"/>
          <w:sz w:val="24"/>
          <w:lang w:val="kk-KZ"/>
        </w:rPr>
        <w:t>Клиенттердің салымдары жылдың басынан бастап 1 312,1 млрд. теңгеге немесе 15,4%-ға ұлғайып, 2014 жылғы 1 қаңтардағы жағдай бойынша 9 844,9 млрд. теңге (ЕДБ жиынтық міндеттемелерінің 73,6%-ы) болды. Заңды тұлғалардың салымдары 2013 жылғы 1 қаңтармен салыстырғанда 777,7 млрд. теңгеге немесе 15,2%-ға ұлғайып, 5 895,5 млрд. теңге болды. Жеке тұлғалардың салымдары 534,3 млрд. теңгеге немесе 15,6%-ға ұлғайып, есепті күні 3 949,4 млрд. теңге болды. Клиенттердің шетел валютасындағы салымдары қарастырылып отырған кезеңде 992,9 млрд. теңгеге немесе 37,2%-ға ұлғайып, 2014 жылғы 1 қаңтардағы жағдай бойынша 3 664,8 млрд. теңге болды.</w:t>
      </w:r>
    </w:p>
    <w:p w:rsidR="00545FFC" w:rsidRPr="0039559E" w:rsidRDefault="00545FFC" w:rsidP="00545FFC">
      <w:pPr>
        <w:spacing w:after="0"/>
        <w:ind w:firstLine="567"/>
        <w:jc w:val="both"/>
        <w:rPr>
          <w:rFonts w:ascii="Times New Roman" w:hAnsi="Times New Roman" w:cs="Times New Roman"/>
          <w:sz w:val="24"/>
          <w:lang w:val="kk-KZ"/>
        </w:rPr>
      </w:pPr>
      <w:r w:rsidRPr="0039559E">
        <w:rPr>
          <w:rFonts w:ascii="Times New Roman" w:hAnsi="Times New Roman" w:cs="Times New Roman"/>
          <w:sz w:val="24"/>
          <w:lang w:val="kk-KZ"/>
        </w:rPr>
        <w:t xml:space="preserve">2014 жылғы 1 қаңтардағы жағдай бойынша банк секторының реттеуіш меншікті капиталының мөлшері 2 347,4 млрд. теңге болды. Жылдың басында осы көрсеткіш 2 072,3 </w:t>
      </w:r>
      <w:r w:rsidR="007C0843" w:rsidRPr="0039559E">
        <w:rPr>
          <w:rFonts w:ascii="Times New Roman" w:hAnsi="Times New Roman" w:cs="Times New Roman"/>
          <w:sz w:val="24"/>
          <w:lang w:val="kk-KZ"/>
        </w:rPr>
        <w:t>млрд. теңге болған еді</w:t>
      </w:r>
      <w:r w:rsidRPr="0039559E">
        <w:rPr>
          <w:rFonts w:ascii="Times New Roman" w:hAnsi="Times New Roman" w:cs="Times New Roman"/>
          <w:sz w:val="24"/>
          <w:lang w:val="kk-KZ"/>
        </w:rPr>
        <w:t>.</w:t>
      </w:r>
    </w:p>
    <w:p w:rsidR="00317556" w:rsidRPr="00317556" w:rsidRDefault="00317556" w:rsidP="00317556">
      <w:pPr>
        <w:spacing w:after="0"/>
        <w:ind w:firstLine="567"/>
        <w:jc w:val="both"/>
        <w:rPr>
          <w:rFonts w:ascii="Times New Roman" w:hAnsi="Times New Roman" w:cs="Times New Roman"/>
          <w:sz w:val="24"/>
          <w:lang w:val="kk-KZ"/>
        </w:rPr>
      </w:pPr>
      <w:r w:rsidRPr="00317556">
        <w:rPr>
          <w:rFonts w:ascii="Times New Roman" w:hAnsi="Times New Roman" w:cs="Times New Roman"/>
          <w:sz w:val="24"/>
          <w:lang w:val="kk-KZ"/>
        </w:rPr>
        <w:t xml:space="preserve">Бізге белгілі, банктік қаражаттардың орналасуы коммерциялық банктің активтерінің әр түрлі категориялары активтерді реттеу және бар заңдардан, жоғары деңгейде өтімділік және қажеттілікті қажетті жоғары табыс алуға тәуелді. </w:t>
      </w:r>
    </w:p>
    <w:p w:rsidR="00317556" w:rsidRPr="00317556" w:rsidRDefault="00317556" w:rsidP="00317556">
      <w:pPr>
        <w:spacing w:after="0"/>
        <w:ind w:firstLine="567"/>
        <w:jc w:val="both"/>
        <w:rPr>
          <w:rFonts w:ascii="Times New Roman" w:hAnsi="Times New Roman" w:cs="Times New Roman"/>
          <w:sz w:val="24"/>
          <w:lang w:val="kk-KZ"/>
        </w:rPr>
      </w:pPr>
      <w:r w:rsidRPr="00317556">
        <w:rPr>
          <w:rFonts w:ascii="Times New Roman" w:hAnsi="Times New Roman" w:cs="Times New Roman"/>
          <w:sz w:val="24"/>
          <w:lang w:val="kk-KZ"/>
        </w:rPr>
        <w:lastRenderedPageBreak/>
        <w:t xml:space="preserve">  Коммерциялық банктердің активтік операцияларына тексеру мүшесінің реттеуіш актілері және бар заңдары әсер етеді, негізінен екі жолмен:</w:t>
      </w:r>
    </w:p>
    <w:p w:rsidR="00317556" w:rsidRPr="00317556" w:rsidRDefault="00317556" w:rsidP="00317556">
      <w:pPr>
        <w:numPr>
          <w:ilvl w:val="0"/>
          <w:numId w:val="44"/>
        </w:numPr>
        <w:spacing w:after="0"/>
        <w:jc w:val="both"/>
        <w:rPr>
          <w:rFonts w:ascii="Times New Roman" w:hAnsi="Times New Roman" w:cs="Times New Roman"/>
          <w:sz w:val="24"/>
          <w:lang w:val="kk-KZ"/>
        </w:rPr>
      </w:pPr>
      <w:r w:rsidRPr="00317556">
        <w:rPr>
          <w:rFonts w:ascii="Times New Roman" w:hAnsi="Times New Roman" w:cs="Times New Roman"/>
          <w:sz w:val="24"/>
          <w:lang w:val="kk-KZ"/>
        </w:rPr>
        <w:t>банктерге қаражаттардың бөлігінің орналасуының ретінің жолымен анықталады. (мысалы, нақты кассадағы және міндетті қорлардағы);</w:t>
      </w:r>
    </w:p>
    <w:p w:rsidR="00317556" w:rsidRPr="00317556" w:rsidRDefault="00317556" w:rsidP="00317556">
      <w:pPr>
        <w:numPr>
          <w:ilvl w:val="0"/>
          <w:numId w:val="44"/>
        </w:numPr>
        <w:spacing w:after="0"/>
        <w:jc w:val="both"/>
        <w:rPr>
          <w:rFonts w:ascii="Times New Roman" w:hAnsi="Times New Roman" w:cs="Times New Roman"/>
          <w:sz w:val="24"/>
          <w:lang w:val="kk-KZ"/>
        </w:rPr>
      </w:pPr>
      <w:r w:rsidRPr="00317556">
        <w:rPr>
          <w:rFonts w:ascii="Times New Roman" w:hAnsi="Times New Roman" w:cs="Times New Roman"/>
          <w:sz w:val="24"/>
          <w:lang w:val="kk-KZ"/>
        </w:rPr>
        <w:t xml:space="preserve">банктік қаражаттардың сол немесе басқа активтік операциялардың шектеу жолымен қолдануға (мысалы, шектеулік өтімділікке және тәуекелділікке қаралатын). </w:t>
      </w:r>
    </w:p>
    <w:p w:rsidR="00317556" w:rsidRPr="00317556" w:rsidRDefault="00317556" w:rsidP="00317556">
      <w:pPr>
        <w:spacing w:after="0"/>
        <w:ind w:firstLine="567"/>
        <w:jc w:val="both"/>
        <w:rPr>
          <w:rFonts w:ascii="Times New Roman" w:hAnsi="Times New Roman" w:cs="Times New Roman"/>
          <w:sz w:val="24"/>
          <w:lang w:val="kk-KZ"/>
        </w:rPr>
      </w:pPr>
      <w:r w:rsidRPr="00317556">
        <w:rPr>
          <w:rFonts w:ascii="Times New Roman" w:hAnsi="Times New Roman" w:cs="Times New Roman"/>
          <w:sz w:val="24"/>
          <w:lang w:val="kk-KZ"/>
        </w:rPr>
        <w:t>Қазіргі кезде әмбебап банктер банк қызметтерінің және қаржылық қызметтердің барлық аспектілерін түгелдей қамтитын өнімдердің кең қатарын ұсынады. Осы кезде басқа банктер бәсекелестік артықшылықты жаулап алу және оны мықты түрде сақтандырып қалу мақсатымен қатаң түрде белгілі бір қызметтер түрлерін көрсетуге мамандануға тырысады.</w:t>
      </w:r>
    </w:p>
    <w:p w:rsidR="00317556" w:rsidRPr="00317556" w:rsidRDefault="00317556" w:rsidP="00317556">
      <w:pPr>
        <w:spacing w:after="0"/>
        <w:ind w:firstLine="567"/>
        <w:jc w:val="both"/>
        <w:rPr>
          <w:rFonts w:ascii="Times New Roman" w:hAnsi="Times New Roman" w:cs="Times New Roman"/>
          <w:sz w:val="24"/>
          <w:lang w:val="kk-KZ"/>
        </w:rPr>
      </w:pPr>
      <w:r w:rsidRPr="00317556">
        <w:rPr>
          <w:rFonts w:ascii="Times New Roman" w:hAnsi="Times New Roman" w:cs="Times New Roman"/>
          <w:sz w:val="24"/>
          <w:lang w:val="kk-KZ"/>
        </w:rPr>
        <w:t>Коммерциялық банктердің желісі ақша нарығының қалыптасуына ықпал етеді, ал заңды және жеке тұлғалардың мемлекетте уақытша бос ақша қаражаттарының болуы және оны экономика мен халықтың қысқа мерзімдік қажеттіліктерін қанағаттандыруға пайдалану ақша нарығының экономикалық негізі болып табылады.</w:t>
      </w:r>
    </w:p>
    <w:p w:rsidR="00317556" w:rsidRPr="00317556" w:rsidRDefault="00317556" w:rsidP="00317556">
      <w:pPr>
        <w:spacing w:after="0"/>
        <w:ind w:firstLine="567"/>
        <w:jc w:val="both"/>
        <w:rPr>
          <w:rFonts w:ascii="Times New Roman" w:hAnsi="Times New Roman" w:cs="Times New Roman"/>
          <w:sz w:val="24"/>
          <w:lang w:val="kk-KZ"/>
        </w:rPr>
      </w:pPr>
      <w:r w:rsidRPr="00317556">
        <w:rPr>
          <w:rFonts w:ascii="Times New Roman" w:hAnsi="Times New Roman" w:cs="Times New Roman"/>
          <w:sz w:val="24"/>
          <w:lang w:val="kk-KZ"/>
        </w:rPr>
        <w:t>Жуырдағы он жылдың басындағы экономикалық дағдарыс жағдайында банктердің қосылуы мен жұтылуымен қатар банктердің банкроттыққа ұшырау процесі де белең алды. Сондықтан экономистер Америкада орын алғандай, нәтижесінде банктерді банкроттыққа ұшыратқан артық шамадан тыс несиенің болуын банктердің қосылуына себеп ретінде атады.</w:t>
      </w:r>
    </w:p>
    <w:p w:rsidR="00317556" w:rsidRPr="00317556" w:rsidRDefault="00317556" w:rsidP="00317556">
      <w:pPr>
        <w:spacing w:after="0"/>
        <w:ind w:firstLine="567"/>
        <w:jc w:val="both"/>
        <w:rPr>
          <w:rFonts w:ascii="Times New Roman" w:hAnsi="Times New Roman" w:cs="Times New Roman"/>
          <w:sz w:val="24"/>
          <w:lang w:val="kk-KZ"/>
        </w:rPr>
      </w:pPr>
      <w:r w:rsidRPr="00317556">
        <w:rPr>
          <w:rFonts w:ascii="Times New Roman" w:hAnsi="Times New Roman" w:cs="Times New Roman"/>
          <w:sz w:val="24"/>
          <w:lang w:val="kk-KZ"/>
        </w:rPr>
        <w:t>Соңғы кезде банктердің қосылу және жұтылуы жаңа рыноктарға ену әдісіне айналып отырғанын атап өтуге болады. Мәселен, мысалы, швейцарлық Швейцарский Свисс Банк Корпорейшн британдық Варбургті, Дойчебанк Ұлыбританияның Морган Гринфел ірі сауда банкін, швейцарлық Кредит Свисс американдық Фест Бостон банкті сатып алды. Осындай мысалдарды көптеп келтіруге болады.</w:t>
      </w:r>
    </w:p>
    <w:p w:rsidR="00317556" w:rsidRPr="00317556" w:rsidRDefault="00317556" w:rsidP="00317556">
      <w:pPr>
        <w:spacing w:after="0"/>
        <w:ind w:firstLine="567"/>
        <w:jc w:val="both"/>
        <w:rPr>
          <w:rFonts w:ascii="Times New Roman" w:hAnsi="Times New Roman" w:cs="Times New Roman"/>
          <w:sz w:val="24"/>
          <w:lang w:val="kk-KZ"/>
        </w:rPr>
      </w:pPr>
      <w:r w:rsidRPr="00317556">
        <w:rPr>
          <w:rFonts w:ascii="Times New Roman" w:hAnsi="Times New Roman" w:cs="Times New Roman"/>
          <w:sz w:val="24"/>
          <w:lang w:val="kk-KZ"/>
        </w:rPr>
        <w:t>Әлемдік тәжірибе банк қызметінің практикасында кездесетін барлық тәуекел жағдайлардан қорғанысты әлі таппай отыр. Сондықтан қазақстандық банктердің менеджерлері шетелдік тәуекелді басқару тәжірибені зерттегенде қазақстандық банктер мен кәсіпорындардың ерекшеліктерін ескере отырып, тәуекелдерді төмендетудің әрбір әдісін, тәуекелдерді төмендету құралдарын отандық жағдаймен алдын ала өлшей келе қолдануға тиіс.</w:t>
      </w:r>
    </w:p>
    <w:p w:rsidR="00317556" w:rsidRDefault="00317556" w:rsidP="007C0843">
      <w:pPr>
        <w:spacing w:after="0"/>
        <w:ind w:firstLine="567"/>
        <w:jc w:val="both"/>
        <w:rPr>
          <w:rFonts w:ascii="Times New Roman" w:hAnsi="Times New Roman" w:cs="Times New Roman"/>
          <w:sz w:val="24"/>
          <w:lang w:val="kk-KZ"/>
        </w:rPr>
      </w:pPr>
    </w:p>
    <w:p w:rsidR="00591EFD" w:rsidRDefault="00591EFD" w:rsidP="007C0843">
      <w:pPr>
        <w:spacing w:after="0"/>
        <w:ind w:firstLine="567"/>
        <w:jc w:val="both"/>
        <w:rPr>
          <w:rFonts w:ascii="Times New Roman" w:hAnsi="Times New Roman" w:cs="Times New Roman"/>
          <w:sz w:val="24"/>
          <w:lang w:val="kk-KZ"/>
        </w:rPr>
      </w:pPr>
    </w:p>
    <w:p w:rsidR="00591EFD" w:rsidRDefault="00591EFD" w:rsidP="007C0843">
      <w:pPr>
        <w:spacing w:after="0"/>
        <w:ind w:firstLine="567"/>
        <w:jc w:val="both"/>
        <w:rPr>
          <w:rFonts w:ascii="Times New Roman" w:hAnsi="Times New Roman" w:cs="Times New Roman"/>
          <w:sz w:val="24"/>
          <w:lang w:val="kk-KZ"/>
        </w:rPr>
      </w:pPr>
    </w:p>
    <w:p w:rsidR="00591EFD" w:rsidRDefault="00591EFD" w:rsidP="007C0843">
      <w:pPr>
        <w:spacing w:after="0"/>
        <w:ind w:firstLine="567"/>
        <w:jc w:val="both"/>
        <w:rPr>
          <w:rFonts w:ascii="Times New Roman" w:hAnsi="Times New Roman" w:cs="Times New Roman"/>
          <w:sz w:val="24"/>
          <w:lang w:val="kk-KZ"/>
        </w:rPr>
      </w:pPr>
    </w:p>
    <w:p w:rsidR="00591EFD" w:rsidRPr="00591EFD" w:rsidRDefault="00591EFD" w:rsidP="00591EFD">
      <w:pPr>
        <w:shd w:val="clear" w:color="auto" w:fill="FFFFFF"/>
        <w:spacing w:after="0" w:line="240" w:lineRule="auto"/>
        <w:ind w:right="282" w:firstLine="567"/>
        <w:jc w:val="center"/>
        <w:rPr>
          <w:rFonts w:ascii="Times New Roman" w:eastAsia="Times New Roman" w:hAnsi="Times New Roman" w:cs="Times New Roman"/>
          <w:b/>
          <w:bCs/>
          <w:color w:val="000000"/>
          <w:sz w:val="24"/>
          <w:szCs w:val="28"/>
          <w:lang w:val="kk-KZ" w:eastAsia="ru-RU"/>
        </w:rPr>
      </w:pPr>
      <w:r w:rsidRPr="00591EFD">
        <w:rPr>
          <w:rFonts w:ascii="Times New Roman" w:eastAsia="Times New Roman" w:hAnsi="Times New Roman" w:cs="Times New Roman"/>
          <w:b/>
          <w:bCs/>
          <w:color w:val="000000"/>
          <w:sz w:val="24"/>
          <w:szCs w:val="28"/>
          <w:lang w:val="kk-KZ" w:eastAsia="ru-RU"/>
        </w:rPr>
        <w:t>ҚОЛДАНЫЛҒАН  ӘДЕБИЕТТЕР ТІЗІМІ</w:t>
      </w:r>
    </w:p>
    <w:p w:rsidR="00591EFD" w:rsidRPr="00591EFD" w:rsidRDefault="00591EFD" w:rsidP="00591EFD">
      <w:pPr>
        <w:tabs>
          <w:tab w:val="left" w:pos="9360"/>
        </w:tabs>
        <w:spacing w:after="0" w:line="240" w:lineRule="auto"/>
        <w:ind w:left="1965"/>
        <w:rPr>
          <w:rFonts w:ascii="Times New Roman" w:eastAsia="Times New Roman" w:hAnsi="Times New Roman" w:cs="Times New Roman"/>
          <w:b/>
          <w:bCs/>
          <w:color w:val="000000"/>
          <w:sz w:val="24"/>
          <w:szCs w:val="28"/>
          <w:lang w:val="kk-KZ" w:eastAsia="kk-KZ"/>
        </w:rPr>
      </w:pPr>
    </w:p>
    <w:p w:rsidR="00591EFD" w:rsidRPr="00591EFD" w:rsidRDefault="00591EFD" w:rsidP="00591EFD">
      <w:pPr>
        <w:numPr>
          <w:ilvl w:val="0"/>
          <w:numId w:val="45"/>
        </w:numPr>
        <w:tabs>
          <w:tab w:val="num" w:pos="426"/>
          <w:tab w:val="left" w:pos="9360"/>
        </w:tabs>
        <w:spacing w:after="0" w:line="240" w:lineRule="auto"/>
        <w:ind w:left="426" w:hanging="426"/>
        <w:jc w:val="both"/>
        <w:rPr>
          <w:rFonts w:ascii="Times New Roman" w:eastAsia="Times New Roman" w:hAnsi="Times New Roman" w:cs="Times New Roman"/>
          <w:color w:val="000000"/>
          <w:sz w:val="24"/>
          <w:szCs w:val="28"/>
          <w:lang w:val="kk-KZ" w:eastAsia="kk-KZ"/>
        </w:rPr>
      </w:pPr>
      <w:r w:rsidRPr="00591EFD">
        <w:rPr>
          <w:rFonts w:ascii="Times New Roman" w:eastAsia="Times New Roman" w:hAnsi="Times New Roman" w:cs="Times New Roman"/>
          <w:color w:val="000000"/>
          <w:sz w:val="24"/>
          <w:szCs w:val="28"/>
          <w:lang w:val="kk-KZ" w:eastAsia="kk-KZ"/>
        </w:rPr>
        <w:t xml:space="preserve">Назарбаев Н.А. Казахстан – 2030. Процветание, безопасность и улучшение благосостояния всех казахстанцев. Послание Президента страны народу Казахстана. </w:t>
      </w:r>
    </w:p>
    <w:p w:rsidR="00591EFD" w:rsidRPr="00591EFD" w:rsidRDefault="00591EFD" w:rsidP="00591EFD">
      <w:pPr>
        <w:numPr>
          <w:ilvl w:val="0"/>
          <w:numId w:val="45"/>
        </w:numPr>
        <w:shd w:val="clear" w:color="auto" w:fill="FFFFFF"/>
        <w:tabs>
          <w:tab w:val="num" w:pos="426"/>
        </w:tabs>
        <w:spacing w:after="0" w:line="240" w:lineRule="auto"/>
        <w:ind w:left="426" w:hanging="426"/>
        <w:jc w:val="both"/>
        <w:rPr>
          <w:rFonts w:ascii="Times New Roman" w:eastAsia="Times New Roman" w:hAnsi="Times New Roman" w:cs="Times New Roman"/>
          <w:color w:val="000000"/>
          <w:kern w:val="16"/>
          <w:sz w:val="24"/>
          <w:szCs w:val="28"/>
          <w:lang w:val="kk-KZ" w:eastAsia="kk-KZ"/>
        </w:rPr>
      </w:pPr>
      <w:r w:rsidRPr="00591EFD">
        <w:rPr>
          <w:rFonts w:ascii="Times New Roman" w:eastAsia="Times New Roman" w:hAnsi="Times New Roman" w:cs="Times New Roman"/>
          <w:color w:val="000000"/>
          <w:kern w:val="16"/>
          <w:sz w:val="24"/>
          <w:szCs w:val="28"/>
          <w:lang w:val="kk-KZ" w:eastAsia="kk-KZ"/>
        </w:rPr>
        <w:t xml:space="preserve">С.Б. Мақыш, А.Ә. Ілиясов «Банк ісі», «Қазақ университеті» 2004. </w:t>
      </w:r>
    </w:p>
    <w:p w:rsidR="00591EFD" w:rsidRPr="00591EFD" w:rsidRDefault="00591EFD" w:rsidP="00591EFD">
      <w:pPr>
        <w:numPr>
          <w:ilvl w:val="0"/>
          <w:numId w:val="45"/>
        </w:numPr>
        <w:shd w:val="clear" w:color="auto" w:fill="FFFFFF"/>
        <w:tabs>
          <w:tab w:val="num" w:pos="426"/>
        </w:tabs>
        <w:spacing w:after="0" w:line="240" w:lineRule="auto"/>
        <w:ind w:left="426" w:hanging="426"/>
        <w:jc w:val="both"/>
        <w:rPr>
          <w:rFonts w:ascii="Times New Roman" w:eastAsia="Times New Roman" w:hAnsi="Times New Roman" w:cs="Times New Roman"/>
          <w:color w:val="000000"/>
          <w:kern w:val="16"/>
          <w:sz w:val="24"/>
          <w:szCs w:val="28"/>
          <w:lang w:val="kk-KZ" w:eastAsia="kk-KZ"/>
        </w:rPr>
      </w:pPr>
      <w:r w:rsidRPr="00591EFD">
        <w:rPr>
          <w:rFonts w:ascii="Times New Roman" w:eastAsia="Times New Roman" w:hAnsi="Times New Roman" w:cs="Times New Roman"/>
          <w:color w:val="000000"/>
          <w:kern w:val="16"/>
          <w:sz w:val="24"/>
          <w:szCs w:val="28"/>
          <w:lang w:val="kk-KZ" w:eastAsia="kk-KZ"/>
        </w:rPr>
        <w:t xml:space="preserve">Сейткасымов Г.С. «Банковское дело» - Алматы, 54 с. </w:t>
      </w:r>
    </w:p>
    <w:p w:rsidR="00591EFD" w:rsidRPr="00591EFD" w:rsidRDefault="00591EFD" w:rsidP="00591EFD">
      <w:pPr>
        <w:numPr>
          <w:ilvl w:val="0"/>
          <w:numId w:val="45"/>
        </w:numPr>
        <w:shd w:val="clear" w:color="auto" w:fill="FFFFFF"/>
        <w:tabs>
          <w:tab w:val="num" w:pos="426"/>
        </w:tabs>
        <w:spacing w:after="0" w:line="240" w:lineRule="auto"/>
        <w:ind w:left="426" w:hanging="426"/>
        <w:jc w:val="both"/>
        <w:rPr>
          <w:rFonts w:ascii="Times New Roman" w:eastAsia="Times New Roman" w:hAnsi="Times New Roman" w:cs="Times New Roman"/>
          <w:color w:val="000000"/>
          <w:kern w:val="16"/>
          <w:sz w:val="24"/>
          <w:szCs w:val="28"/>
          <w:lang w:val="kk-KZ" w:eastAsia="kk-KZ"/>
        </w:rPr>
      </w:pPr>
      <w:r w:rsidRPr="00591EFD">
        <w:rPr>
          <w:rFonts w:ascii="Times New Roman" w:eastAsia="Times New Roman" w:hAnsi="Times New Roman" w:cs="Times New Roman"/>
          <w:color w:val="000000"/>
          <w:sz w:val="24"/>
          <w:szCs w:val="28"/>
          <w:lang w:val="kk-KZ" w:eastAsia="kk-KZ"/>
        </w:rPr>
        <w:t>Сейтқасымов Ғ.С «Ақша, несие, банктер» Алматы экономика 2001ж. 138с.</w:t>
      </w:r>
    </w:p>
    <w:p w:rsidR="00591EFD" w:rsidRPr="00591EFD" w:rsidRDefault="00591EFD" w:rsidP="00591EFD">
      <w:pPr>
        <w:numPr>
          <w:ilvl w:val="0"/>
          <w:numId w:val="45"/>
        </w:numPr>
        <w:tabs>
          <w:tab w:val="num" w:pos="426"/>
        </w:tabs>
        <w:spacing w:after="0" w:line="240" w:lineRule="auto"/>
        <w:ind w:left="426" w:hanging="426"/>
        <w:jc w:val="both"/>
        <w:rPr>
          <w:rFonts w:ascii="Times New Roman" w:eastAsia="Times New Roman" w:hAnsi="Times New Roman" w:cs="Times New Roman"/>
          <w:color w:val="000000"/>
          <w:sz w:val="24"/>
          <w:szCs w:val="28"/>
          <w:lang w:val="kk-KZ" w:eastAsia="kk-KZ"/>
        </w:rPr>
      </w:pPr>
      <w:r w:rsidRPr="00591EFD">
        <w:rPr>
          <w:rFonts w:ascii="Times New Roman" w:eastAsia="Times New Roman" w:hAnsi="Times New Roman" w:cs="Times New Roman"/>
          <w:color w:val="000000"/>
          <w:sz w:val="24"/>
          <w:szCs w:val="28"/>
          <w:lang w:val="kk-KZ" w:eastAsia="kk-KZ"/>
        </w:rPr>
        <w:t xml:space="preserve"> «Қазақстан Республикасындағы банктер және банктік   қызмет туралы» Қазақстан Республикасы Президентінің  зандық   күші бар Жарлығы // 31.08.1995, N 2444;</w:t>
      </w:r>
    </w:p>
    <w:p w:rsidR="00591EFD" w:rsidRPr="00591EFD" w:rsidRDefault="00591EFD" w:rsidP="00591EFD">
      <w:pPr>
        <w:numPr>
          <w:ilvl w:val="0"/>
          <w:numId w:val="45"/>
        </w:numPr>
        <w:tabs>
          <w:tab w:val="num" w:pos="426"/>
        </w:tabs>
        <w:spacing w:after="0" w:line="240" w:lineRule="auto"/>
        <w:ind w:left="426" w:hanging="426"/>
        <w:jc w:val="both"/>
        <w:rPr>
          <w:rFonts w:ascii="Times New Roman" w:eastAsia="Times New Roman" w:hAnsi="Times New Roman" w:cs="Times New Roman"/>
          <w:color w:val="000000"/>
          <w:sz w:val="24"/>
          <w:szCs w:val="28"/>
          <w:lang w:val="kk-KZ" w:eastAsia="kk-KZ"/>
        </w:rPr>
      </w:pPr>
      <w:r w:rsidRPr="00591EFD">
        <w:rPr>
          <w:rFonts w:ascii="Times New Roman" w:eastAsia="Times New Roman" w:hAnsi="Times New Roman" w:cs="Times New Roman"/>
          <w:color w:val="000000"/>
          <w:sz w:val="24"/>
          <w:szCs w:val="28"/>
          <w:lang w:val="kk-KZ" w:eastAsia="kk-KZ"/>
        </w:rPr>
        <w:t>Мақыш С.Б. Коммерциялық банктер операциялары. Оқу құралы.- Алматы, 2004</w:t>
      </w:r>
    </w:p>
    <w:sectPr w:rsidR="00591EFD" w:rsidRPr="00591EFD" w:rsidSect="003E027D">
      <w:pgSz w:w="11906" w:h="16838"/>
      <w:pgMar w:top="1135" w:right="849"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B60"/>
    <w:multiLevelType w:val="multilevel"/>
    <w:tmpl w:val="3AD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81CBB"/>
    <w:multiLevelType w:val="multilevel"/>
    <w:tmpl w:val="F1E8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B358B"/>
    <w:multiLevelType w:val="multilevel"/>
    <w:tmpl w:val="AADC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A0979"/>
    <w:multiLevelType w:val="multilevel"/>
    <w:tmpl w:val="1BE4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55C22"/>
    <w:multiLevelType w:val="multilevel"/>
    <w:tmpl w:val="877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E60CE"/>
    <w:multiLevelType w:val="multilevel"/>
    <w:tmpl w:val="231C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E0580"/>
    <w:multiLevelType w:val="multilevel"/>
    <w:tmpl w:val="44A0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907CD1"/>
    <w:multiLevelType w:val="multilevel"/>
    <w:tmpl w:val="4A38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B6F15"/>
    <w:multiLevelType w:val="multilevel"/>
    <w:tmpl w:val="AF9E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EC0818"/>
    <w:multiLevelType w:val="multilevel"/>
    <w:tmpl w:val="5D84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3D37DE"/>
    <w:multiLevelType w:val="multilevel"/>
    <w:tmpl w:val="E81C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C87E2E"/>
    <w:multiLevelType w:val="multilevel"/>
    <w:tmpl w:val="EEB2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335AB3"/>
    <w:multiLevelType w:val="multilevel"/>
    <w:tmpl w:val="85B0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C4037D"/>
    <w:multiLevelType w:val="multilevel"/>
    <w:tmpl w:val="DF92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F24705"/>
    <w:multiLevelType w:val="multilevel"/>
    <w:tmpl w:val="7BF01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813B0D"/>
    <w:multiLevelType w:val="multilevel"/>
    <w:tmpl w:val="2C78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CA1A11"/>
    <w:multiLevelType w:val="multilevel"/>
    <w:tmpl w:val="77D4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D07D50"/>
    <w:multiLevelType w:val="multilevel"/>
    <w:tmpl w:val="5FEC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DD40BC"/>
    <w:multiLevelType w:val="multilevel"/>
    <w:tmpl w:val="4F386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0755AC"/>
    <w:multiLevelType w:val="multilevel"/>
    <w:tmpl w:val="C8FA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4E0D90"/>
    <w:multiLevelType w:val="multilevel"/>
    <w:tmpl w:val="E14C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6C63D7"/>
    <w:multiLevelType w:val="multilevel"/>
    <w:tmpl w:val="E772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705644"/>
    <w:multiLevelType w:val="multilevel"/>
    <w:tmpl w:val="6E4C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5F602A"/>
    <w:multiLevelType w:val="hybridMultilevel"/>
    <w:tmpl w:val="F3E6491C"/>
    <w:lvl w:ilvl="0" w:tplc="5B3A252A">
      <w:start w:val="1"/>
      <w:numFmt w:val="decimal"/>
      <w:lvlText w:val="%1"/>
      <w:lvlJc w:val="left"/>
      <w:pPr>
        <w:tabs>
          <w:tab w:val="num" w:pos="1245"/>
        </w:tabs>
        <w:ind w:left="1245" w:hanging="1245"/>
      </w:pPr>
      <w:rPr>
        <w:rFonts w:cs="Times New Roman"/>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4">
    <w:nsid w:val="44CF6D25"/>
    <w:multiLevelType w:val="multilevel"/>
    <w:tmpl w:val="0BCC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13243A"/>
    <w:multiLevelType w:val="multilevel"/>
    <w:tmpl w:val="F86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FA477C"/>
    <w:multiLevelType w:val="multilevel"/>
    <w:tmpl w:val="50E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9120B2"/>
    <w:multiLevelType w:val="multilevel"/>
    <w:tmpl w:val="179A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B96F44"/>
    <w:multiLevelType w:val="multilevel"/>
    <w:tmpl w:val="A1B0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76080D"/>
    <w:multiLevelType w:val="multilevel"/>
    <w:tmpl w:val="2BA4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6B15C9"/>
    <w:multiLevelType w:val="multilevel"/>
    <w:tmpl w:val="D06A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A03A50"/>
    <w:multiLevelType w:val="multilevel"/>
    <w:tmpl w:val="B42E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CD0B61"/>
    <w:multiLevelType w:val="multilevel"/>
    <w:tmpl w:val="82CE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C22E2D"/>
    <w:multiLevelType w:val="multilevel"/>
    <w:tmpl w:val="4C10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5753E6"/>
    <w:multiLevelType w:val="multilevel"/>
    <w:tmpl w:val="D1DE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586856"/>
    <w:multiLevelType w:val="multilevel"/>
    <w:tmpl w:val="CD0E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814BC8"/>
    <w:multiLevelType w:val="hybridMultilevel"/>
    <w:tmpl w:val="C2E8C470"/>
    <w:lvl w:ilvl="0" w:tplc="D0CA889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DC26FE8"/>
    <w:multiLevelType w:val="multilevel"/>
    <w:tmpl w:val="B8A6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133D73"/>
    <w:multiLevelType w:val="hybridMultilevel"/>
    <w:tmpl w:val="4A643FFC"/>
    <w:lvl w:ilvl="0" w:tplc="EBBC16A4">
      <w:start w:val="1"/>
      <w:numFmt w:val="decimal"/>
      <w:lvlText w:val="%1)"/>
      <w:lvlJc w:val="left"/>
      <w:pPr>
        <w:tabs>
          <w:tab w:val="num" w:pos="1021"/>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63943A5"/>
    <w:multiLevelType w:val="multilevel"/>
    <w:tmpl w:val="A0EA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604697"/>
    <w:multiLevelType w:val="multilevel"/>
    <w:tmpl w:val="C322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CA24A7"/>
    <w:multiLevelType w:val="multilevel"/>
    <w:tmpl w:val="B2C4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F059B0"/>
    <w:multiLevelType w:val="multilevel"/>
    <w:tmpl w:val="1C3A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607611"/>
    <w:multiLevelType w:val="multilevel"/>
    <w:tmpl w:val="7EF8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D437EE"/>
    <w:multiLevelType w:val="hybridMultilevel"/>
    <w:tmpl w:val="D810616E"/>
    <w:lvl w:ilvl="0" w:tplc="7DB861EA">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14"/>
    <w:lvlOverride w:ilvl="0">
      <w:startOverride w:val="1"/>
    </w:lvlOverride>
  </w:num>
  <w:num w:numId="2">
    <w:abstractNumId w:val="21"/>
  </w:num>
  <w:num w:numId="3">
    <w:abstractNumId w:val="4"/>
  </w:num>
  <w:num w:numId="4">
    <w:abstractNumId w:val="32"/>
  </w:num>
  <w:num w:numId="5">
    <w:abstractNumId w:val="7"/>
  </w:num>
  <w:num w:numId="6">
    <w:abstractNumId w:val="40"/>
  </w:num>
  <w:num w:numId="7">
    <w:abstractNumId w:val="29"/>
  </w:num>
  <w:num w:numId="8">
    <w:abstractNumId w:val="26"/>
  </w:num>
  <w:num w:numId="9">
    <w:abstractNumId w:val="13"/>
  </w:num>
  <w:num w:numId="10">
    <w:abstractNumId w:val="20"/>
  </w:num>
  <w:num w:numId="11">
    <w:abstractNumId w:val="37"/>
  </w:num>
  <w:num w:numId="12">
    <w:abstractNumId w:val="24"/>
  </w:num>
  <w:num w:numId="13">
    <w:abstractNumId w:val="1"/>
  </w:num>
  <w:num w:numId="14">
    <w:abstractNumId w:val="17"/>
  </w:num>
  <w:num w:numId="15">
    <w:abstractNumId w:val="30"/>
  </w:num>
  <w:num w:numId="16">
    <w:abstractNumId w:val="11"/>
  </w:num>
  <w:num w:numId="17">
    <w:abstractNumId w:val="31"/>
  </w:num>
  <w:num w:numId="18">
    <w:abstractNumId w:val="33"/>
  </w:num>
  <w:num w:numId="19">
    <w:abstractNumId w:val="28"/>
  </w:num>
  <w:num w:numId="20">
    <w:abstractNumId w:val="8"/>
  </w:num>
  <w:num w:numId="21">
    <w:abstractNumId w:val="35"/>
  </w:num>
  <w:num w:numId="22">
    <w:abstractNumId w:val="12"/>
  </w:num>
  <w:num w:numId="23">
    <w:abstractNumId w:val="0"/>
  </w:num>
  <w:num w:numId="24">
    <w:abstractNumId w:val="25"/>
  </w:num>
  <w:num w:numId="25">
    <w:abstractNumId w:val="5"/>
  </w:num>
  <w:num w:numId="26">
    <w:abstractNumId w:val="22"/>
  </w:num>
  <w:num w:numId="27">
    <w:abstractNumId w:val="15"/>
  </w:num>
  <w:num w:numId="28">
    <w:abstractNumId w:val="43"/>
  </w:num>
  <w:num w:numId="29">
    <w:abstractNumId w:val="3"/>
  </w:num>
  <w:num w:numId="30">
    <w:abstractNumId w:val="27"/>
  </w:num>
  <w:num w:numId="31">
    <w:abstractNumId w:val="19"/>
  </w:num>
  <w:num w:numId="32">
    <w:abstractNumId w:val="6"/>
  </w:num>
  <w:num w:numId="33">
    <w:abstractNumId w:val="2"/>
    <w:lvlOverride w:ilvl="0">
      <w:startOverride w:val="2"/>
    </w:lvlOverride>
  </w:num>
  <w:num w:numId="34">
    <w:abstractNumId w:val="41"/>
    <w:lvlOverride w:ilvl="0">
      <w:startOverride w:val="3"/>
    </w:lvlOverride>
  </w:num>
  <w:num w:numId="35">
    <w:abstractNumId w:val="16"/>
  </w:num>
  <w:num w:numId="36">
    <w:abstractNumId w:val="39"/>
  </w:num>
  <w:num w:numId="37">
    <w:abstractNumId w:val="9"/>
  </w:num>
  <w:num w:numId="38">
    <w:abstractNumId w:val="34"/>
  </w:num>
  <w:num w:numId="39">
    <w:abstractNumId w:val="10"/>
  </w:num>
  <w:num w:numId="40">
    <w:abstractNumId w:val="42"/>
  </w:num>
  <w:num w:numId="41">
    <w:abstractNumId w:val="18"/>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36"/>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C2"/>
    <w:rsid w:val="00003910"/>
    <w:rsid w:val="001C62E8"/>
    <w:rsid w:val="00317556"/>
    <w:rsid w:val="003765C2"/>
    <w:rsid w:val="0039559E"/>
    <w:rsid w:val="003E027D"/>
    <w:rsid w:val="004C7F99"/>
    <w:rsid w:val="00511710"/>
    <w:rsid w:val="00545FFC"/>
    <w:rsid w:val="00570BDE"/>
    <w:rsid w:val="00591EFD"/>
    <w:rsid w:val="007A16EF"/>
    <w:rsid w:val="007C0843"/>
    <w:rsid w:val="007D57C6"/>
    <w:rsid w:val="009366A1"/>
    <w:rsid w:val="00B85E61"/>
    <w:rsid w:val="00C47FB0"/>
    <w:rsid w:val="00C84CF1"/>
    <w:rsid w:val="00DE6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6EF"/>
    <w:rPr>
      <w:b/>
      <w:bCs/>
    </w:rPr>
  </w:style>
  <w:style w:type="character" w:customStyle="1" w:styleId="apple-converted-space">
    <w:name w:val="apple-converted-space"/>
    <w:basedOn w:val="a0"/>
    <w:rsid w:val="007A16EF"/>
  </w:style>
  <w:style w:type="character" w:styleId="a5">
    <w:name w:val="Emphasis"/>
    <w:basedOn w:val="a0"/>
    <w:uiPriority w:val="20"/>
    <w:qFormat/>
    <w:rsid w:val="007A16EF"/>
    <w:rPr>
      <w:i/>
      <w:iCs/>
    </w:rPr>
  </w:style>
  <w:style w:type="paragraph" w:styleId="a6">
    <w:name w:val="Balloon Text"/>
    <w:basedOn w:val="a"/>
    <w:link w:val="a7"/>
    <w:uiPriority w:val="99"/>
    <w:semiHidden/>
    <w:unhideWhenUsed/>
    <w:rsid w:val="007A16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1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1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16EF"/>
    <w:rPr>
      <w:b/>
      <w:bCs/>
    </w:rPr>
  </w:style>
  <w:style w:type="character" w:customStyle="1" w:styleId="apple-converted-space">
    <w:name w:val="apple-converted-space"/>
    <w:basedOn w:val="a0"/>
    <w:rsid w:val="007A16EF"/>
  </w:style>
  <w:style w:type="character" w:styleId="a5">
    <w:name w:val="Emphasis"/>
    <w:basedOn w:val="a0"/>
    <w:uiPriority w:val="20"/>
    <w:qFormat/>
    <w:rsid w:val="007A16EF"/>
    <w:rPr>
      <w:i/>
      <w:iCs/>
    </w:rPr>
  </w:style>
  <w:style w:type="paragraph" w:styleId="a6">
    <w:name w:val="Balloon Text"/>
    <w:basedOn w:val="a"/>
    <w:link w:val="a7"/>
    <w:uiPriority w:val="99"/>
    <w:semiHidden/>
    <w:unhideWhenUsed/>
    <w:rsid w:val="007A16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1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8987">
      <w:bodyDiv w:val="1"/>
      <w:marLeft w:val="0"/>
      <w:marRight w:val="0"/>
      <w:marTop w:val="0"/>
      <w:marBottom w:val="0"/>
      <w:divBdr>
        <w:top w:val="none" w:sz="0" w:space="0" w:color="auto"/>
        <w:left w:val="none" w:sz="0" w:space="0" w:color="auto"/>
        <w:bottom w:val="none" w:sz="0" w:space="0" w:color="auto"/>
        <w:right w:val="none" w:sz="0" w:space="0" w:color="auto"/>
      </w:divBdr>
    </w:div>
    <w:div w:id="472601764">
      <w:bodyDiv w:val="1"/>
      <w:marLeft w:val="0"/>
      <w:marRight w:val="0"/>
      <w:marTop w:val="0"/>
      <w:marBottom w:val="0"/>
      <w:divBdr>
        <w:top w:val="none" w:sz="0" w:space="0" w:color="auto"/>
        <w:left w:val="none" w:sz="0" w:space="0" w:color="auto"/>
        <w:bottom w:val="none" w:sz="0" w:space="0" w:color="auto"/>
        <w:right w:val="none" w:sz="0" w:space="0" w:color="auto"/>
      </w:divBdr>
    </w:div>
    <w:div w:id="489441301">
      <w:bodyDiv w:val="1"/>
      <w:marLeft w:val="0"/>
      <w:marRight w:val="0"/>
      <w:marTop w:val="0"/>
      <w:marBottom w:val="0"/>
      <w:divBdr>
        <w:top w:val="none" w:sz="0" w:space="0" w:color="auto"/>
        <w:left w:val="none" w:sz="0" w:space="0" w:color="auto"/>
        <w:bottom w:val="none" w:sz="0" w:space="0" w:color="auto"/>
        <w:right w:val="none" w:sz="0" w:space="0" w:color="auto"/>
      </w:divBdr>
    </w:div>
    <w:div w:id="725646642">
      <w:bodyDiv w:val="1"/>
      <w:marLeft w:val="0"/>
      <w:marRight w:val="0"/>
      <w:marTop w:val="0"/>
      <w:marBottom w:val="0"/>
      <w:divBdr>
        <w:top w:val="none" w:sz="0" w:space="0" w:color="auto"/>
        <w:left w:val="none" w:sz="0" w:space="0" w:color="auto"/>
        <w:bottom w:val="none" w:sz="0" w:space="0" w:color="auto"/>
        <w:right w:val="none" w:sz="0" w:space="0" w:color="auto"/>
      </w:divBdr>
    </w:div>
    <w:div w:id="732893329">
      <w:bodyDiv w:val="1"/>
      <w:marLeft w:val="0"/>
      <w:marRight w:val="0"/>
      <w:marTop w:val="0"/>
      <w:marBottom w:val="0"/>
      <w:divBdr>
        <w:top w:val="none" w:sz="0" w:space="0" w:color="auto"/>
        <w:left w:val="none" w:sz="0" w:space="0" w:color="auto"/>
        <w:bottom w:val="none" w:sz="0" w:space="0" w:color="auto"/>
        <w:right w:val="none" w:sz="0" w:space="0" w:color="auto"/>
      </w:divBdr>
    </w:div>
    <w:div w:id="831721919">
      <w:bodyDiv w:val="1"/>
      <w:marLeft w:val="0"/>
      <w:marRight w:val="0"/>
      <w:marTop w:val="0"/>
      <w:marBottom w:val="0"/>
      <w:divBdr>
        <w:top w:val="none" w:sz="0" w:space="0" w:color="auto"/>
        <w:left w:val="none" w:sz="0" w:space="0" w:color="auto"/>
        <w:bottom w:val="none" w:sz="0" w:space="0" w:color="auto"/>
        <w:right w:val="none" w:sz="0" w:space="0" w:color="auto"/>
      </w:divBdr>
    </w:div>
    <w:div w:id="943725906">
      <w:bodyDiv w:val="1"/>
      <w:marLeft w:val="0"/>
      <w:marRight w:val="0"/>
      <w:marTop w:val="0"/>
      <w:marBottom w:val="0"/>
      <w:divBdr>
        <w:top w:val="none" w:sz="0" w:space="0" w:color="auto"/>
        <w:left w:val="none" w:sz="0" w:space="0" w:color="auto"/>
        <w:bottom w:val="none" w:sz="0" w:space="0" w:color="auto"/>
        <w:right w:val="none" w:sz="0" w:space="0" w:color="auto"/>
      </w:divBdr>
    </w:div>
    <w:div w:id="960067096">
      <w:bodyDiv w:val="1"/>
      <w:marLeft w:val="0"/>
      <w:marRight w:val="0"/>
      <w:marTop w:val="0"/>
      <w:marBottom w:val="0"/>
      <w:divBdr>
        <w:top w:val="none" w:sz="0" w:space="0" w:color="auto"/>
        <w:left w:val="none" w:sz="0" w:space="0" w:color="auto"/>
        <w:bottom w:val="none" w:sz="0" w:space="0" w:color="auto"/>
        <w:right w:val="none" w:sz="0" w:space="0" w:color="auto"/>
      </w:divBdr>
    </w:div>
    <w:div w:id="1376467613">
      <w:bodyDiv w:val="1"/>
      <w:marLeft w:val="0"/>
      <w:marRight w:val="0"/>
      <w:marTop w:val="0"/>
      <w:marBottom w:val="0"/>
      <w:divBdr>
        <w:top w:val="none" w:sz="0" w:space="0" w:color="auto"/>
        <w:left w:val="none" w:sz="0" w:space="0" w:color="auto"/>
        <w:bottom w:val="none" w:sz="0" w:space="0" w:color="auto"/>
        <w:right w:val="none" w:sz="0" w:space="0" w:color="auto"/>
      </w:divBdr>
    </w:div>
    <w:div w:id="1479347503">
      <w:bodyDiv w:val="1"/>
      <w:marLeft w:val="0"/>
      <w:marRight w:val="0"/>
      <w:marTop w:val="0"/>
      <w:marBottom w:val="0"/>
      <w:divBdr>
        <w:top w:val="none" w:sz="0" w:space="0" w:color="auto"/>
        <w:left w:val="none" w:sz="0" w:space="0" w:color="auto"/>
        <w:bottom w:val="none" w:sz="0" w:space="0" w:color="auto"/>
        <w:right w:val="none" w:sz="0" w:space="0" w:color="auto"/>
      </w:divBdr>
    </w:div>
    <w:div w:id="1576207362">
      <w:bodyDiv w:val="1"/>
      <w:marLeft w:val="0"/>
      <w:marRight w:val="0"/>
      <w:marTop w:val="0"/>
      <w:marBottom w:val="0"/>
      <w:divBdr>
        <w:top w:val="none" w:sz="0" w:space="0" w:color="auto"/>
        <w:left w:val="none" w:sz="0" w:space="0" w:color="auto"/>
        <w:bottom w:val="none" w:sz="0" w:space="0" w:color="auto"/>
        <w:right w:val="none" w:sz="0" w:space="0" w:color="auto"/>
      </w:divBdr>
    </w:div>
    <w:div w:id="1656375527">
      <w:bodyDiv w:val="1"/>
      <w:marLeft w:val="0"/>
      <w:marRight w:val="0"/>
      <w:marTop w:val="0"/>
      <w:marBottom w:val="0"/>
      <w:divBdr>
        <w:top w:val="none" w:sz="0" w:space="0" w:color="auto"/>
        <w:left w:val="none" w:sz="0" w:space="0" w:color="auto"/>
        <w:bottom w:val="none" w:sz="0" w:space="0" w:color="auto"/>
        <w:right w:val="none" w:sz="0" w:space="0" w:color="auto"/>
      </w:divBdr>
    </w:div>
    <w:div w:id="17194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061D8-901E-43EB-A1A9-1D8DAD87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2015-11-14T18:53:00Z</dcterms:created>
  <dcterms:modified xsi:type="dcterms:W3CDTF">2016-02-26T11:57:00Z</dcterms:modified>
</cp:coreProperties>
</file>