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FBB6" w14:textId="77777777" w:rsidR="00271126" w:rsidRPr="00271126" w:rsidRDefault="00271126" w:rsidP="002711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126">
        <w:rPr>
          <w:rFonts w:ascii="Times New Roman" w:hAnsi="Times New Roman" w:cs="Times New Roman"/>
          <w:b/>
          <w:bCs/>
          <w:sz w:val="28"/>
          <w:szCs w:val="28"/>
        </w:rPr>
        <w:t>РЕЦЕНЗИЯ</w:t>
      </w:r>
    </w:p>
    <w:p w14:paraId="7628303C" w14:textId="77777777" w:rsidR="00271126" w:rsidRPr="00271126" w:rsidRDefault="00271126" w:rsidP="00271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126">
        <w:rPr>
          <w:rFonts w:ascii="Times New Roman" w:hAnsi="Times New Roman" w:cs="Times New Roman"/>
          <w:sz w:val="28"/>
          <w:szCs w:val="28"/>
        </w:rPr>
        <w:t xml:space="preserve">на монографию «Триединая концепция ESG устойчивого развития регионов», подготовленную под руководством </w:t>
      </w:r>
      <w:r w:rsidRPr="00271126">
        <w:rPr>
          <w:rFonts w:ascii="Times New Roman" w:hAnsi="Times New Roman" w:cs="Times New Roman"/>
          <w:sz w:val="28"/>
          <w:szCs w:val="28"/>
          <w:highlight w:val="red"/>
        </w:rPr>
        <w:t>д.э.н., профессора Адамбековой А.А. в рамках грантового проекта «Триединая концепция устойчивого развития (ESG): интересы бизнеса в контексте сбалансированного развития регионов» АР19678012 (2023–2025)</w:t>
      </w:r>
    </w:p>
    <w:p w14:paraId="7ECF53B2" w14:textId="77777777" w:rsidR="00271126" w:rsidRDefault="00271126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CAD510" w14:textId="7887E7C6" w:rsidR="00271126" w:rsidRPr="00271126" w:rsidRDefault="0051351F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Данная</w:t>
      </w:r>
      <w:r w:rsidR="00271126" w:rsidRPr="00271126">
        <w:rPr>
          <w:rFonts w:ascii="Times New Roman" w:hAnsi="Times New Roman" w:cs="Times New Roman"/>
          <w:sz w:val="28"/>
          <w:szCs w:val="28"/>
        </w:rPr>
        <w:t xml:space="preserve"> монография предлагает цельную концептуально</w:t>
      </w:r>
      <w:r w:rsidR="00271126" w:rsidRPr="00271126">
        <w:rPr>
          <w:rFonts w:ascii="Times New Roman" w:hAnsi="Times New Roman" w:cs="Times New Roman"/>
          <w:sz w:val="28"/>
          <w:szCs w:val="28"/>
        </w:rPr>
        <w:noBreakHyphen/>
        <w:t>прикладную рамку для осмысления и внедрения ESG на уровне регионов Казахстана</w:t>
      </w:r>
      <w:r w:rsidRPr="0051351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В исследовательской работе</w:t>
      </w:r>
      <w:r w:rsidR="00271126" w:rsidRPr="0027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</w:t>
      </w:r>
      <w:r w:rsidR="00271126" w:rsidRPr="00271126">
        <w:rPr>
          <w:rFonts w:ascii="Times New Roman" w:hAnsi="Times New Roman" w:cs="Times New Roman"/>
          <w:sz w:val="28"/>
          <w:szCs w:val="28"/>
        </w:rPr>
        <w:t xml:space="preserve"> аналитический обзор, методологи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71126" w:rsidRPr="00271126">
        <w:rPr>
          <w:rFonts w:ascii="Times New Roman" w:hAnsi="Times New Roman" w:cs="Times New Roman"/>
          <w:sz w:val="28"/>
          <w:szCs w:val="28"/>
        </w:rPr>
        <w:t xml:space="preserve"> и инструменты управленческого применения. </w:t>
      </w:r>
      <w:r w:rsidR="0043268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71126" w:rsidRPr="00271126">
        <w:rPr>
          <w:rFonts w:ascii="Times New Roman" w:hAnsi="Times New Roman" w:cs="Times New Roman"/>
          <w:sz w:val="28"/>
          <w:szCs w:val="28"/>
        </w:rPr>
        <w:t>ильная сторона 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</w:t>
      </w:r>
      <w:r w:rsidR="00271126" w:rsidRPr="00271126">
        <w:rPr>
          <w:rFonts w:ascii="Times New Roman" w:hAnsi="Times New Roman" w:cs="Times New Roman"/>
          <w:sz w:val="28"/>
          <w:szCs w:val="28"/>
        </w:rPr>
        <w:t xml:space="preserve"> в переводе дискуссии об ESG из узкой корпоративной плоскости в пространство региональной политики, где фокус смещается к межсекторной координации, инфраструктурным ограничениям и институциональному качеству управления.</w:t>
      </w:r>
    </w:p>
    <w:p w14:paraId="6A5CBB53" w14:textId="77777777" w:rsidR="00271126" w:rsidRPr="00271126" w:rsidRDefault="00271126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26">
        <w:rPr>
          <w:rFonts w:ascii="Times New Roman" w:hAnsi="Times New Roman" w:cs="Times New Roman"/>
          <w:sz w:val="28"/>
          <w:szCs w:val="28"/>
        </w:rPr>
        <w:t>Структура из четырёх глав логична и функциональна. В первой главе авторы аккуратно картируют мировые и отечественные исследования по экологической ответственности, социальной повестке и корпоративному управлению, выявляя специфику применимости ESG</w:t>
      </w:r>
      <w:r w:rsidR="001C1C0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71126">
        <w:rPr>
          <w:rFonts w:ascii="Times New Roman" w:hAnsi="Times New Roman" w:cs="Times New Roman"/>
          <w:sz w:val="28"/>
          <w:szCs w:val="28"/>
        </w:rPr>
        <w:t>принципов к региональным кейсам. Обзор не сводится к компиляции: обозначены лакуны в инструментах поддержки решений для отраслей Казахстана, подчёркнута потребность в унифицированной ES</w:t>
      </w:r>
      <w:r w:rsidR="004D6C2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D6C2F" w:rsidRPr="004D6C2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71126">
        <w:rPr>
          <w:rFonts w:ascii="Times New Roman" w:hAnsi="Times New Roman" w:cs="Times New Roman"/>
          <w:sz w:val="28"/>
          <w:szCs w:val="28"/>
        </w:rPr>
        <w:t>отчётности и культуре раскрытия данных, а также необходимость стандартизации метрик и процедур аудита информации.</w:t>
      </w:r>
    </w:p>
    <w:p w14:paraId="028B4A61" w14:textId="77777777" w:rsidR="00271126" w:rsidRPr="00271126" w:rsidRDefault="00271126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26">
        <w:rPr>
          <w:rFonts w:ascii="Times New Roman" w:hAnsi="Times New Roman" w:cs="Times New Roman"/>
          <w:sz w:val="28"/>
          <w:szCs w:val="28"/>
        </w:rPr>
        <w:t>Во второй главе последовательно рассмотрены международные организации и тенденции регулирования, мировой опыт демонстрации приверженности бизнеса ESG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принципам и его соотнесение с казахстанской практикой. Убедительно показано, как институциональные требования к раскрытию информации и внутрикорпоративная культура взаимно усиливают друг друга, создавая стимулы к «зелёной» модернизации и социальной ответственности. Особое внимание уделено роли ESG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рейтингов в достижении Целей устойчивого развития, что делает связь между оценкой и управленческими решениями прозрачной и воспроизводимой.</w:t>
      </w:r>
    </w:p>
    <w:p w14:paraId="34B11BF1" w14:textId="2513563C" w:rsidR="00271126" w:rsidRPr="00271126" w:rsidRDefault="00271126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26">
        <w:rPr>
          <w:rFonts w:ascii="Times New Roman" w:hAnsi="Times New Roman" w:cs="Times New Roman"/>
          <w:sz w:val="28"/>
          <w:szCs w:val="28"/>
        </w:rPr>
        <w:t>Третья глава</w:t>
      </w:r>
      <w:r w:rsidR="00432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1126">
        <w:rPr>
          <w:rFonts w:ascii="Times New Roman" w:hAnsi="Times New Roman" w:cs="Times New Roman"/>
          <w:sz w:val="28"/>
          <w:szCs w:val="28"/>
        </w:rPr>
        <w:t>является аналитическим ядром монографии. Здесь обстоятельно раскрыт ресурсный потенциал регионов: природно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 xml:space="preserve">климатические и географические условия, структура и динамика трудовых ресурсов, демографические и миграционные процессы, а также источники финансирования развития. Важным вкладом является оценка участия регионов в реализации национальных проектов через призму ЦУР и анализ логистической инфраструктуры как связующего элемента устойчивости. По моему мнению, особенно ценна эмпирическая часть с оценкой приверженности около 250 казахстанских предприятий </w:t>
      </w:r>
      <w:r w:rsidRPr="00271126">
        <w:rPr>
          <w:rFonts w:ascii="Times New Roman" w:hAnsi="Times New Roman" w:cs="Times New Roman"/>
          <w:sz w:val="28"/>
          <w:szCs w:val="28"/>
        </w:rPr>
        <w:lastRenderedPageBreak/>
        <w:t>ESG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культуре: такой массив позволяет выявить отраслевые и территориальные паттерны и наметить приоритеты для регуляторов и бизнеса.</w:t>
      </w:r>
    </w:p>
    <w:p w14:paraId="0989C8F1" w14:textId="77777777" w:rsidR="00271126" w:rsidRPr="00271126" w:rsidRDefault="00271126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26">
        <w:rPr>
          <w:rFonts w:ascii="Times New Roman" w:hAnsi="Times New Roman" w:cs="Times New Roman"/>
          <w:sz w:val="28"/>
          <w:szCs w:val="28"/>
        </w:rPr>
        <w:t>Четвёртая глава носит ярко выраженный прикладной характер. Представлена «карта ресурсного обеспечения регионов», обоснована Национальная методология рейтинга ESG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развития регионов для оценки качества регионального управления с учётом экологических рисков, описаны механизмы сетевого взаимодействия на базе межфирменных связей компаний с ESG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статусом. Существенным достоинством является переход от диагностики к инструментарию: показано, как выявленные дисбалансы могут быть нивелированы через институциональные меры, расширение источников финансирования и тиражирование лучших практик. Логика полного управленческого цикла</w:t>
      </w:r>
      <w:r w:rsidR="00161209">
        <w:rPr>
          <w:rFonts w:ascii="Times New Roman" w:hAnsi="Times New Roman" w:cs="Times New Roman"/>
          <w:sz w:val="28"/>
          <w:szCs w:val="28"/>
        </w:rPr>
        <w:t xml:space="preserve">, </w:t>
      </w:r>
      <w:r w:rsidR="00161209">
        <w:rPr>
          <w:rFonts w:ascii="Times New Roman" w:hAnsi="Times New Roman" w:cs="Times New Roman"/>
          <w:sz w:val="28"/>
          <w:szCs w:val="28"/>
          <w:lang w:val="ru-RU"/>
        </w:rPr>
        <w:t>включающие</w:t>
      </w:r>
      <w:r w:rsidRPr="00271126">
        <w:rPr>
          <w:rFonts w:ascii="Times New Roman" w:hAnsi="Times New Roman" w:cs="Times New Roman"/>
          <w:sz w:val="28"/>
          <w:szCs w:val="28"/>
        </w:rPr>
        <w:t xml:space="preserve"> измерение, сопоставление, интервенция и мониторинг</w:t>
      </w:r>
      <w:r w:rsidR="0016120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71126">
        <w:rPr>
          <w:rFonts w:ascii="Times New Roman" w:hAnsi="Times New Roman" w:cs="Times New Roman"/>
          <w:sz w:val="28"/>
          <w:szCs w:val="28"/>
        </w:rPr>
        <w:t xml:space="preserve"> описана ясно и убедительно.</w:t>
      </w:r>
    </w:p>
    <w:p w14:paraId="05EE8E9C" w14:textId="77777777" w:rsidR="00271126" w:rsidRPr="00271126" w:rsidRDefault="00271126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26">
        <w:rPr>
          <w:rFonts w:ascii="Times New Roman" w:hAnsi="Times New Roman" w:cs="Times New Roman"/>
          <w:sz w:val="28"/>
          <w:szCs w:val="28"/>
        </w:rPr>
        <w:t>Новизна монографии</w:t>
      </w:r>
      <w:r w:rsidR="00161209">
        <w:rPr>
          <w:rFonts w:ascii="Times New Roman" w:hAnsi="Times New Roman" w:cs="Times New Roman"/>
          <w:sz w:val="28"/>
          <w:szCs w:val="28"/>
          <w:lang w:val="ru-RU"/>
        </w:rPr>
        <w:t xml:space="preserve"> состоит</w:t>
      </w:r>
      <w:r w:rsidRPr="00271126">
        <w:rPr>
          <w:rFonts w:ascii="Times New Roman" w:hAnsi="Times New Roman" w:cs="Times New Roman"/>
          <w:sz w:val="28"/>
          <w:szCs w:val="28"/>
        </w:rPr>
        <w:t xml:space="preserve"> в артикуляции «триединой» оптики ESG применительно к региональной политике. Убедительно демонстрируется, что устойчивость возникает на стыке корпоративного управления, социальной включённости и экологической ответственности, а связующим узлом выступают сетевые формы кооперации и прозрачная отчётность. Практическая значимость подтверждается разработанными схемами оценки, логикой интеграции ESG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показателей в региональные программы и ориентацией на достижение ЦУР; предложенные подходы могут стать основой для региональных дорожных карт, корпоративных стратегий устойчивости и образовательных модулей для управленческих кадров.</w:t>
      </w:r>
    </w:p>
    <w:p w14:paraId="2BE1ADF8" w14:textId="77777777" w:rsidR="00271126" w:rsidRPr="00271126" w:rsidRDefault="00271126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26">
        <w:rPr>
          <w:rFonts w:ascii="Times New Roman" w:hAnsi="Times New Roman" w:cs="Times New Roman"/>
          <w:sz w:val="28"/>
          <w:szCs w:val="28"/>
        </w:rPr>
        <w:t>Отмечу и ряд конструктивных замечаний, не умаляющих достоинств работы. Во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первых, терминологическая унификация (написание «ESG</w:t>
      </w:r>
      <w:r w:rsidR="0016120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71126">
        <w:rPr>
          <w:rFonts w:ascii="Times New Roman" w:hAnsi="Times New Roman" w:cs="Times New Roman"/>
          <w:sz w:val="28"/>
          <w:szCs w:val="28"/>
        </w:rPr>
        <w:t>отчётность», «проустойчивое развитие», «демонстрация») повысила бы стилистическую цельность текста. Во</w:t>
      </w:r>
      <w:r w:rsidR="0016120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71126">
        <w:rPr>
          <w:rFonts w:ascii="Times New Roman" w:hAnsi="Times New Roman" w:cs="Times New Roman"/>
          <w:sz w:val="28"/>
          <w:szCs w:val="28"/>
        </w:rPr>
        <w:t>вторых, методологический блок рейтинга регионов выиграл бы от более детальной экспликации операционализации индикаторов и процедур валидации: веса показателей, правила агрегирования, пороги значимости, чувствительность к исходным допущениям, воспроизводимость расчётов и открытость исходных данных. В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третьих, включение нескольких развёрнутых кейсов по регионам и прототипа цифрового дашборда повысило бы прикладную ценность. Наконец, полезной видится увязка методологии с инструментами «зелёных» финансов</w:t>
      </w:r>
      <w:r w:rsidR="00161209">
        <w:rPr>
          <w:rFonts w:ascii="Times New Roman" w:hAnsi="Times New Roman" w:cs="Times New Roman"/>
          <w:sz w:val="28"/>
          <w:szCs w:val="28"/>
          <w:lang w:val="ru-RU"/>
        </w:rPr>
        <w:t>, такими как</w:t>
      </w:r>
      <w:r w:rsidRPr="00271126">
        <w:rPr>
          <w:rFonts w:ascii="Times New Roman" w:hAnsi="Times New Roman" w:cs="Times New Roman"/>
          <w:sz w:val="28"/>
          <w:szCs w:val="28"/>
        </w:rPr>
        <w:t xml:space="preserve"> устойчив</w:t>
      </w:r>
      <w:proofErr w:type="spellStart"/>
      <w:r w:rsidR="00161209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27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126">
        <w:rPr>
          <w:rFonts w:ascii="Times New Roman" w:hAnsi="Times New Roman" w:cs="Times New Roman"/>
          <w:sz w:val="28"/>
          <w:szCs w:val="28"/>
        </w:rPr>
        <w:t>облигаци</w:t>
      </w:r>
      <w:proofErr w:type="spellEnd"/>
      <w:r w:rsidR="0016120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71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126">
        <w:rPr>
          <w:rFonts w:ascii="Times New Roman" w:hAnsi="Times New Roman" w:cs="Times New Roman"/>
          <w:sz w:val="28"/>
          <w:szCs w:val="28"/>
        </w:rPr>
        <w:t>льготн</w:t>
      </w:r>
      <w:r w:rsidR="00161209">
        <w:rPr>
          <w:rFonts w:ascii="Times New Roman" w:hAnsi="Times New Roman" w:cs="Times New Roman"/>
          <w:sz w:val="28"/>
          <w:szCs w:val="28"/>
          <w:lang w:val="ru-RU"/>
        </w:rPr>
        <w:t>ое</w:t>
      </w:r>
      <w:proofErr w:type="spellEnd"/>
      <w:r w:rsidRPr="00271126">
        <w:rPr>
          <w:rFonts w:ascii="Times New Roman" w:hAnsi="Times New Roman" w:cs="Times New Roman"/>
          <w:sz w:val="28"/>
          <w:szCs w:val="28"/>
        </w:rPr>
        <w:t xml:space="preserve"> кредитование и </w:t>
      </w:r>
      <w:proofErr w:type="spellStart"/>
      <w:r w:rsidRPr="00271126">
        <w:rPr>
          <w:rFonts w:ascii="Times New Roman" w:hAnsi="Times New Roman" w:cs="Times New Roman"/>
          <w:sz w:val="28"/>
          <w:szCs w:val="28"/>
        </w:rPr>
        <w:t>оценк</w:t>
      </w:r>
      <w:proofErr w:type="spellEnd"/>
      <w:r w:rsidR="0016120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71126">
        <w:rPr>
          <w:rFonts w:ascii="Times New Roman" w:hAnsi="Times New Roman" w:cs="Times New Roman"/>
          <w:sz w:val="28"/>
          <w:szCs w:val="28"/>
        </w:rPr>
        <w:t xml:space="preserve"> межрегиональных мультипликаторов.</w:t>
      </w:r>
    </w:p>
    <w:p w14:paraId="0BDBDEE2" w14:textId="77777777" w:rsidR="00271126" w:rsidRPr="00271126" w:rsidRDefault="00271126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26">
        <w:rPr>
          <w:rFonts w:ascii="Times New Roman" w:hAnsi="Times New Roman" w:cs="Times New Roman"/>
          <w:sz w:val="28"/>
          <w:szCs w:val="28"/>
        </w:rPr>
        <w:t xml:space="preserve">Тем не менее, в целом текст выдержан в классической научной логике: от постановки проблемы к обзору, от обзора к методам, от методов к оценкам и рекомендациям. Аргументация подкреплена статистикой и нормативной базой, выводы корреспондируют с повесткой декарбонизации, социальной инклюзии и повышения качества корпоративного управления. </w:t>
      </w:r>
      <w:r w:rsidRPr="00271126">
        <w:rPr>
          <w:rFonts w:ascii="Times New Roman" w:hAnsi="Times New Roman" w:cs="Times New Roman"/>
          <w:sz w:val="28"/>
          <w:szCs w:val="28"/>
        </w:rPr>
        <w:lastRenderedPageBreak/>
        <w:t xml:space="preserve">Монография демонстрирует системность, междисциплинарность и ясную адресность </w:t>
      </w:r>
      <w:r w:rsidR="00161209">
        <w:rPr>
          <w:rFonts w:ascii="Times New Roman" w:hAnsi="Times New Roman" w:cs="Times New Roman"/>
          <w:sz w:val="28"/>
          <w:szCs w:val="28"/>
          <w:lang w:val="ru-RU"/>
        </w:rPr>
        <w:t>заинтересованным лицам</w:t>
      </w:r>
      <w:r w:rsidRPr="00271126">
        <w:rPr>
          <w:rFonts w:ascii="Times New Roman" w:hAnsi="Times New Roman" w:cs="Times New Roman"/>
          <w:sz w:val="28"/>
          <w:szCs w:val="28"/>
        </w:rPr>
        <w:t>.</w:t>
      </w:r>
    </w:p>
    <w:p w14:paraId="0D024B23" w14:textId="2C4FE8B3" w:rsidR="005046BB" w:rsidRPr="00271126" w:rsidRDefault="00432680" w:rsidP="00271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изложенное позволяет заключить</w:t>
      </w:r>
      <w:r w:rsidR="00271126" w:rsidRPr="00271126">
        <w:rPr>
          <w:rFonts w:ascii="Times New Roman" w:hAnsi="Times New Roman" w:cs="Times New Roman"/>
          <w:sz w:val="28"/>
          <w:szCs w:val="28"/>
        </w:rPr>
        <w:t>, что монография «Триединая концепция ESG устойчивого развития регионов» является своевременным и содержательно насыщенным исследованием, способным придать импульс развитию ESG</w:t>
      </w:r>
      <w:r w:rsidR="00271126" w:rsidRPr="00271126">
        <w:rPr>
          <w:rFonts w:ascii="Times New Roman" w:hAnsi="Times New Roman" w:cs="Times New Roman"/>
          <w:sz w:val="28"/>
          <w:szCs w:val="28"/>
        </w:rPr>
        <w:noBreakHyphen/>
        <w:t xml:space="preserve">культуры и улучшению качества регионального управления в Казахстане. Работа рекомендуется к публикации и широкому распространению среди региональных администраций, национальных компаний, образовательных программ и бизнеса, вовлечённого в устойчивую трансформацию экономики. Материал одинаково полезен исследователям, практикам публичного управления и менеджерам компаний, выстраивающим стратегию устойчивости. </w:t>
      </w:r>
    </w:p>
    <w:sectPr w:rsidR="005046BB" w:rsidRPr="0027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26"/>
    <w:rsid w:val="00161209"/>
    <w:rsid w:val="001C1C08"/>
    <w:rsid w:val="00271126"/>
    <w:rsid w:val="003B098A"/>
    <w:rsid w:val="00432680"/>
    <w:rsid w:val="004D6C2F"/>
    <w:rsid w:val="005046BB"/>
    <w:rsid w:val="0051351F"/>
    <w:rsid w:val="008135AF"/>
    <w:rsid w:val="008B60C9"/>
    <w:rsid w:val="00D11564"/>
    <w:rsid w:val="00D43F86"/>
    <w:rsid w:val="00E07F63"/>
    <w:rsid w:val="00F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6989"/>
  <w15:chartTrackingRefBased/>
  <w15:docId w15:val="{D26CE4F2-A83A-9C47-9BE2-51F56DA8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Kh</dc:creator>
  <cp:keywords/>
  <dc:description/>
  <cp:lastModifiedBy>Ainagul Adambekova</cp:lastModifiedBy>
  <cp:revision>2</cp:revision>
  <dcterms:created xsi:type="dcterms:W3CDTF">2025-08-20T04:09:00Z</dcterms:created>
  <dcterms:modified xsi:type="dcterms:W3CDTF">2025-08-20T04:09:00Z</dcterms:modified>
</cp:coreProperties>
</file>