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360FF" w14:textId="77777777" w:rsidR="0050551A" w:rsidRPr="00271126" w:rsidRDefault="0050551A" w:rsidP="005055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Данная</w:t>
      </w:r>
      <w:r w:rsidRPr="00271126">
        <w:rPr>
          <w:rFonts w:ascii="Times New Roman" w:hAnsi="Times New Roman" w:cs="Times New Roman"/>
          <w:sz w:val="28"/>
          <w:szCs w:val="28"/>
        </w:rPr>
        <w:t xml:space="preserve"> монография предлагает цельную концептуально</w:t>
      </w:r>
      <w:r w:rsidRPr="00271126">
        <w:rPr>
          <w:rFonts w:ascii="Times New Roman" w:hAnsi="Times New Roman" w:cs="Times New Roman"/>
          <w:sz w:val="28"/>
          <w:szCs w:val="28"/>
        </w:rPr>
        <w:noBreakHyphen/>
        <w:t>прикладную рамку для осмысления и внедрения ESG на уровне регионов Казахстана</w:t>
      </w:r>
      <w:r w:rsidRPr="0051351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В исследовательской работе</w:t>
      </w:r>
      <w:r w:rsidRPr="002711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представлен</w:t>
      </w:r>
      <w:r w:rsidRPr="00271126">
        <w:rPr>
          <w:rFonts w:ascii="Times New Roman" w:hAnsi="Times New Roman" w:cs="Times New Roman"/>
          <w:sz w:val="28"/>
          <w:szCs w:val="28"/>
        </w:rPr>
        <w:t xml:space="preserve"> аналитический обзор, методологи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271126">
        <w:rPr>
          <w:rFonts w:ascii="Times New Roman" w:hAnsi="Times New Roman" w:cs="Times New Roman"/>
          <w:sz w:val="28"/>
          <w:szCs w:val="28"/>
        </w:rPr>
        <w:t xml:space="preserve"> и инструменты управленческого применения. 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271126">
        <w:rPr>
          <w:rFonts w:ascii="Times New Roman" w:hAnsi="Times New Roman" w:cs="Times New Roman"/>
          <w:sz w:val="28"/>
          <w:szCs w:val="28"/>
        </w:rPr>
        <w:t>ильная сторона исследования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заключается</w:t>
      </w:r>
      <w:r w:rsidRPr="00271126">
        <w:rPr>
          <w:rFonts w:ascii="Times New Roman" w:hAnsi="Times New Roman" w:cs="Times New Roman"/>
          <w:sz w:val="28"/>
          <w:szCs w:val="28"/>
        </w:rPr>
        <w:t xml:space="preserve"> в переводе дискуссии об ESG из узкой корпоративной плоскости в пространство региональной политики, где фокус смещается к межсекторной координации, инфраструктурным ограничениям и институциональному качеству управления.</w:t>
      </w:r>
    </w:p>
    <w:p w14:paraId="21C4F248" w14:textId="77777777" w:rsidR="005B3E52" w:rsidRDefault="005B3E52"/>
    <w:sectPr w:rsidR="005B3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51A"/>
    <w:rsid w:val="0050551A"/>
    <w:rsid w:val="005B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9E703"/>
  <w15:chartTrackingRefBased/>
  <w15:docId w15:val="{F1AE3F26-D4CB-49DF-9ACA-83D33DD7B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51A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Ainagul Adambekova</dc:creator>
  <cp:keywords/>
  <dc:description/>
  <cp:lastModifiedBy>Ainagul Adambekova</cp:lastModifiedBy>
  <cp:revision>1</cp:revision>
  <dcterms:created xsi:type="dcterms:W3CDTF">2026-01-08T09:42:00Z</dcterms:created>
  <dcterms:modified xsi:type="dcterms:W3CDTF">2026-01-08T09:43:00Z</dcterms:modified>
</cp:coreProperties>
</file>