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C8" w:rsidRPr="00440D96" w:rsidRDefault="009B3AC8" w:rsidP="009B3AC8">
      <w:pPr>
        <w:pStyle w:val="ENJIE-pargrafo"/>
        <w:tabs>
          <w:tab w:val="left" w:pos="851"/>
        </w:tabs>
        <w:spacing w:after="0"/>
        <w:jc w:val="center"/>
        <w:rPr>
          <w:rFonts w:ascii="Garamond" w:hAnsi="Garamond"/>
          <w:b/>
          <w:sz w:val="24"/>
          <w:lang w:val="en-GB" w:eastAsia="pt-PT"/>
        </w:rPr>
      </w:pPr>
      <w:r w:rsidRPr="00D36354">
        <w:rPr>
          <w:rFonts w:ascii="Garamond" w:hAnsi="Garamond"/>
          <w:b/>
          <w:sz w:val="28"/>
          <w:szCs w:val="28"/>
          <w:lang w:val="en-GB" w:eastAsia="pt-PT"/>
        </w:rPr>
        <w:t>Youth tourism as a</w:t>
      </w:r>
      <w:r>
        <w:rPr>
          <w:rFonts w:ascii="Garamond" w:hAnsi="Garamond"/>
          <w:b/>
          <w:sz w:val="28"/>
          <w:szCs w:val="28"/>
          <w:lang w:val="kk-KZ" w:eastAsia="pt-PT"/>
        </w:rPr>
        <w:t xml:space="preserve"> </w:t>
      </w:r>
      <w:r>
        <w:rPr>
          <w:rFonts w:ascii="Garamond" w:hAnsi="Garamond"/>
          <w:b/>
          <w:sz w:val="28"/>
          <w:szCs w:val="28"/>
          <w:lang w:val="en-US" w:eastAsia="pt-PT"/>
        </w:rPr>
        <w:t>key</w:t>
      </w:r>
      <w:r w:rsidRPr="00D36354">
        <w:rPr>
          <w:rFonts w:ascii="Garamond" w:hAnsi="Garamond"/>
          <w:b/>
          <w:sz w:val="28"/>
          <w:szCs w:val="28"/>
          <w:lang w:val="en-GB" w:eastAsia="pt-PT"/>
        </w:rPr>
        <w:t xml:space="preserve"> </w:t>
      </w:r>
      <w:r>
        <w:rPr>
          <w:rFonts w:ascii="Garamond" w:hAnsi="Garamond"/>
          <w:b/>
          <w:sz w:val="28"/>
          <w:szCs w:val="28"/>
          <w:lang w:val="en-GB" w:eastAsia="pt-PT"/>
        </w:rPr>
        <w:t>driver</w:t>
      </w:r>
      <w:r w:rsidRPr="00D36354">
        <w:rPr>
          <w:rFonts w:ascii="Garamond" w:hAnsi="Garamond"/>
          <w:b/>
          <w:sz w:val="28"/>
          <w:szCs w:val="28"/>
          <w:lang w:val="en-GB" w:eastAsia="pt-PT"/>
        </w:rPr>
        <w:t xml:space="preserve"> for</w:t>
      </w:r>
      <w:r w:rsidRPr="00C77A2A">
        <w:rPr>
          <w:rFonts w:ascii="Garamond" w:hAnsi="Garamond"/>
          <w:b/>
          <w:sz w:val="28"/>
          <w:szCs w:val="28"/>
          <w:lang w:val="en-US" w:eastAsia="pt-PT"/>
        </w:rPr>
        <w:t xml:space="preserve"> </w:t>
      </w:r>
      <w:r>
        <w:rPr>
          <w:rFonts w:ascii="Garamond" w:hAnsi="Garamond"/>
          <w:b/>
          <w:sz w:val="28"/>
          <w:szCs w:val="28"/>
          <w:lang w:val="en-US" w:eastAsia="pt-PT"/>
        </w:rPr>
        <w:t>sustainable</w:t>
      </w:r>
      <w:r w:rsidRPr="00D36354">
        <w:rPr>
          <w:rFonts w:ascii="Garamond" w:hAnsi="Garamond"/>
          <w:b/>
          <w:sz w:val="28"/>
          <w:szCs w:val="28"/>
          <w:lang w:val="en-GB" w:eastAsia="pt-PT"/>
        </w:rPr>
        <w:t xml:space="preserve"> tourism development in Kazakhstan: international experience, national perspectives and conceptual development model</w:t>
      </w:r>
    </w:p>
    <w:p w:rsidR="009B3AC8" w:rsidRPr="00440D96" w:rsidRDefault="009B3AC8" w:rsidP="009B3AC8">
      <w:pPr>
        <w:pStyle w:val="ENJIE-pargrafo"/>
        <w:tabs>
          <w:tab w:val="left" w:pos="851"/>
        </w:tabs>
        <w:spacing w:after="0"/>
        <w:jc w:val="center"/>
        <w:rPr>
          <w:rFonts w:ascii="Garamond" w:hAnsi="Garamond"/>
          <w:b/>
          <w:sz w:val="24"/>
          <w:lang w:val="en-GB" w:eastAsia="pt-PT"/>
        </w:rPr>
      </w:pPr>
    </w:p>
    <w:p w:rsidR="009B3AC8" w:rsidRPr="00BC4BC4" w:rsidRDefault="009B3AC8" w:rsidP="009B3AC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Fatima Zhanibekova</w:t>
      </w:r>
    </w:p>
    <w:p w:rsidR="009B3AC8" w:rsidRPr="00440D96" w:rsidRDefault="009B3AC8" w:rsidP="009B3AC8">
      <w:pPr>
        <w:spacing w:after="0" w:line="240" w:lineRule="auto"/>
        <w:jc w:val="center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2"/>
          <w:lang w:val="en-GB"/>
        </w:rPr>
        <w:t>Al-Farabi Kazakh National University, Almaty, Kazakhstan</w:t>
      </w:r>
    </w:p>
    <w:p w:rsidR="009B3AC8" w:rsidRPr="00440D96" w:rsidRDefault="009B3AC8" w:rsidP="009B3AC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proofErr w:type="spellStart"/>
      <w:r>
        <w:rPr>
          <w:rFonts w:ascii="Garamond" w:hAnsi="Garamond"/>
          <w:b/>
          <w:bCs/>
          <w:sz w:val="24"/>
          <w:szCs w:val="24"/>
          <w:lang w:val="en-GB"/>
        </w:rPr>
        <w:t>Ardak</w:t>
      </w:r>
      <w:proofErr w:type="spellEnd"/>
      <w:r>
        <w:rPr>
          <w:rFonts w:ascii="Garamond" w:hAnsi="Garamond"/>
          <w:b/>
          <w:bCs/>
          <w:sz w:val="24"/>
          <w:szCs w:val="24"/>
          <w:lang w:val="en-GB"/>
        </w:rPr>
        <w:t xml:space="preserve"> Beisembinova</w:t>
      </w:r>
    </w:p>
    <w:p w:rsidR="009B3AC8" w:rsidRDefault="009B3AC8" w:rsidP="009B3AC8">
      <w:pPr>
        <w:spacing w:after="0" w:line="240" w:lineRule="auto"/>
        <w:jc w:val="center"/>
        <w:rPr>
          <w:rFonts w:ascii="Garamond" w:hAnsi="Garamond"/>
          <w:sz w:val="22"/>
          <w:lang w:val="en-GB"/>
        </w:rPr>
      </w:pPr>
      <w:r>
        <w:rPr>
          <w:rFonts w:ascii="Garamond" w:hAnsi="Garamond"/>
          <w:sz w:val="22"/>
          <w:lang w:val="en-GB"/>
        </w:rPr>
        <w:t>Al-Farabi Kazakh National University, Almaty, Kazakhstan</w:t>
      </w:r>
    </w:p>
    <w:p w:rsidR="009B3AC8" w:rsidRDefault="009B3AC8" w:rsidP="009B3AC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 w:rsidRPr="00BC4BC4">
        <w:rPr>
          <w:rFonts w:ascii="Garamond" w:hAnsi="Garamond"/>
          <w:b/>
          <w:bCs/>
          <w:sz w:val="24"/>
          <w:szCs w:val="24"/>
          <w:lang w:val="en-GB"/>
        </w:rPr>
        <w:t>Beykan Çizel</w:t>
      </w:r>
    </w:p>
    <w:p w:rsidR="009B3AC8" w:rsidRDefault="009B3AC8" w:rsidP="009B3AC8">
      <w:pPr>
        <w:spacing w:after="0" w:line="240" w:lineRule="auto"/>
        <w:jc w:val="center"/>
        <w:rPr>
          <w:rFonts w:ascii="Garamond" w:hAnsi="Garamond"/>
          <w:sz w:val="22"/>
          <w:lang w:val="en-GB"/>
        </w:rPr>
      </w:pPr>
      <w:proofErr w:type="spellStart"/>
      <w:r w:rsidRPr="00951F02">
        <w:rPr>
          <w:rFonts w:ascii="Garamond" w:hAnsi="Garamond"/>
          <w:sz w:val="22"/>
          <w:lang w:val="en-GB"/>
        </w:rPr>
        <w:t>Akdeniz</w:t>
      </w:r>
      <w:proofErr w:type="spellEnd"/>
      <w:r w:rsidRPr="00951F02">
        <w:rPr>
          <w:rFonts w:ascii="Garamond" w:hAnsi="Garamond"/>
          <w:sz w:val="22"/>
          <w:lang w:val="en-GB"/>
        </w:rPr>
        <w:t xml:space="preserve"> University, Antalya, Turkey</w:t>
      </w:r>
    </w:p>
    <w:p w:rsidR="009B3AC8" w:rsidRPr="00440D96" w:rsidRDefault="009B3AC8" w:rsidP="009B3AC8">
      <w:pPr>
        <w:pStyle w:val="ENJIE-pargrafo"/>
        <w:tabs>
          <w:tab w:val="left" w:pos="851"/>
        </w:tabs>
        <w:spacing w:after="0"/>
        <w:rPr>
          <w:rFonts w:ascii="Garamond" w:hAnsi="Garamond"/>
          <w:szCs w:val="20"/>
          <w:lang w:val="en-GB" w:eastAsia="pt-PT"/>
        </w:rPr>
      </w:pPr>
      <w:bookmarkStart w:id="0" w:name="_GoBack"/>
      <w:bookmarkEnd w:id="0"/>
    </w:p>
    <w:p w:rsidR="009B3AC8" w:rsidRDefault="009B3AC8" w:rsidP="009B3AC8">
      <w:pPr>
        <w:pStyle w:val="ENJIE-pargrafo"/>
        <w:tabs>
          <w:tab w:val="left" w:pos="851"/>
        </w:tabs>
        <w:spacing w:after="0"/>
        <w:jc w:val="both"/>
        <w:rPr>
          <w:rFonts w:ascii="Garamond" w:hAnsi="Garamond"/>
          <w:b/>
          <w:sz w:val="24"/>
          <w:lang w:val="en-GB" w:eastAsia="pt-PT"/>
        </w:rPr>
      </w:pPr>
      <w:r w:rsidRPr="00440D96">
        <w:rPr>
          <w:rFonts w:ascii="Garamond" w:hAnsi="Garamond"/>
          <w:b/>
          <w:sz w:val="24"/>
          <w:lang w:val="en-GB" w:eastAsia="pt-PT"/>
        </w:rPr>
        <w:t>Abstract</w:t>
      </w:r>
    </w:p>
    <w:p w:rsidR="009B3AC8" w:rsidRPr="00D36354" w:rsidRDefault="009B3AC8" w:rsidP="009B3AC8">
      <w:pPr>
        <w:pStyle w:val="ENJIE-pargrafo"/>
        <w:tabs>
          <w:tab w:val="left" w:pos="851"/>
        </w:tabs>
        <w:spacing w:after="0"/>
        <w:jc w:val="both"/>
        <w:rPr>
          <w:rFonts w:ascii="Garamond" w:hAnsi="Garamond"/>
          <w:sz w:val="24"/>
          <w:lang w:val="en-GB" w:eastAsia="pt-PT"/>
        </w:rPr>
      </w:pPr>
      <w:r w:rsidRPr="00D36354">
        <w:rPr>
          <w:rFonts w:ascii="Garamond" w:hAnsi="Garamond"/>
          <w:sz w:val="24"/>
          <w:lang w:val="en-GB" w:eastAsia="pt-PT"/>
        </w:rPr>
        <w:t>Youth tourism is a key driver of Kazakhstan’s tourism industry, offering significant opportunities for economic growth</w:t>
      </w:r>
      <w:r w:rsidRPr="00C77A2A">
        <w:rPr>
          <w:rFonts w:ascii="Garamond" w:hAnsi="Garamond"/>
          <w:sz w:val="24"/>
          <w:lang w:val="en-GB" w:eastAsia="pt-PT"/>
        </w:rPr>
        <w:t xml:space="preserve">, environmental preservation </w:t>
      </w:r>
      <w:r w:rsidRPr="00D36354">
        <w:rPr>
          <w:rFonts w:ascii="Garamond" w:hAnsi="Garamond"/>
          <w:sz w:val="24"/>
          <w:lang w:val="en-GB" w:eastAsia="pt-PT"/>
        </w:rPr>
        <w:t xml:space="preserve">and cultural exchange. Drawing on international experience, this paper examines how youth tourism can </w:t>
      </w:r>
      <w:r>
        <w:rPr>
          <w:rFonts w:ascii="Garamond" w:hAnsi="Garamond"/>
          <w:sz w:val="24"/>
          <w:lang w:val="en-GB" w:eastAsia="pt-PT"/>
        </w:rPr>
        <w:t>contribute to</w:t>
      </w:r>
      <w:r w:rsidRPr="00D36354">
        <w:rPr>
          <w:rFonts w:ascii="Garamond" w:hAnsi="Garamond"/>
          <w:sz w:val="24"/>
          <w:lang w:val="en-GB" w:eastAsia="pt-PT"/>
        </w:rPr>
        <w:t xml:space="preserve"> </w:t>
      </w:r>
      <w:r>
        <w:rPr>
          <w:rFonts w:ascii="Garamond" w:hAnsi="Garamond"/>
          <w:sz w:val="24"/>
          <w:lang w:val="en-GB" w:eastAsia="pt-PT"/>
        </w:rPr>
        <w:t xml:space="preserve">sustainable </w:t>
      </w:r>
      <w:r w:rsidRPr="00D36354">
        <w:rPr>
          <w:rFonts w:ascii="Garamond" w:hAnsi="Garamond"/>
          <w:sz w:val="24"/>
          <w:lang w:val="en-GB" w:eastAsia="pt-PT"/>
        </w:rPr>
        <w:t xml:space="preserve">tourism development in the country using </w:t>
      </w:r>
      <w:r>
        <w:rPr>
          <w:rFonts w:ascii="Garamond" w:hAnsi="Garamond"/>
          <w:sz w:val="24"/>
          <w:lang w:val="en-US" w:eastAsia="pt-PT"/>
        </w:rPr>
        <w:t xml:space="preserve">eco-friendly practices, </w:t>
      </w:r>
      <w:r w:rsidRPr="00D36354">
        <w:rPr>
          <w:rFonts w:ascii="Garamond" w:hAnsi="Garamond"/>
          <w:sz w:val="24"/>
          <w:lang w:val="en-GB" w:eastAsia="pt-PT"/>
        </w:rPr>
        <w:t>low-cost</w:t>
      </w:r>
      <w:r>
        <w:rPr>
          <w:rFonts w:ascii="Garamond" w:hAnsi="Garamond"/>
          <w:sz w:val="24"/>
          <w:lang w:val="en-GB" w:eastAsia="pt-PT"/>
        </w:rPr>
        <w:t xml:space="preserve"> </w:t>
      </w:r>
      <w:r w:rsidRPr="00D36354">
        <w:rPr>
          <w:rFonts w:ascii="Garamond" w:hAnsi="Garamond"/>
          <w:sz w:val="24"/>
          <w:lang w:val="en-GB" w:eastAsia="pt-PT"/>
        </w:rPr>
        <w:t>services,</w:t>
      </w:r>
      <w:r>
        <w:rPr>
          <w:rFonts w:ascii="Garamond" w:hAnsi="Garamond"/>
          <w:sz w:val="24"/>
          <w:lang w:val="kk-KZ" w:eastAsia="pt-PT"/>
        </w:rPr>
        <w:t xml:space="preserve"> </w:t>
      </w:r>
      <w:r w:rsidRPr="00D36354">
        <w:rPr>
          <w:rFonts w:ascii="Garamond" w:hAnsi="Garamond"/>
          <w:sz w:val="24"/>
          <w:lang w:val="en-GB" w:eastAsia="pt-PT"/>
        </w:rPr>
        <w:t xml:space="preserve">digital platforms, and government-supported initiatives. The study highlights Kazakhstan’s potential to adapt successful global models by integrating these approaches into a conceptual development model tailored to the country’s unique characteristics. This model emphasizes the </w:t>
      </w:r>
      <w:r>
        <w:rPr>
          <w:rFonts w:ascii="Garamond" w:hAnsi="Garamond"/>
          <w:sz w:val="24"/>
          <w:lang w:val="en-GB" w:eastAsia="pt-PT"/>
        </w:rPr>
        <w:t>development youth-oriented</w:t>
      </w:r>
      <w:r w:rsidRPr="00D36354">
        <w:rPr>
          <w:rFonts w:ascii="Garamond" w:hAnsi="Garamond"/>
          <w:sz w:val="24"/>
          <w:lang w:val="en-GB" w:eastAsia="pt-PT"/>
        </w:rPr>
        <w:t xml:space="preserve"> </w:t>
      </w:r>
      <w:r w:rsidRPr="00D36354">
        <w:rPr>
          <w:rFonts w:ascii="Garamond" w:hAnsi="Garamond"/>
          <w:sz w:val="24"/>
          <w:lang w:val="en-GB" w:eastAsia="pt-PT"/>
        </w:rPr>
        <w:t xml:space="preserve">infrastructure, the promotion of entrepreneurship in the tourism sector, and </w:t>
      </w:r>
      <w:r w:rsidRPr="00C77A2A">
        <w:rPr>
          <w:rFonts w:ascii="Garamond" w:hAnsi="Garamond"/>
          <w:sz w:val="24"/>
          <w:lang w:val="en-GB" w:eastAsia="pt-PT"/>
        </w:rPr>
        <w:t>the integration of ecotourism and adventure tourism to minimize environmental impact</w:t>
      </w:r>
      <w:r w:rsidRPr="00D36354">
        <w:rPr>
          <w:rFonts w:ascii="Garamond" w:hAnsi="Garamond"/>
          <w:sz w:val="24"/>
          <w:lang w:val="en-GB" w:eastAsia="pt-PT"/>
        </w:rPr>
        <w:t xml:space="preserve">. </w:t>
      </w:r>
      <w:r w:rsidRPr="009462C8">
        <w:rPr>
          <w:rFonts w:ascii="Garamond" w:hAnsi="Garamond"/>
          <w:sz w:val="24"/>
          <w:lang w:val="en-GB" w:eastAsia="pt-PT"/>
        </w:rPr>
        <w:t>In addition, the paper examines government support mechanisms such as subsidies</w:t>
      </w:r>
      <w:r>
        <w:rPr>
          <w:rFonts w:ascii="Garamond" w:hAnsi="Garamond"/>
          <w:sz w:val="24"/>
          <w:lang w:val="en-GB" w:eastAsia="pt-PT"/>
        </w:rPr>
        <w:t>,</w:t>
      </w:r>
      <w:r w:rsidRPr="009462C8">
        <w:rPr>
          <w:rFonts w:ascii="Garamond" w:hAnsi="Garamond"/>
          <w:sz w:val="24"/>
          <w:lang w:val="en-GB" w:eastAsia="pt-PT"/>
        </w:rPr>
        <w:t xml:space="preserve"> grants </w:t>
      </w:r>
      <w:r>
        <w:rPr>
          <w:rFonts w:ascii="Garamond" w:hAnsi="Garamond"/>
          <w:sz w:val="24"/>
          <w:lang w:val="en-GB" w:eastAsia="pt-PT"/>
        </w:rPr>
        <w:t xml:space="preserve">and educational programs </w:t>
      </w:r>
      <w:r w:rsidRPr="009462C8">
        <w:rPr>
          <w:rFonts w:ascii="Garamond" w:hAnsi="Garamond"/>
          <w:sz w:val="24"/>
          <w:lang w:val="en-GB" w:eastAsia="pt-PT"/>
        </w:rPr>
        <w:t xml:space="preserve">to encourage innovation </w:t>
      </w:r>
      <w:r w:rsidRPr="00C77A2A">
        <w:rPr>
          <w:rFonts w:ascii="Garamond" w:hAnsi="Garamond"/>
          <w:sz w:val="24"/>
          <w:lang w:val="en-GB" w:eastAsia="pt-PT"/>
        </w:rPr>
        <w:t>sustainability, and youth engagement in tourism</w:t>
      </w:r>
      <w:r w:rsidRPr="009462C8">
        <w:rPr>
          <w:rFonts w:ascii="Garamond" w:hAnsi="Garamond"/>
          <w:sz w:val="24"/>
          <w:lang w:val="en-GB" w:eastAsia="pt-PT"/>
        </w:rPr>
        <w:t xml:space="preserve">. </w:t>
      </w:r>
      <w:r w:rsidRPr="00C77A2A">
        <w:rPr>
          <w:rFonts w:ascii="Garamond" w:hAnsi="Garamond"/>
          <w:sz w:val="24"/>
          <w:lang w:val="en-GB" w:eastAsia="pt-PT"/>
        </w:rPr>
        <w:t>By positioning Kazakhstan as a competitive and sustainable youth tourism destination, this study outlines a roadmap for achieving long-term sustainable development of the national tourism industry while preserving its natural and cultural heritage.</w:t>
      </w:r>
    </w:p>
    <w:p w:rsidR="009B3AC8" w:rsidRPr="00440D96" w:rsidRDefault="009B3AC8" w:rsidP="009B3AC8">
      <w:pPr>
        <w:pStyle w:val="ENJIE-pargrafo"/>
        <w:tabs>
          <w:tab w:val="left" w:pos="851"/>
        </w:tabs>
        <w:spacing w:after="0"/>
        <w:rPr>
          <w:rFonts w:ascii="Garamond" w:hAnsi="Garamond"/>
          <w:sz w:val="24"/>
          <w:lang w:val="en-GB" w:eastAsia="pt-PT"/>
        </w:rPr>
      </w:pPr>
    </w:p>
    <w:p w:rsidR="005B3D5C" w:rsidRDefault="009B3AC8" w:rsidP="009B3AC8">
      <w:r w:rsidRPr="00440D96">
        <w:rPr>
          <w:rFonts w:ascii="Garamond" w:hAnsi="Garamond"/>
          <w:b/>
          <w:sz w:val="24"/>
          <w:lang w:val="en-GB" w:eastAsia="pt-PT"/>
        </w:rPr>
        <w:t>Key Words:</w:t>
      </w:r>
      <w:r w:rsidRPr="00440D96">
        <w:rPr>
          <w:rFonts w:ascii="Garamond" w:hAnsi="Garamond"/>
          <w:sz w:val="24"/>
          <w:lang w:val="en-GB" w:eastAsia="pt-PT"/>
        </w:rPr>
        <w:t xml:space="preserve"> </w:t>
      </w:r>
      <w:r>
        <w:rPr>
          <w:rFonts w:ascii="Garamond" w:hAnsi="Garamond"/>
          <w:sz w:val="24"/>
          <w:lang w:val="en-GB" w:eastAsia="pt-PT"/>
        </w:rPr>
        <w:t>youth, youth tourism, tourism development, international practices, sustainable tourism, conceptual model</w:t>
      </w:r>
      <w:r w:rsidRPr="00C77A2A">
        <w:rPr>
          <w:rFonts w:ascii="Garamond" w:hAnsi="Garamond"/>
          <w:sz w:val="24"/>
          <w:lang w:val="en-US" w:eastAsia="pt-PT"/>
        </w:rPr>
        <w:t>.</w:t>
      </w:r>
    </w:p>
    <w:sectPr w:rsidR="005B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C8"/>
    <w:rsid w:val="003476C8"/>
    <w:rsid w:val="005B3D5C"/>
    <w:rsid w:val="009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5AE5"/>
  <w15:chartTrackingRefBased/>
  <w15:docId w15:val="{3E962AEE-43A1-414E-B145-0AD4EC9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C8"/>
    <w:pPr>
      <w:spacing w:after="200" w:line="276" w:lineRule="auto"/>
    </w:pPr>
    <w:rPr>
      <w:rFonts w:ascii="Century Gothic" w:eastAsia="Times New Roman" w:hAnsi="Century Gothic" w:cs="Times New Roman"/>
      <w:sz w:val="20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JIE-pargrafo">
    <w:name w:val="ENJIE-parágrafo"/>
    <w:basedOn w:val="a"/>
    <w:rsid w:val="009B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Жанибекова Фатима Илизовна</dc:creator>
  <cp:keywords/>
  <dc:description/>
  <cp:lastModifiedBy>Жанибекова Фатима Илизовна</cp:lastModifiedBy>
  <cp:revision>2</cp:revision>
  <dcterms:created xsi:type="dcterms:W3CDTF">2024-11-19T09:30:00Z</dcterms:created>
  <dcterms:modified xsi:type="dcterms:W3CDTF">2024-11-19T09:30:00Z</dcterms:modified>
</cp:coreProperties>
</file>