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B2EAE" w14:textId="77777777" w:rsidR="00936BDA" w:rsidRDefault="001E31D9">
      <w:pPr>
        <w:spacing w:after="2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 ОЦЕНКЕ МОРФО-ГИСТОЛОГИЧЕСКОГО СОСТОЯНИЯ ОРГАНОВ ДОМОВОЙ МЫШИ (MUS MUSCULUS) В ЮЖНО-КАЗАХСТАНСКОЙ И КЫЗЫЛОРДИНСКОЙ ОБЛАСТЯХ</w:t>
      </w:r>
    </w:p>
    <w:p w14:paraId="73DAB4E1" w14:textId="2EAB7892" w:rsidR="00936BDA" w:rsidRDefault="001E31D9">
      <w:pPr>
        <w:spacing w:after="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Гусейнова Д</w:t>
      </w:r>
      <w:r w:rsidR="00D91541">
        <w:rPr>
          <w:rFonts w:ascii="Times New Roman" w:eastAsia="Times New Roman" w:hAnsi="Times New Roman" w:cs="Times New Roman"/>
          <w:i/>
        </w:rPr>
        <w:t>.Ю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vertAlign w:val="superscript"/>
        </w:rPr>
        <w:t>1</w:t>
      </w:r>
      <w:r>
        <w:rPr>
          <w:rFonts w:ascii="Times New Roman" w:eastAsia="Times New Roman" w:hAnsi="Times New Roman" w:cs="Times New Roman"/>
          <w:i/>
        </w:rPr>
        <w:t>, Жаркова И.М.</w:t>
      </w:r>
      <w:r>
        <w:rPr>
          <w:rFonts w:ascii="Times New Roman" w:eastAsia="Times New Roman" w:hAnsi="Times New Roman" w:cs="Times New Roman"/>
          <w:i/>
          <w:vertAlign w:val="superscript"/>
        </w:rPr>
        <w:t>1</w:t>
      </w:r>
      <w:r>
        <w:rPr>
          <w:rFonts w:ascii="Times New Roman" w:eastAsia="Times New Roman" w:hAnsi="Times New Roman" w:cs="Times New Roman"/>
          <w:i/>
        </w:rPr>
        <w:t>, Суворова М.А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i/>
          <w:vertAlign w:val="superscript"/>
        </w:rPr>
        <w:t>1</w:t>
      </w:r>
    </w:p>
    <w:p w14:paraId="285A1CB1" w14:textId="77777777" w:rsidR="00936BDA" w:rsidRDefault="001E31D9">
      <w:pPr>
        <w:spacing w:after="20"/>
        <w:jc w:val="center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  <w:vertAlign w:val="superscript"/>
        </w:rPr>
        <w:t>1</w:t>
      </w:r>
      <w:r>
        <w:rPr>
          <w:rFonts w:ascii="Times New Roman" w:eastAsia="Times New Roman" w:hAnsi="Times New Roman" w:cs="Times New Roman"/>
          <w:i/>
        </w:rPr>
        <w:t>Казахский Национальный Университет им. аль-Фараби, Алматы, Казахстан</w:t>
      </w:r>
    </w:p>
    <w:p w14:paraId="240B7D02" w14:textId="77777777" w:rsidR="00936BDA" w:rsidRDefault="00936BDA">
      <w:pPr>
        <w:spacing w:after="2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C76CDF" w14:textId="77777777" w:rsidR="00936BDA" w:rsidRDefault="001E31D9">
      <w:pPr>
        <w:spacing w:before="20" w:after="2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Аннотация</w:t>
      </w:r>
    </w:p>
    <w:p w14:paraId="68A89B39" w14:textId="77777777" w:rsidR="00936BDA" w:rsidRDefault="001E31D9">
      <w:pPr>
        <w:spacing w:before="20"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данной статье приведены результаты оценки состояния окружающей среды в районах урановых шахт Кызылординской и Южно-Казахстанской областях с помощью домовой мыши (Mus musculus), с помощью морфологических и гистологических методов исследований. Группы мышевидных грызунов являются одними из наиболее удобных и широко распространенных объектов для биоиндикации наземных экосистем, так как они являются космополитными видами и изучение их морфологических, а также биологических характеристик позволяет достаточно точно определить влияние неблагоприятных факторов на организм. </w:t>
      </w:r>
    </w:p>
    <w:p w14:paraId="2757CF59" w14:textId="77777777" w:rsidR="00936BDA" w:rsidRPr="00F24801" w:rsidRDefault="001E31D9">
      <w:pPr>
        <w:spacing w:before="20"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ходе работы были установлены достоверные изменения индекса массы тела и внутренних органов, показаны нарушения механизмов адаптации под воздействием длительного стресса и патоморфологические изменения печени и почек.</w:t>
      </w:r>
    </w:p>
    <w:p w14:paraId="6EBA438C" w14:textId="77777777" w:rsidR="00936BDA" w:rsidRDefault="00936BDA">
      <w:pPr>
        <w:spacing w:before="20"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BE573A" w14:textId="77777777" w:rsidR="00936BDA" w:rsidRDefault="001E31D9">
      <w:pPr>
        <w:spacing w:before="20"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Ключевые слова: </w:t>
      </w:r>
      <w:r>
        <w:rPr>
          <w:rFonts w:ascii="Times New Roman" w:eastAsia="Times New Roman" w:hAnsi="Times New Roman" w:cs="Times New Roman"/>
          <w:sz w:val="24"/>
          <w:szCs w:val="24"/>
        </w:rPr>
        <w:t>экомониторинг, индекс массы, печень, почки, биоиндикация, морфологический анализ, гистопатологический анализ</w:t>
      </w:r>
    </w:p>
    <w:p w14:paraId="7325588F" w14:textId="77777777" w:rsidR="00936BDA" w:rsidRDefault="00936BDA">
      <w:pPr>
        <w:spacing w:before="20" w:after="2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C355F7" w14:textId="77777777" w:rsidR="00936BDA" w:rsidRDefault="001E31D9">
      <w:pPr>
        <w:spacing w:before="20" w:after="2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Введение</w:t>
      </w:r>
    </w:p>
    <w:p w14:paraId="32C5D3DA" w14:textId="77777777" w:rsidR="00936BDA" w:rsidRDefault="001E31D9">
      <w:pPr>
        <w:spacing w:before="20"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сегодняшний день Казахстан обладает одной пятой мировых запасов урана и расширяющимся горнодобывающим сектором. Развитие уранодобывающей промышленности, в частности, процесс добычи, транспортировка к местам обогащения и обратно, измельчение и переработка руды привело к возникновению вопросов о состоянии радиоэкологической обстановки на территории Республики Казахстан [1]. Сам процесс добычи и переработки урана непосредственно сопровождается накоплением радиоактивных отходов в больших объемах, в следствие чего возникает вопрос о состоянии экосистем. Для оценки качества окружающей среды очень часто используется метод биоиндикации [2], основанный на реакции живых организмов (биоиндикаторов), который позволяет оценить антропогенное воздействие на среду обитания в показателях, имеющих биологический смысл [3,4]. </w:t>
      </w:r>
    </w:p>
    <w:p w14:paraId="6A5D140E" w14:textId="77777777" w:rsidR="00936BDA" w:rsidRDefault="001E31D9">
      <w:pPr>
        <w:spacing w:before="20"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Мелкие грызуны широко используются как объекты экологического мониторинга (Безель и др, 1986), в том числе для биоиндикации мутагенных и канцерогенных эффектов загрязнения среды (Зайнуллин, 1998; Захаров и др., 2000; Husby et al., 1999) [5-7]. Благодаря изучению их морфологических и биологических показателей можно оценить степень антропогенного воздействия не только на окружающую среду, но и на местное население, живущее в изучаемом регионе. </w:t>
      </w:r>
    </w:p>
    <w:p w14:paraId="0FD75054" w14:textId="77777777" w:rsidR="00936BDA" w:rsidRDefault="00936BDA">
      <w:pPr>
        <w:spacing w:before="20" w:after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3167ED" w14:textId="77777777" w:rsidR="00936BDA" w:rsidRDefault="001E31D9">
      <w:pPr>
        <w:spacing w:before="20" w:after="2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Материалы и методы</w:t>
      </w:r>
    </w:p>
    <w:p w14:paraId="4C6CDEE4" w14:textId="77777777" w:rsidR="00936BDA" w:rsidRDefault="001E31D9">
      <w:pPr>
        <w:spacing w:before="20"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целью морфо-экологического исследования в лабораторию поступили 26 мышевидных грызунов из 5 точек: 1 - Акбастау, Куланды, 2 - Харасан 2, Карамурын, 3 - Акдала, Мынкудук, 4 – Канжуган; контроль отбирался в Зимовке Шолакеспе. </w:t>
      </w:r>
    </w:p>
    <w:p w14:paraId="07AFAAF8" w14:textId="77777777" w:rsidR="00936BDA" w:rsidRDefault="001E31D9">
      <w:pPr>
        <w:spacing w:before="20"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Объекты были в активном состоянии. Согласно определителю по Виноградову [7], все особи имели соответствие с видом домовая мышь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Mus musculus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 Внешне у всех особей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волосяной покров был сохранный, без повреждений, шерсть блестящая, кожа ровная, отмечалось небольшое количество блох, грибковых и других повреждений обнаружено не было. </w:t>
      </w:r>
    </w:p>
    <w:p w14:paraId="793EB346" w14:textId="77777777" w:rsidR="00936BDA" w:rsidRDefault="001E31D9">
      <w:pPr>
        <w:spacing w:before="20"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изучения функциональных характеристик у отловленных животных применялся метод морфофизиологических индикаторов [8]. Определение массы тела, массы тушки и массы органов проводили с помощью лабораторных весов Ohaus SPU123, НПВ 120г, дискретность 0,001г. Макроскопию внутренних органов проводили с помощью цифрового стереоскопического тринокулярного микроскопа Motic DMW 143, оснащенного устройством вывода изображения на экран ПК. </w:t>
      </w:r>
    </w:p>
    <w:p w14:paraId="757073B2" w14:textId="77777777" w:rsidR="00936BDA" w:rsidRDefault="001E31D9">
      <w:pPr>
        <w:pBdr>
          <w:top w:val="nil"/>
          <w:left w:val="nil"/>
          <w:bottom w:val="nil"/>
          <w:right w:val="nil"/>
          <w:between w:val="nil"/>
        </w:pBdr>
        <w:spacing w:before="20"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количественных исследований подвергались статистической обработке. После проведения методов морфофизиологических индикаторов следовал этап гистологической обработки. Все отобранные материалы были зафиксированы в 10% формальдегиде (формалине). Материал обрабатывался классическими методами микроскопической техники (Ромейс, 1953) [9].</w:t>
      </w:r>
    </w:p>
    <w:p w14:paraId="761369D3" w14:textId="77777777" w:rsidR="00936BDA" w:rsidRDefault="001E31D9">
      <w:pPr>
        <w:pBdr>
          <w:top w:val="nil"/>
          <w:left w:val="nil"/>
          <w:bottom w:val="nil"/>
          <w:right w:val="nil"/>
          <w:between w:val="nil"/>
        </w:pBdr>
        <w:spacing w:before="20"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Гистологические препараты изучались с помощью светового тринокулярного микроскопа, Microoptix MX300T, с системой визуализации Scopeimage 9.0.</w:t>
      </w:r>
      <w:r>
        <w:rPr>
          <w:rFonts w:ascii="Times" w:eastAsia="Times" w:hAnsi="Times" w:cs="Times"/>
          <w:sz w:val="20"/>
          <w:szCs w:val="20"/>
        </w:rPr>
        <w:t xml:space="preserve"> </w:t>
      </w:r>
    </w:p>
    <w:p w14:paraId="61CFAEB9" w14:textId="77777777" w:rsidR="00936BDA" w:rsidRDefault="00936BDA">
      <w:pPr>
        <w:spacing w:after="2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6EDEC6" w14:textId="77777777" w:rsidR="00936BDA" w:rsidRDefault="001E31D9">
      <w:pPr>
        <w:spacing w:after="2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Результаты и обсуждение</w:t>
      </w:r>
    </w:p>
    <w:p w14:paraId="73653D86" w14:textId="77777777" w:rsidR="00936BDA" w:rsidRDefault="001E31D9">
      <w:pPr>
        <w:spacing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результате морфофизиологического исследования были изучены общие показатели тела и индекс упитанности (I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самцов, отловленных на рудниках и в контрольной (фон) области, представлены в таблице 1.  </w:t>
      </w:r>
    </w:p>
    <w:p w14:paraId="0DF63797" w14:textId="77777777" w:rsidR="00936BDA" w:rsidRDefault="001E31D9">
      <w:pPr>
        <w:spacing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Таблица 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Общие показатели и индекс упитанности (I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), самцы, min-max, M± m</w:t>
      </w:r>
    </w:p>
    <w:tbl>
      <w:tblPr>
        <w:tblStyle w:val="a5"/>
        <w:tblW w:w="9237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19"/>
        <w:gridCol w:w="2159"/>
        <w:gridCol w:w="1900"/>
        <w:gridCol w:w="2159"/>
      </w:tblGrid>
      <w:tr w:rsidR="00936BDA" w14:paraId="5676FA67" w14:textId="77777777"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F63B6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#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11E5F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BW, г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719DF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L, мм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8677D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</w:tr>
      <w:tr w:rsidR="00936BDA" w14:paraId="2A0DCD8E" w14:textId="77777777"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13303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Фон 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EBBA6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10,30-10,89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1CD09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72-76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3A42B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13,56-15,13</w:t>
            </w:r>
          </w:p>
        </w:tc>
      </w:tr>
      <w:tr w:rsidR="00936BDA" w14:paraId="1996DA64" w14:textId="77777777"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38272" w14:textId="77777777" w:rsidR="00936BDA" w:rsidRDefault="00936BDA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042A8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10,53±0,11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9E899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73,6±0,91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CE697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14,32±0,30</w:t>
            </w:r>
          </w:p>
        </w:tc>
      </w:tr>
      <w:tr w:rsidR="00936BDA" w14:paraId="4CB0359D" w14:textId="77777777"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4F642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Т.1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82A34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10,49-13,63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7D9C4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79-81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A1BFA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13,27-17,04</w:t>
            </w:r>
          </w:p>
        </w:tc>
      </w:tr>
      <w:tr w:rsidR="00936BDA" w14:paraId="7E91F40C" w14:textId="77777777"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5A22D" w14:textId="77777777" w:rsidR="00936BDA" w:rsidRDefault="00936BDA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B5F88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12,13±0,78*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CAD50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80,0±0,5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1A5C9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15,07±0,94</w:t>
            </w:r>
          </w:p>
        </w:tc>
      </w:tr>
      <w:tr w:rsidR="00936BDA" w14:paraId="7EA3315B" w14:textId="77777777"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C5D01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Т.2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8D7E3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9,38-10,12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F0838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72-80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AFD45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12,27-13,73</w:t>
            </w:r>
          </w:p>
        </w:tc>
      </w:tr>
      <w:tr w:rsidR="00936BDA" w14:paraId="6D656EC7" w14:textId="77777777"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96279" w14:textId="77777777" w:rsidR="00936BDA" w:rsidRDefault="00936BDA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3A3E2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9,78±0,15*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2EC77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75,6±1,68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6897E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12,95±0,32*</w:t>
            </w:r>
          </w:p>
        </w:tc>
      </w:tr>
      <w:tr w:rsidR="00936BDA" w14:paraId="276B1E9F" w14:textId="77777777"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7B77C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Т.3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6FF2B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11,23-14,36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7D669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70-73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9400E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15,38-20,51</w:t>
            </w:r>
          </w:p>
        </w:tc>
      </w:tr>
      <w:tr w:rsidR="00936BDA" w14:paraId="3AD552C5" w14:textId="77777777"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282D1" w14:textId="77777777" w:rsidR="00936BDA" w:rsidRDefault="00936BDA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16996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12,28±0,60*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C7B47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71,4±0,57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2402F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17,21±0,97*</w:t>
            </w:r>
          </w:p>
        </w:tc>
      </w:tr>
      <w:tr w:rsidR="00936BDA" w14:paraId="77EFC3BF" w14:textId="77777777"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5279C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Т.4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D4F8F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11,36-12,23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1EA28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70-74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0C5C4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15,35-17,47</w:t>
            </w:r>
          </w:p>
        </w:tc>
      </w:tr>
      <w:tr w:rsidR="00936BDA" w14:paraId="623EC187" w14:textId="77777777"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56488" w14:textId="77777777" w:rsidR="00936BDA" w:rsidRDefault="00936BDA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E8FD8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11,82±0,18*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13485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71,6±0,91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8D778" w14:textId="77777777" w:rsidR="00936BDA" w:rsidRDefault="001E31D9">
            <w:pPr>
              <w:spacing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16,52±0,39*</w:t>
            </w:r>
          </w:p>
        </w:tc>
      </w:tr>
      <w:tr w:rsidR="00936BDA" w14:paraId="3C1F86D6" w14:textId="77777777">
        <w:tc>
          <w:tcPr>
            <w:tcW w:w="9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334F5" w14:textId="77777777" w:rsidR="00936BDA" w:rsidRDefault="001E3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Примечание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В таблице приведены лимиты признаков, средние арифметические значения, ошибка среднего значения. Номера выборок см. в таблице 1.</w:t>
            </w:r>
          </w:p>
          <w:p w14:paraId="56635778" w14:textId="77777777" w:rsidR="00936BDA" w:rsidRDefault="001E3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4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Различия достоверны при *Р≤0,05 - ** - P≤0,01 по сравнению с контролем.</w:t>
            </w:r>
          </w:p>
        </w:tc>
      </w:tr>
    </w:tbl>
    <w:p w14:paraId="20849D54" w14:textId="77777777" w:rsidR="00936BDA" w:rsidRDefault="001E31D9" w:rsidP="00F24801">
      <w:pPr>
        <w:pBdr>
          <w:top w:val="nil"/>
          <w:left w:val="nil"/>
          <w:bottom w:val="nil"/>
          <w:right w:val="nil"/>
          <w:between w:val="nil"/>
        </w:pBdr>
        <w:spacing w:before="20"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801">
        <w:rPr>
          <w:rFonts w:ascii="Times New Roman" w:eastAsia="Times New Roman" w:hAnsi="Times New Roman" w:cs="Times New Roman"/>
          <w:sz w:val="24"/>
          <w:szCs w:val="24"/>
        </w:rPr>
        <w:t xml:space="preserve">Общий вес тела животных, отловленных в фоновой области, составлял в среднем 10,53±0,11, индивидуальная изменчивость, оцениваемая как коэффициент вариации (CV)/ В общем, общий вес тела варьировал незначительно у всех изученных животных: так, для точки 1 CV = 13%, для точки 2 CV = 3%, для точки 3 CV = 10%, для точки 4 CV=3%. При этом изменение веса тела в сторону уменьшения отмечался только в одной группе - у животных из точки 2, на 7% (Р≤0,05).  В остальных группах общий вес тела превышал таковой у фоновых животных - на 15% (Т.1) (Р≤0,05), 17% (Т.3) (Р≤0,05) и 12% (Т.4) (Р≤0,001). </w:t>
      </w:r>
    </w:p>
    <w:p w14:paraId="1A947456" w14:textId="77777777" w:rsidR="00936BDA" w:rsidRDefault="001E31D9" w:rsidP="00F24801">
      <w:pPr>
        <w:pBdr>
          <w:top w:val="nil"/>
          <w:left w:val="nil"/>
          <w:bottom w:val="nil"/>
          <w:right w:val="nil"/>
          <w:between w:val="nil"/>
        </w:pBdr>
        <w:spacing w:before="20"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801">
        <w:rPr>
          <w:rFonts w:ascii="Times New Roman" w:eastAsia="Times New Roman" w:hAnsi="Times New Roman" w:cs="Times New Roman"/>
          <w:sz w:val="24"/>
          <w:szCs w:val="24"/>
        </w:rPr>
        <w:t xml:space="preserve">Что касается индекса упитанности, в этом случае животные в Т.2 были менее упитанны - 12,95±0,32 к 14,32±0,30 (фон), Р≤0,05. В точках 3 и 4 If превышал показатель фоновых животных на 20% и 15%, соответственно (Р≤0,05). Сравнительный анализ веса тела без </w:t>
      </w:r>
      <w:r w:rsidRPr="00F24801">
        <w:rPr>
          <w:rFonts w:ascii="Times New Roman" w:eastAsia="Times New Roman" w:hAnsi="Times New Roman" w:cs="Times New Roman"/>
          <w:sz w:val="24"/>
          <w:szCs w:val="24"/>
        </w:rPr>
        <w:lastRenderedPageBreak/>
        <w:t>органов (тушки) не выявил достоверных различий по массе, за исключением животных из точки 2.</w:t>
      </w:r>
    </w:p>
    <w:p w14:paraId="4C3FD265" w14:textId="77777777" w:rsidR="00936BDA" w:rsidRDefault="001E31D9">
      <w:pPr>
        <w:spacing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Абсолютные показатели массы и индексы внутренних органов самцов домовой мыши представлены в таблице 2. </w:t>
      </w:r>
    </w:p>
    <w:p w14:paraId="47774DA6" w14:textId="77777777" w:rsidR="00936BDA" w:rsidRDefault="001E31D9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2. Абсолютные показатели массы и индексы внутренних органов самцов домовой мыши</w:t>
      </w:r>
    </w:p>
    <w:tbl>
      <w:tblPr>
        <w:tblStyle w:val="a6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7"/>
        <w:gridCol w:w="812"/>
        <w:gridCol w:w="602"/>
        <w:gridCol w:w="1562"/>
        <w:gridCol w:w="1481"/>
        <w:gridCol w:w="10"/>
        <w:gridCol w:w="1394"/>
        <w:gridCol w:w="10"/>
        <w:gridCol w:w="1396"/>
        <w:gridCol w:w="10"/>
        <w:gridCol w:w="1370"/>
      </w:tblGrid>
      <w:tr w:rsidR="00936BDA" w14:paraId="0B5226C1" w14:textId="77777777">
        <w:tc>
          <w:tcPr>
            <w:tcW w:w="987" w:type="dxa"/>
          </w:tcPr>
          <w:p w14:paraId="46EAB4CB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#</w:t>
            </w:r>
          </w:p>
        </w:tc>
        <w:tc>
          <w:tcPr>
            <w:tcW w:w="1414" w:type="dxa"/>
            <w:gridSpan w:val="2"/>
          </w:tcPr>
          <w:p w14:paraId="3526A145" w14:textId="77777777" w:rsidR="00936BDA" w:rsidRDefault="001E31D9">
            <w:pPr>
              <w:spacing w:after="2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г</w:t>
            </w:r>
          </w:p>
        </w:tc>
        <w:tc>
          <w:tcPr>
            <w:tcW w:w="1562" w:type="dxa"/>
          </w:tcPr>
          <w:p w14:paraId="26059F85" w14:textId="77777777" w:rsidR="00936BDA" w:rsidRDefault="001E31D9">
            <w:pPr>
              <w:spacing w:after="2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‰</w:t>
            </w:r>
          </w:p>
        </w:tc>
        <w:tc>
          <w:tcPr>
            <w:tcW w:w="1491" w:type="dxa"/>
            <w:gridSpan w:val="2"/>
          </w:tcPr>
          <w:p w14:paraId="40C587C9" w14:textId="77777777" w:rsidR="00936BDA" w:rsidRDefault="001E31D9">
            <w:pPr>
              <w:spacing w:after="2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г</w:t>
            </w:r>
          </w:p>
        </w:tc>
        <w:tc>
          <w:tcPr>
            <w:tcW w:w="1404" w:type="dxa"/>
            <w:gridSpan w:val="2"/>
          </w:tcPr>
          <w:p w14:paraId="74F6F505" w14:textId="77777777" w:rsidR="00936BDA" w:rsidRDefault="001E31D9">
            <w:pPr>
              <w:spacing w:after="2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‰</w:t>
            </w:r>
          </w:p>
        </w:tc>
        <w:tc>
          <w:tcPr>
            <w:tcW w:w="1406" w:type="dxa"/>
            <w:gridSpan w:val="2"/>
          </w:tcPr>
          <w:p w14:paraId="4122BA33" w14:textId="77777777" w:rsidR="00936BDA" w:rsidRDefault="001E31D9">
            <w:pPr>
              <w:spacing w:after="2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г</w:t>
            </w:r>
          </w:p>
        </w:tc>
        <w:tc>
          <w:tcPr>
            <w:tcW w:w="1370" w:type="dxa"/>
          </w:tcPr>
          <w:p w14:paraId="6C4E1A41" w14:textId="77777777" w:rsidR="00936BDA" w:rsidRDefault="001E31D9">
            <w:pPr>
              <w:spacing w:after="2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‰</w:t>
            </w:r>
          </w:p>
        </w:tc>
      </w:tr>
      <w:tr w:rsidR="00936BDA" w14:paraId="65F2EB2C" w14:textId="77777777">
        <w:tc>
          <w:tcPr>
            <w:tcW w:w="987" w:type="dxa"/>
          </w:tcPr>
          <w:p w14:paraId="69A56665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</w:t>
            </w:r>
          </w:p>
        </w:tc>
        <w:tc>
          <w:tcPr>
            <w:tcW w:w="1414" w:type="dxa"/>
            <w:gridSpan w:val="2"/>
          </w:tcPr>
          <w:p w14:paraId="095617F2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0,64±0,02</w:t>
            </w:r>
          </w:p>
        </w:tc>
        <w:tc>
          <w:tcPr>
            <w:tcW w:w="1562" w:type="dxa"/>
          </w:tcPr>
          <w:p w14:paraId="46E15DEE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73,84±3,34</w:t>
            </w:r>
          </w:p>
        </w:tc>
        <w:tc>
          <w:tcPr>
            <w:tcW w:w="1491" w:type="dxa"/>
            <w:gridSpan w:val="2"/>
          </w:tcPr>
          <w:p w14:paraId="4EDD4415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0,08±0,003</w:t>
            </w:r>
          </w:p>
        </w:tc>
        <w:tc>
          <w:tcPr>
            <w:tcW w:w="1404" w:type="dxa"/>
            <w:gridSpan w:val="2"/>
          </w:tcPr>
          <w:p w14:paraId="1989C48E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9,03±0,43</w:t>
            </w:r>
          </w:p>
        </w:tc>
        <w:tc>
          <w:tcPr>
            <w:tcW w:w="1406" w:type="dxa"/>
            <w:gridSpan w:val="2"/>
          </w:tcPr>
          <w:p w14:paraId="554636C7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0,03±0,003</w:t>
            </w:r>
          </w:p>
        </w:tc>
        <w:tc>
          <w:tcPr>
            <w:tcW w:w="1370" w:type="dxa"/>
          </w:tcPr>
          <w:p w14:paraId="01B05D2B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3,64±0,40</w:t>
            </w:r>
          </w:p>
        </w:tc>
      </w:tr>
      <w:tr w:rsidR="00936BDA" w14:paraId="12B0DB3C" w14:textId="77777777">
        <w:tc>
          <w:tcPr>
            <w:tcW w:w="987" w:type="dxa"/>
          </w:tcPr>
          <w:p w14:paraId="3334EBCD" w14:textId="77777777" w:rsidR="00936BDA" w:rsidRDefault="00936BDA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4" w:type="dxa"/>
            <w:gridSpan w:val="2"/>
          </w:tcPr>
          <w:p w14:paraId="1046E8C6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0,59-0,69</w:t>
            </w:r>
          </w:p>
        </w:tc>
        <w:tc>
          <w:tcPr>
            <w:tcW w:w="1562" w:type="dxa"/>
          </w:tcPr>
          <w:p w14:paraId="0B5CAA7B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67,30-85,06</w:t>
            </w:r>
          </w:p>
        </w:tc>
        <w:tc>
          <w:tcPr>
            <w:tcW w:w="1491" w:type="dxa"/>
            <w:gridSpan w:val="2"/>
          </w:tcPr>
          <w:p w14:paraId="7D04ED26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0,07-0,09</w:t>
            </w:r>
          </w:p>
        </w:tc>
        <w:tc>
          <w:tcPr>
            <w:tcW w:w="1404" w:type="dxa"/>
            <w:gridSpan w:val="2"/>
          </w:tcPr>
          <w:p w14:paraId="410ABB0C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7,59-9,67</w:t>
            </w:r>
          </w:p>
        </w:tc>
        <w:tc>
          <w:tcPr>
            <w:tcW w:w="1406" w:type="dxa"/>
            <w:gridSpan w:val="2"/>
          </w:tcPr>
          <w:p w14:paraId="53B69918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0,02-0,04</w:t>
            </w:r>
          </w:p>
        </w:tc>
        <w:tc>
          <w:tcPr>
            <w:tcW w:w="1370" w:type="dxa"/>
          </w:tcPr>
          <w:p w14:paraId="1F1C107A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2,77-4,53</w:t>
            </w:r>
          </w:p>
        </w:tc>
      </w:tr>
      <w:tr w:rsidR="00936BDA" w14:paraId="03DBFA14" w14:textId="77777777">
        <w:tc>
          <w:tcPr>
            <w:tcW w:w="987" w:type="dxa"/>
          </w:tcPr>
          <w:p w14:paraId="25D74824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Т.1</w:t>
            </w:r>
          </w:p>
        </w:tc>
        <w:tc>
          <w:tcPr>
            <w:tcW w:w="1414" w:type="dxa"/>
            <w:gridSpan w:val="2"/>
          </w:tcPr>
          <w:p w14:paraId="4EF76186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0,72±0,47</w:t>
            </w:r>
          </w:p>
        </w:tc>
        <w:tc>
          <w:tcPr>
            <w:tcW w:w="1562" w:type="dxa"/>
          </w:tcPr>
          <w:p w14:paraId="0365205C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67,12±1,91</w:t>
            </w:r>
          </w:p>
        </w:tc>
        <w:tc>
          <w:tcPr>
            <w:tcW w:w="1491" w:type="dxa"/>
            <w:gridSpan w:val="2"/>
          </w:tcPr>
          <w:p w14:paraId="59971242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0,10±0,01*</w:t>
            </w:r>
          </w:p>
        </w:tc>
        <w:tc>
          <w:tcPr>
            <w:tcW w:w="1404" w:type="dxa"/>
            <w:gridSpan w:val="2"/>
          </w:tcPr>
          <w:p w14:paraId="13A44798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9,23±1,12</w:t>
            </w:r>
          </w:p>
        </w:tc>
        <w:tc>
          <w:tcPr>
            <w:tcW w:w="1406" w:type="dxa"/>
            <w:gridSpan w:val="2"/>
          </w:tcPr>
          <w:p w14:paraId="205B4EFD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0,08±0,002**</w:t>
            </w:r>
          </w:p>
        </w:tc>
        <w:tc>
          <w:tcPr>
            <w:tcW w:w="1370" w:type="dxa"/>
          </w:tcPr>
          <w:p w14:paraId="69F1FF4C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7,40±0,23**</w:t>
            </w:r>
          </w:p>
        </w:tc>
      </w:tr>
      <w:tr w:rsidR="00936BDA" w14:paraId="651643CF" w14:textId="77777777">
        <w:tc>
          <w:tcPr>
            <w:tcW w:w="987" w:type="dxa"/>
          </w:tcPr>
          <w:p w14:paraId="29158139" w14:textId="77777777" w:rsidR="00936BDA" w:rsidRDefault="00936BDA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4" w:type="dxa"/>
            <w:gridSpan w:val="2"/>
          </w:tcPr>
          <w:p w14:paraId="390B24C6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0,65-0,74</w:t>
            </w:r>
          </w:p>
        </w:tc>
        <w:tc>
          <w:tcPr>
            <w:tcW w:w="1562" w:type="dxa"/>
          </w:tcPr>
          <w:p w14:paraId="7B8E9B30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62,87-70,19</w:t>
            </w:r>
          </w:p>
        </w:tc>
        <w:tc>
          <w:tcPr>
            <w:tcW w:w="1491" w:type="dxa"/>
            <w:gridSpan w:val="2"/>
          </w:tcPr>
          <w:p w14:paraId="28E489C8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0,08-0,12</w:t>
            </w:r>
          </w:p>
        </w:tc>
        <w:tc>
          <w:tcPr>
            <w:tcW w:w="1404" w:type="dxa"/>
            <w:gridSpan w:val="2"/>
          </w:tcPr>
          <w:p w14:paraId="6286958C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7,63-11,80</w:t>
            </w:r>
          </w:p>
        </w:tc>
        <w:tc>
          <w:tcPr>
            <w:tcW w:w="1406" w:type="dxa"/>
            <w:gridSpan w:val="2"/>
          </w:tcPr>
          <w:p w14:paraId="6023F82B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0,08-0,08</w:t>
            </w:r>
          </w:p>
        </w:tc>
        <w:tc>
          <w:tcPr>
            <w:tcW w:w="1370" w:type="dxa"/>
          </w:tcPr>
          <w:p w14:paraId="5EF4816E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6,95-7,87</w:t>
            </w:r>
          </w:p>
        </w:tc>
      </w:tr>
      <w:tr w:rsidR="00936BDA" w14:paraId="40C8DD59" w14:textId="77777777">
        <w:tc>
          <w:tcPr>
            <w:tcW w:w="987" w:type="dxa"/>
          </w:tcPr>
          <w:p w14:paraId="223436CA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Т.2</w:t>
            </w:r>
          </w:p>
        </w:tc>
        <w:tc>
          <w:tcPr>
            <w:tcW w:w="1414" w:type="dxa"/>
            <w:gridSpan w:val="2"/>
          </w:tcPr>
          <w:p w14:paraId="4826AE03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0,57±0,046</w:t>
            </w:r>
          </w:p>
        </w:tc>
        <w:tc>
          <w:tcPr>
            <w:tcW w:w="1562" w:type="dxa"/>
          </w:tcPr>
          <w:p w14:paraId="0EEE7FA3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74,46±5,30</w:t>
            </w:r>
          </w:p>
        </w:tc>
        <w:tc>
          <w:tcPr>
            <w:tcW w:w="1491" w:type="dxa"/>
            <w:gridSpan w:val="2"/>
          </w:tcPr>
          <w:p w14:paraId="6EA33BD2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0,09±0,004*</w:t>
            </w:r>
          </w:p>
        </w:tc>
        <w:tc>
          <w:tcPr>
            <w:tcW w:w="1404" w:type="dxa"/>
            <w:gridSpan w:val="2"/>
          </w:tcPr>
          <w:p w14:paraId="073ADC8E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11,90±0,53*</w:t>
            </w:r>
          </w:p>
        </w:tc>
        <w:tc>
          <w:tcPr>
            <w:tcW w:w="1406" w:type="dxa"/>
            <w:gridSpan w:val="2"/>
          </w:tcPr>
          <w:p w14:paraId="782BF166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0,05±0,01*</w:t>
            </w:r>
          </w:p>
        </w:tc>
        <w:tc>
          <w:tcPr>
            <w:tcW w:w="1370" w:type="dxa"/>
          </w:tcPr>
          <w:p w14:paraId="48D8D0A3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6,22±0,73*</w:t>
            </w:r>
          </w:p>
        </w:tc>
      </w:tr>
      <w:tr w:rsidR="00936BDA" w14:paraId="5E8D7E3A" w14:textId="77777777">
        <w:tc>
          <w:tcPr>
            <w:tcW w:w="987" w:type="dxa"/>
          </w:tcPr>
          <w:p w14:paraId="74E07AE4" w14:textId="77777777" w:rsidR="00936BDA" w:rsidRDefault="00936BDA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4" w:type="dxa"/>
            <w:gridSpan w:val="2"/>
          </w:tcPr>
          <w:p w14:paraId="62D77BAE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0,46-0,68</w:t>
            </w:r>
          </w:p>
        </w:tc>
        <w:tc>
          <w:tcPr>
            <w:tcW w:w="1562" w:type="dxa"/>
          </w:tcPr>
          <w:p w14:paraId="7FB0AFFA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62,13-86,14</w:t>
            </w:r>
          </w:p>
        </w:tc>
        <w:tc>
          <w:tcPr>
            <w:tcW w:w="1491" w:type="dxa"/>
            <w:gridSpan w:val="2"/>
          </w:tcPr>
          <w:p w14:paraId="385C0DFF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0,08-0,10</w:t>
            </w:r>
          </w:p>
        </w:tc>
        <w:tc>
          <w:tcPr>
            <w:tcW w:w="1404" w:type="dxa"/>
            <w:gridSpan w:val="2"/>
          </w:tcPr>
          <w:p w14:paraId="3E91B2FF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10,70-13,04</w:t>
            </w:r>
          </w:p>
        </w:tc>
        <w:tc>
          <w:tcPr>
            <w:tcW w:w="1406" w:type="dxa"/>
            <w:gridSpan w:val="2"/>
          </w:tcPr>
          <w:p w14:paraId="768CC5C9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0,03-0,06</w:t>
            </w:r>
          </w:p>
        </w:tc>
        <w:tc>
          <w:tcPr>
            <w:tcW w:w="1370" w:type="dxa"/>
          </w:tcPr>
          <w:p w14:paraId="118CB878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4,19-7,54</w:t>
            </w:r>
          </w:p>
        </w:tc>
      </w:tr>
      <w:tr w:rsidR="00936BDA" w14:paraId="7FDA3D81" w14:textId="77777777">
        <w:tc>
          <w:tcPr>
            <w:tcW w:w="987" w:type="dxa"/>
          </w:tcPr>
          <w:p w14:paraId="75305E78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Т.3</w:t>
            </w:r>
          </w:p>
        </w:tc>
        <w:tc>
          <w:tcPr>
            <w:tcW w:w="1414" w:type="dxa"/>
            <w:gridSpan w:val="2"/>
          </w:tcPr>
          <w:p w14:paraId="5BA514E8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0,62±0,05</w:t>
            </w:r>
          </w:p>
        </w:tc>
        <w:tc>
          <w:tcPr>
            <w:tcW w:w="1562" w:type="dxa"/>
          </w:tcPr>
          <w:p w14:paraId="671FF719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60,23±2,91**</w:t>
            </w:r>
          </w:p>
        </w:tc>
        <w:tc>
          <w:tcPr>
            <w:tcW w:w="1491" w:type="dxa"/>
            <w:gridSpan w:val="2"/>
          </w:tcPr>
          <w:p w14:paraId="50576CB9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0,08±0,01</w:t>
            </w:r>
          </w:p>
        </w:tc>
        <w:tc>
          <w:tcPr>
            <w:tcW w:w="1404" w:type="dxa"/>
            <w:gridSpan w:val="2"/>
          </w:tcPr>
          <w:p w14:paraId="44F2CB99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7,28±0,42*</w:t>
            </w:r>
          </w:p>
        </w:tc>
        <w:tc>
          <w:tcPr>
            <w:tcW w:w="1406" w:type="dxa"/>
            <w:gridSpan w:val="2"/>
          </w:tcPr>
          <w:p w14:paraId="317996FB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0,04±0,005</w:t>
            </w:r>
          </w:p>
        </w:tc>
        <w:tc>
          <w:tcPr>
            <w:tcW w:w="1370" w:type="dxa"/>
          </w:tcPr>
          <w:p w14:paraId="20A1F254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3,82±0,44</w:t>
            </w:r>
          </w:p>
        </w:tc>
      </w:tr>
      <w:tr w:rsidR="00936BDA" w14:paraId="2102CAA1" w14:textId="77777777">
        <w:tc>
          <w:tcPr>
            <w:tcW w:w="987" w:type="dxa"/>
          </w:tcPr>
          <w:p w14:paraId="72767885" w14:textId="77777777" w:rsidR="00936BDA" w:rsidRDefault="00936BDA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4" w:type="dxa"/>
            <w:gridSpan w:val="2"/>
          </w:tcPr>
          <w:p w14:paraId="45FA6D7E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0,52-0,76</w:t>
            </w:r>
          </w:p>
        </w:tc>
        <w:tc>
          <w:tcPr>
            <w:tcW w:w="1562" w:type="dxa"/>
          </w:tcPr>
          <w:p w14:paraId="33475942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52,19-66,75</w:t>
            </w:r>
          </w:p>
        </w:tc>
        <w:tc>
          <w:tcPr>
            <w:tcW w:w="1491" w:type="dxa"/>
            <w:gridSpan w:val="2"/>
          </w:tcPr>
          <w:p w14:paraId="533814B0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0,06-0,09</w:t>
            </w:r>
          </w:p>
        </w:tc>
        <w:tc>
          <w:tcPr>
            <w:tcW w:w="1404" w:type="dxa"/>
            <w:gridSpan w:val="2"/>
          </w:tcPr>
          <w:p w14:paraId="297E8A5E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6,03-8,10</w:t>
            </w:r>
          </w:p>
        </w:tc>
        <w:tc>
          <w:tcPr>
            <w:tcW w:w="1406" w:type="dxa"/>
            <w:gridSpan w:val="2"/>
          </w:tcPr>
          <w:p w14:paraId="768EF73C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0,03-0,06</w:t>
            </w:r>
          </w:p>
        </w:tc>
        <w:tc>
          <w:tcPr>
            <w:tcW w:w="1370" w:type="dxa"/>
          </w:tcPr>
          <w:p w14:paraId="65AFB6C0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2,82-4,84</w:t>
            </w:r>
          </w:p>
        </w:tc>
      </w:tr>
      <w:tr w:rsidR="00936BDA" w14:paraId="3540DF7E" w14:textId="77777777">
        <w:tc>
          <w:tcPr>
            <w:tcW w:w="987" w:type="dxa"/>
          </w:tcPr>
          <w:p w14:paraId="03244507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Т.4</w:t>
            </w:r>
          </w:p>
        </w:tc>
        <w:tc>
          <w:tcPr>
            <w:tcW w:w="1414" w:type="dxa"/>
            <w:gridSpan w:val="2"/>
          </w:tcPr>
          <w:p w14:paraId="2178DC69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0,58±0,02</w:t>
            </w:r>
          </w:p>
        </w:tc>
        <w:tc>
          <w:tcPr>
            <w:tcW w:w="1562" w:type="dxa"/>
          </w:tcPr>
          <w:p w14:paraId="34AC6AD6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63,56±1,34*</w:t>
            </w:r>
          </w:p>
        </w:tc>
        <w:tc>
          <w:tcPr>
            <w:tcW w:w="1491" w:type="dxa"/>
            <w:gridSpan w:val="2"/>
          </w:tcPr>
          <w:p w14:paraId="558B512F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0,09±0,01</w:t>
            </w:r>
          </w:p>
        </w:tc>
        <w:tc>
          <w:tcPr>
            <w:tcW w:w="1404" w:type="dxa"/>
            <w:gridSpan w:val="2"/>
          </w:tcPr>
          <w:p w14:paraId="5CB64FD0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10,40±0,65</w:t>
            </w:r>
          </w:p>
        </w:tc>
        <w:tc>
          <w:tcPr>
            <w:tcW w:w="1406" w:type="dxa"/>
            <w:gridSpan w:val="2"/>
          </w:tcPr>
          <w:p w14:paraId="5920D34D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0,05±0,004**</w:t>
            </w:r>
          </w:p>
        </w:tc>
        <w:tc>
          <w:tcPr>
            <w:tcW w:w="1370" w:type="dxa"/>
          </w:tcPr>
          <w:p w14:paraId="5B570AA9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5,33±0,56*</w:t>
            </w:r>
          </w:p>
        </w:tc>
      </w:tr>
      <w:tr w:rsidR="00936BDA" w14:paraId="7F88ED2D" w14:textId="77777777">
        <w:tc>
          <w:tcPr>
            <w:tcW w:w="987" w:type="dxa"/>
          </w:tcPr>
          <w:p w14:paraId="14CAC668" w14:textId="77777777" w:rsidR="00936BDA" w:rsidRDefault="00936BDA">
            <w:pPr>
              <w:spacing w:after="20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4" w:type="dxa"/>
            <w:gridSpan w:val="2"/>
          </w:tcPr>
          <w:p w14:paraId="422A5142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0,53-0,63</w:t>
            </w:r>
          </w:p>
        </w:tc>
        <w:tc>
          <w:tcPr>
            <w:tcW w:w="1562" w:type="dxa"/>
          </w:tcPr>
          <w:p w14:paraId="6C7C23C5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58,99-65,87</w:t>
            </w:r>
          </w:p>
        </w:tc>
        <w:tc>
          <w:tcPr>
            <w:tcW w:w="1491" w:type="dxa"/>
            <w:gridSpan w:val="2"/>
          </w:tcPr>
          <w:p w14:paraId="717531C0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0,08-0,12</w:t>
            </w:r>
          </w:p>
        </w:tc>
        <w:tc>
          <w:tcPr>
            <w:tcW w:w="1404" w:type="dxa"/>
            <w:gridSpan w:val="2"/>
          </w:tcPr>
          <w:p w14:paraId="38029640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9,10-11,93</w:t>
            </w:r>
          </w:p>
        </w:tc>
        <w:tc>
          <w:tcPr>
            <w:tcW w:w="1406" w:type="dxa"/>
            <w:gridSpan w:val="2"/>
          </w:tcPr>
          <w:p w14:paraId="564AE6B2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0,04-0,06</w:t>
            </w:r>
          </w:p>
        </w:tc>
        <w:tc>
          <w:tcPr>
            <w:tcW w:w="1370" w:type="dxa"/>
          </w:tcPr>
          <w:p w14:paraId="12812584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4,21-7,15</w:t>
            </w:r>
          </w:p>
        </w:tc>
      </w:tr>
      <w:tr w:rsidR="00936BDA" w14:paraId="7434EBC6" w14:textId="77777777">
        <w:tc>
          <w:tcPr>
            <w:tcW w:w="9634" w:type="dxa"/>
            <w:gridSpan w:val="11"/>
          </w:tcPr>
          <w:p w14:paraId="42FFC857" w14:textId="77777777" w:rsidR="00936BDA" w:rsidRDefault="001E31D9">
            <w:pPr>
              <w:spacing w:after="20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Примечание – В таблице приведены лимиты признаков, средние арифметические значения, ошибка среднего значения. Номера выборок см. в таблице 1.</w:t>
            </w:r>
          </w:p>
          <w:p w14:paraId="69B58825" w14:textId="77777777" w:rsidR="00936BDA" w:rsidRDefault="001E31D9">
            <w:pPr>
              <w:spacing w:after="20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4801">
              <w:rPr>
                <w:rFonts w:ascii="Times New Roman" w:eastAsia="Times New Roman" w:hAnsi="Times New Roman" w:cs="Times New Roman"/>
                <w:sz w:val="20"/>
                <w:szCs w:val="20"/>
              </w:rPr>
              <w:t>Различия достоверны при *Р≤0,05 - ** - P≤0,01 по сравнению с контролем.</w:t>
            </w:r>
          </w:p>
        </w:tc>
      </w:tr>
      <w:tr w:rsidR="00936BDA" w14:paraId="5D42B693" w14:textId="77777777">
        <w:tc>
          <w:tcPr>
            <w:tcW w:w="1799" w:type="dxa"/>
            <w:gridSpan w:val="2"/>
          </w:tcPr>
          <w:p w14:paraId="2D460032" w14:textId="77777777" w:rsidR="00936BDA" w:rsidRDefault="001E31D9">
            <w:pPr>
              <w:spacing w:after="20"/>
              <w:ind w:firstLine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Гашев С. Н., 2003 [70]</w:t>
            </w:r>
          </w:p>
        </w:tc>
        <w:tc>
          <w:tcPr>
            <w:tcW w:w="602" w:type="dxa"/>
          </w:tcPr>
          <w:p w14:paraId="71823BFA" w14:textId="77777777" w:rsidR="00936BDA" w:rsidRDefault="001E31D9">
            <w:pPr>
              <w:spacing w:after="20"/>
              <w:ind w:firstLine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2" w:type="dxa"/>
          </w:tcPr>
          <w:p w14:paraId="2C43E068" w14:textId="77777777" w:rsidR="00936BDA" w:rsidRDefault="001E31D9">
            <w:pPr>
              <w:spacing w:after="20"/>
              <w:ind w:firstLine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72.04±3.45</w:t>
            </w:r>
          </w:p>
        </w:tc>
        <w:tc>
          <w:tcPr>
            <w:tcW w:w="1481" w:type="dxa"/>
          </w:tcPr>
          <w:p w14:paraId="4304AF8D" w14:textId="77777777" w:rsidR="00936BDA" w:rsidRDefault="001E31D9">
            <w:pPr>
              <w:spacing w:after="20"/>
              <w:ind w:firstLine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04" w:type="dxa"/>
            <w:gridSpan w:val="2"/>
          </w:tcPr>
          <w:p w14:paraId="25CF8FC9" w14:textId="77777777" w:rsidR="00936BDA" w:rsidRPr="00F24801" w:rsidRDefault="001E31D9" w:rsidP="00F24801">
            <w:pPr>
              <w:spacing w:before="20" w:after="20" w:line="259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801">
              <w:rPr>
                <w:rFonts w:ascii="Times New Roman" w:eastAsia="Times New Roman" w:hAnsi="Times New Roman" w:cs="Times New Roman"/>
                <w:sz w:val="24"/>
                <w:szCs w:val="24"/>
              </w:rPr>
              <w:t>7.87±0.25</w:t>
            </w:r>
          </w:p>
        </w:tc>
        <w:tc>
          <w:tcPr>
            <w:tcW w:w="1406" w:type="dxa"/>
            <w:gridSpan w:val="2"/>
          </w:tcPr>
          <w:p w14:paraId="26CBEA83" w14:textId="77777777" w:rsidR="00936BDA" w:rsidRDefault="001E31D9">
            <w:pPr>
              <w:spacing w:after="20"/>
              <w:ind w:firstLine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0" w:type="dxa"/>
            <w:gridSpan w:val="2"/>
          </w:tcPr>
          <w:p w14:paraId="77F06AEB" w14:textId="77777777" w:rsidR="00936BDA" w:rsidRDefault="001E31D9">
            <w:pPr>
              <w:spacing w:after="20"/>
              <w:ind w:firstLine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4.04±0.48</w:t>
            </w:r>
          </w:p>
        </w:tc>
      </w:tr>
      <w:tr w:rsidR="00936BDA" w14:paraId="35DD1E41" w14:textId="77777777">
        <w:tc>
          <w:tcPr>
            <w:tcW w:w="1799" w:type="dxa"/>
            <w:gridSpan w:val="2"/>
          </w:tcPr>
          <w:p w14:paraId="63631352" w14:textId="77777777" w:rsidR="00936BDA" w:rsidRDefault="001E31D9">
            <w:pPr>
              <w:spacing w:after="20"/>
              <w:ind w:firstLine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Гашев С. Н. и др., 2016 [71]</w:t>
            </w:r>
          </w:p>
        </w:tc>
        <w:tc>
          <w:tcPr>
            <w:tcW w:w="602" w:type="dxa"/>
          </w:tcPr>
          <w:p w14:paraId="6AE91C89" w14:textId="77777777" w:rsidR="00936BDA" w:rsidRDefault="001E31D9">
            <w:pPr>
              <w:spacing w:after="20"/>
              <w:ind w:firstLine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2" w:type="dxa"/>
          </w:tcPr>
          <w:p w14:paraId="0BF89541" w14:textId="77777777" w:rsidR="00936BDA" w:rsidRDefault="001E31D9">
            <w:pPr>
              <w:spacing w:after="20"/>
              <w:ind w:firstLine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62,41± 3,17</w:t>
            </w:r>
          </w:p>
        </w:tc>
        <w:tc>
          <w:tcPr>
            <w:tcW w:w="1481" w:type="dxa"/>
          </w:tcPr>
          <w:p w14:paraId="5A829E3A" w14:textId="77777777" w:rsidR="00936BDA" w:rsidRDefault="001E31D9">
            <w:pPr>
              <w:spacing w:after="20"/>
              <w:ind w:firstLine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04" w:type="dxa"/>
            <w:gridSpan w:val="2"/>
          </w:tcPr>
          <w:p w14:paraId="5FFCF913" w14:textId="77777777" w:rsidR="00936BDA" w:rsidRDefault="001E31D9">
            <w:pPr>
              <w:spacing w:after="20"/>
              <w:ind w:firstLine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7,46 ± 0,56</w:t>
            </w:r>
          </w:p>
        </w:tc>
        <w:tc>
          <w:tcPr>
            <w:tcW w:w="1406" w:type="dxa"/>
            <w:gridSpan w:val="2"/>
          </w:tcPr>
          <w:p w14:paraId="06EC3E39" w14:textId="77777777" w:rsidR="00936BDA" w:rsidRDefault="001E31D9">
            <w:pPr>
              <w:spacing w:after="20"/>
              <w:ind w:firstLine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0" w:type="dxa"/>
            <w:gridSpan w:val="2"/>
          </w:tcPr>
          <w:p w14:paraId="301BCEE6" w14:textId="77777777" w:rsidR="00936BDA" w:rsidRDefault="001E31D9">
            <w:pPr>
              <w:spacing w:after="20"/>
              <w:ind w:firstLine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3,27 ± 0,74</w:t>
            </w:r>
          </w:p>
        </w:tc>
      </w:tr>
    </w:tbl>
    <w:p w14:paraId="7EDE6F23" w14:textId="77777777" w:rsidR="00936BDA" w:rsidRDefault="001E31D9" w:rsidP="00F24801">
      <w:pPr>
        <w:spacing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Абсолютная масса печени (m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h</w:t>
      </w:r>
      <w:r>
        <w:rPr>
          <w:rFonts w:ascii="Gungsuh" w:eastAsia="Gungsuh" w:hAnsi="Gungsuh" w:cs="Gungsuh"/>
          <w:sz w:val="24"/>
          <w:szCs w:val="24"/>
        </w:rPr>
        <w:t xml:space="preserve">) </w:t>
      </w:r>
      <w:r w:rsidRPr="00F24801">
        <w:rPr>
          <w:rFonts w:ascii="Times New Roman" w:eastAsia="Times New Roman" w:hAnsi="Times New Roman" w:cs="Times New Roman"/>
          <w:sz w:val="24"/>
          <w:szCs w:val="24"/>
        </w:rPr>
        <w:t xml:space="preserve">у фоновых животных колебалась в пределах 0,59-0,69 г. у животных, отловленных на рудниках - от 0,46 г до 0,76 г. Коэффициенты вариации составляли: CV = 3,4% (фон), CV = 3,2% (Т.1), CV = 16,1% (Т.2), CV = 15,5% (Т.3) и CV = 7,1% (Т.4). Индивидуальная вариабельность массы печени, таким образом, незначительная. При сравнительном анализе индекса печени (Ih) в двух группах животных выявлено достоверное снижение показателя: у мышей, отловленных в точках 3 и 4 Ih ниже на 18,3% и 14% соответственно (Р≤0,05). </w:t>
      </w:r>
    </w:p>
    <w:p w14:paraId="365A9584" w14:textId="77777777" w:rsidR="00936BDA" w:rsidRPr="00F24801" w:rsidRDefault="001E31D9" w:rsidP="00F24801">
      <w:pPr>
        <w:spacing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801">
        <w:rPr>
          <w:rFonts w:ascii="Times New Roman" w:eastAsia="Times New Roman" w:hAnsi="Times New Roman" w:cs="Times New Roman"/>
          <w:sz w:val="24"/>
          <w:szCs w:val="24"/>
        </w:rPr>
        <w:t xml:space="preserve">В ходе исследования у особей домовой мыши измерялась масса селезенки, как органа, наиболее чувствительного к действию радиационных факторов, и рассчитывался спленосоматический индекс. У фоновых животных средняя масса селезенки равна 0,03±0,003 г, CV = 20,5%, т.е. показатель достаточно вариабельный. Вообще, рядом исследователей было показано, что размер селезенки - один из морфофизиологических параметров, для которых характерна высокая индивидуальная изменчивость. Во всех точках, кроме Т.3, наблюдается увеличение массы селезенки (ms) и спленосоматического индекса (Is). В Т.2 и Т.4 ms составляет 0,05 г, в Т.1 - 0,08±0,002 г, во всех случаях превышение массы органа достоверно (Р≤0,01). Is в Т.1 превышал фоновый в два раза (Р≤0,01), в Т.2 - в 1,7 раза (Р≤0,05) и в Т.4 - в 1,5 раза (Р≤0,05). </w:t>
      </w:r>
    </w:p>
    <w:p w14:paraId="4C26AFE9" w14:textId="77777777" w:rsidR="00936BDA" w:rsidRDefault="001E31D9" w:rsidP="00F24801">
      <w:pPr>
        <w:spacing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почек, которые также чувствительны к изменению обмена веществ [5], показало, что их масса в среднем составляла 0,10±0,006 г, а реносоматический индекс (I</w:t>
      </w:r>
      <w:r w:rsidRPr="00F24801"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соответствовал 11,59-11,97‰, что соответствует показателям нормы, при индивидуальной вариабельности массы почек: фон, CV= 13% и 14%, Т.1, CV = 28% и 17%, Т.2, CV = 18% и 15%, Т.3, CV = 29% и 19%, Т.4, CV = 13% и 11%, для правой и левой почек соответственно. </w:t>
      </w:r>
    </w:p>
    <w:p w14:paraId="03375803" w14:textId="77777777" w:rsidR="00936BDA" w:rsidRDefault="001E31D9" w:rsidP="00F24801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801">
        <w:rPr>
          <w:rFonts w:ascii="Times New Roman" w:eastAsia="Times New Roman" w:hAnsi="Times New Roman" w:cs="Times New Roman"/>
          <w:sz w:val="24"/>
          <w:szCs w:val="24"/>
        </w:rPr>
        <w:lastRenderedPageBreak/>
        <w:t>При исследовании индекса семенников (It) у животных некоторых точек были отмечены достоверные изменения: уменьшение It у животных, отловленных в Т.1- Т.3. В Т.1 It снижался на 40% и 33% (Р≤0,05), в Т.2 - на 34% и 20%, в Т.3 - на 27% и 36% для правого и левого семенника, соответственно.</w:t>
      </w:r>
    </w:p>
    <w:p w14:paraId="7D3820CF" w14:textId="77777777" w:rsidR="00936BDA" w:rsidRDefault="001E31D9">
      <w:pPr>
        <w:spacing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ходе гистологического исследования внутренних органов были обнаружены патоморфологические изменения в печени и почках, изменение параметров в которых трактуется как интенсификация обменных, в том числе детоксикационных, процессов. </w:t>
      </w:r>
    </w:p>
    <w:p w14:paraId="6D4FAE78" w14:textId="77777777" w:rsidR="00936BDA" w:rsidRDefault="001E31D9">
      <w:pPr>
        <w:spacing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 мышей, обитающих в первой точке, в районе рудников Акбастау и Куланды общая структура печени была сохранена. В крупных сосудах отмечался стаз крови, гемолиз эритроцитов. Также на некоторых участках наблюдалось расширение синусоидов и пересинуидального пространства (рис. 1Б). </w:t>
      </w:r>
    </w:p>
    <w:tbl>
      <w:tblPr>
        <w:tblStyle w:val="a7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936BDA" w14:paraId="55B6C6E4" w14:textId="77777777">
        <w:trPr>
          <w:trHeight w:val="3537"/>
        </w:trPr>
        <w:tc>
          <w:tcPr>
            <w:tcW w:w="4814" w:type="dxa"/>
          </w:tcPr>
          <w:p w14:paraId="24E51985" w14:textId="77777777" w:rsidR="00936BDA" w:rsidRDefault="001E31D9">
            <w:pPr>
              <w:spacing w:after="20"/>
              <w:ind w:firstLine="2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5531FF" wp14:editId="396BD0AA">
                  <wp:extent cx="2690037" cy="2041451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037" cy="20414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410DAC3" w14:textId="77777777" w:rsidR="00936BDA" w:rsidRDefault="001E31D9">
            <w:pPr>
              <w:spacing w:after="20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А)</w:t>
            </w:r>
          </w:p>
        </w:tc>
        <w:tc>
          <w:tcPr>
            <w:tcW w:w="4814" w:type="dxa"/>
          </w:tcPr>
          <w:p w14:paraId="15A51D58" w14:textId="77777777" w:rsidR="00936BDA" w:rsidRDefault="001E31D9">
            <w:pPr>
              <w:spacing w:after="20"/>
              <w:ind w:hanging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830D91B" wp14:editId="0505C85D">
                  <wp:extent cx="2713723" cy="2034215"/>
                  <wp:effectExtent l="0" t="0" r="0" b="0"/>
                  <wp:docPr id="1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723" cy="2034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A637CC7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Б)</w:t>
            </w:r>
          </w:p>
        </w:tc>
      </w:tr>
      <w:tr w:rsidR="00936BDA" w14:paraId="668DC0EB" w14:textId="77777777">
        <w:trPr>
          <w:trHeight w:val="3527"/>
        </w:trPr>
        <w:tc>
          <w:tcPr>
            <w:tcW w:w="4814" w:type="dxa"/>
          </w:tcPr>
          <w:p w14:paraId="5FF9088B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E44C76" wp14:editId="565618F1">
                  <wp:extent cx="2702281" cy="2026800"/>
                  <wp:effectExtent l="0" t="0" r="0" b="0"/>
                  <wp:docPr id="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281" cy="202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FC9B607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4814" w:type="dxa"/>
          </w:tcPr>
          <w:p w14:paraId="28591C36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07B9BB" wp14:editId="036D0F28">
                  <wp:extent cx="2707005" cy="2023745"/>
                  <wp:effectExtent l="0" t="0" r="0" b="0"/>
                  <wp:docPr id="1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005" cy="2023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D9C0C38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Г)</w:t>
            </w:r>
          </w:p>
        </w:tc>
      </w:tr>
    </w:tbl>
    <w:p w14:paraId="672EEBE2" w14:textId="77777777" w:rsidR="00936BDA" w:rsidRDefault="001E31D9">
      <w:pPr>
        <w:spacing w:after="2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Рисунок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Гистологический срез печени мыши: А) контроль. Ув.100; Б) расширение синусоидов. Ув.200; В) жировая дистрофия. Ув.400; Г) наличие 6-ядерной клетки Ув.400</w:t>
      </w:r>
    </w:p>
    <w:p w14:paraId="0E1C2841" w14:textId="77777777" w:rsidR="00936BDA" w:rsidRDefault="001E31D9">
      <w:pPr>
        <w:spacing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hidden="0" allowOverlap="1" wp14:anchorId="09EB2B4E" wp14:editId="1DE9048A">
            <wp:simplePos x="0" y="0"/>
            <wp:positionH relativeFrom="margin">
              <wp:align>center</wp:align>
            </wp:positionH>
            <wp:positionV relativeFrom="page">
              <wp:posOffset>1540924</wp:posOffset>
            </wp:positionV>
            <wp:extent cx="5182235" cy="3274695"/>
            <wp:effectExtent l="0" t="0" r="0" b="0"/>
            <wp:wrapTopAndBottom distT="0" dist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3274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Кроме того, в печени был отмечен полиморфизм гепатоцитов и их ядер. В соответствии с рисунком 2, стоит отметить, что встречалось статистически достоверное увеличение (p&lt;0.001) многоядерных гепатоцитов, как двуядерных гепатоцитов, так и единичных многоядерных.  </w:t>
      </w:r>
    </w:p>
    <w:p w14:paraId="6940EF59" w14:textId="77777777" w:rsidR="00936BDA" w:rsidRDefault="001E31D9">
      <w:pPr>
        <w:spacing w:after="2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Рисунок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Сравнительный анализ количества многоядерных гепатоцитов в трех точках с контролем</w:t>
      </w:r>
    </w:p>
    <w:p w14:paraId="7B2B09D6" w14:textId="77777777" w:rsidR="00936BDA" w:rsidRDefault="001E31D9">
      <w:pPr>
        <w:spacing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 объектов, отловленных из второй точки – рудники Харасан 2 и Карамурын, общая структура печени также была сохранена. Как и с мышами из первой точки здесь в крупных сосудах отмечался стаз крови и гемолиз эритроцитов. На различных участках печени наблюдалось расширение синусоидов и пересинуидального пространства. Также нами отмечался полиморфизм гепатоцитов, их ядер. </w:t>
      </w:r>
    </w:p>
    <w:p w14:paraId="3D255526" w14:textId="77777777" w:rsidR="00936BDA" w:rsidRDefault="001E31D9">
      <w:pPr>
        <w:spacing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Было выявлено достоверное увеличение числа двуядерных гепатоцитов в сравнении с контрольной группой (рис. 1А). Кроме того, была обнаружена ярко выраженная жировая дистрофия (рис. 1В).   </w:t>
      </w:r>
    </w:p>
    <w:p w14:paraId="5C4056C3" w14:textId="77777777" w:rsidR="00936BDA" w:rsidRDefault="001E31D9" w:rsidP="00F24801">
      <w:pPr>
        <w:spacing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 третьей группы, обитающих в рудниках Акдала и Мынкудук, в печени была обнаружена пролиферация двуядерных и полиплоидных клеток, жировая дистрофия и апоптоз гепатоцитов. Кроме того, была выявлена макрофагальная инфильтрация в ткани печени. Также, в соответствии с рисунком 1Г, был обнаружен полиморфизм ядер. Кроме того, на препаратах было отмечено присутствие многоядерных клеток с количеством ядер от 4 до 6 и наличие единичных гепатоцитов в состоянии некробиоза, как и у объектов из первой точки. </w:t>
      </w:r>
    </w:p>
    <w:p w14:paraId="2B4D6D61" w14:textId="77777777" w:rsidR="00936BDA" w:rsidRDefault="001E31D9">
      <w:pPr>
        <w:spacing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Изучение почек показало, что у мышей, обитающих в первой точке в районе рудников Акбастау и Куланды, сохранность общей структуры органа. В соответствии с рисунком 3Б, было обнаружено неравномерное кровенаполнение и очаговое кровоизлияние. </w:t>
      </w:r>
    </w:p>
    <w:p w14:paraId="5469E35A" w14:textId="77777777" w:rsidR="00936BDA" w:rsidRDefault="001E31D9">
      <w:pPr>
        <w:spacing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 второй группе у объектов, отловленных из второй точки – рудники Харасан 2 и Карамурын, общая структура почек была сохранена, но наблюдались аналогичные изменения, как и в случае с первой группой, в виде очагов кровоизлияния и неравномерного кровенаполнения сосудов (рис. 3В, 3Г). </w:t>
      </w:r>
    </w:p>
    <w:p w14:paraId="7D43C79D" w14:textId="77777777" w:rsidR="00936BDA" w:rsidRDefault="001E31D9">
      <w:pPr>
        <w:spacing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Кроме того, были отмечены лимфоидная и лейкоцитарная инфильтрация в мозговом веществе почек, деструкция париетального листка в клубочках. Также была обнаружена гиперемия сосудов клубочков, в соответствии с рисунком 3Д.</w:t>
      </w:r>
    </w:p>
    <w:tbl>
      <w:tblPr>
        <w:tblStyle w:val="a8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936BDA" w14:paraId="47ED836E" w14:textId="77777777">
        <w:tc>
          <w:tcPr>
            <w:tcW w:w="4814" w:type="dxa"/>
          </w:tcPr>
          <w:p w14:paraId="2C4DBCA9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F5FD443" wp14:editId="6A5ED5AB">
                  <wp:extent cx="2702400" cy="2026800"/>
                  <wp:effectExtent l="0" t="0" r="0" b="0"/>
                  <wp:docPr id="2" name="image2.png" descr="C:\Users\gjuli\OneDrive\Рабочий стол\почки х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gjuli\OneDrive\Рабочий стол\почки х10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400" cy="202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D4B6527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4814" w:type="dxa"/>
          </w:tcPr>
          <w:p w14:paraId="10746722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37FE53" wp14:editId="2624A400">
                  <wp:extent cx="2695494" cy="2026800"/>
                  <wp:effectExtent l="0" t="0" r="0" b="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494" cy="202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CA52E49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Б)</w:t>
            </w:r>
          </w:p>
        </w:tc>
      </w:tr>
      <w:tr w:rsidR="00936BDA" w14:paraId="6DF4E545" w14:textId="77777777">
        <w:tc>
          <w:tcPr>
            <w:tcW w:w="4814" w:type="dxa"/>
          </w:tcPr>
          <w:p w14:paraId="7DD7F5CA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B4526A" wp14:editId="2ECA921D">
                  <wp:extent cx="2699066" cy="2026800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066" cy="202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0FD36A0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4814" w:type="dxa"/>
          </w:tcPr>
          <w:p w14:paraId="6D2575DC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5421B4" wp14:editId="329DAE97">
                  <wp:extent cx="2705735" cy="2026285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735" cy="20262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1275BAD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Г)</w:t>
            </w:r>
          </w:p>
        </w:tc>
      </w:tr>
      <w:tr w:rsidR="00936BDA" w14:paraId="3D4205E3" w14:textId="77777777">
        <w:tc>
          <w:tcPr>
            <w:tcW w:w="4814" w:type="dxa"/>
          </w:tcPr>
          <w:p w14:paraId="670C77B5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3F932C" wp14:editId="2FFDE14B">
                  <wp:extent cx="2699066" cy="2026800"/>
                  <wp:effectExtent l="0" t="0" r="0" b="0"/>
                  <wp:docPr id="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066" cy="202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594D78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Д)</w:t>
            </w:r>
          </w:p>
        </w:tc>
        <w:tc>
          <w:tcPr>
            <w:tcW w:w="4814" w:type="dxa"/>
          </w:tcPr>
          <w:p w14:paraId="50FDD1F4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B8B9B6" wp14:editId="7EB94F2F">
                  <wp:extent cx="2699066" cy="2026800"/>
                  <wp:effectExtent l="0" t="0" r="0" b="0"/>
                  <wp:docPr id="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066" cy="202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46C63EB" w14:textId="77777777" w:rsidR="00936BDA" w:rsidRDefault="001E31D9">
            <w:pPr>
              <w:spacing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Ж)</w:t>
            </w:r>
          </w:p>
        </w:tc>
      </w:tr>
    </w:tbl>
    <w:p w14:paraId="28E8B54D" w14:textId="77777777" w:rsidR="00936BDA" w:rsidRDefault="001E31D9">
      <w:pPr>
        <w:spacing w:after="2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Рисунок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Гистологический срез почек мыши: А) контроль. Ув.100; Б) полнокровие. Ув.100; В) кровоизлияние в паренхиме почки; Г) стаз крови. Ув.100; Д) гиперемия сосудов клубочков и кровоизлияние в паренхиме почки. Ув. 400; Ж) жировая дистрофия</w:t>
      </w:r>
    </w:p>
    <w:p w14:paraId="02800AAA" w14:textId="77777777" w:rsidR="00936BDA" w:rsidRDefault="001E31D9">
      <w:pPr>
        <w:spacing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 третьей группы, обитающих в рудниках Акдала и Мынкудук в почках было также, как и в предыдущих двух точках, было обнаружено неравномерное кровенаполнение сосудов и очаговые кровоизлияния, а также некроз, некробиоз, жировая дистрофия эпителия канальцев нефронов (рис. 3Ж) и гиперемия сосудов клубочков. </w:t>
      </w:r>
    </w:p>
    <w:p w14:paraId="0525DE5F" w14:textId="77777777" w:rsidR="00936BDA" w:rsidRDefault="00936BDA">
      <w:pPr>
        <w:spacing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D0A85A" w14:textId="77777777" w:rsidR="00936BDA" w:rsidRDefault="00936BDA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D733E5" w14:textId="77777777" w:rsidR="00936BDA" w:rsidRDefault="001E31D9" w:rsidP="00F24801">
      <w:pPr>
        <w:spacing w:after="2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Выводы</w:t>
      </w:r>
    </w:p>
    <w:p w14:paraId="35EE8D0E" w14:textId="0D08AEF4" w:rsidR="00936BDA" w:rsidRDefault="001E31D9" w:rsidP="00F24801">
      <w:pPr>
        <w:spacing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проведенных исследований было </w:t>
      </w:r>
      <w:r w:rsidR="00F24801">
        <w:rPr>
          <w:rFonts w:ascii="Times New Roman" w:eastAsia="Times New Roman" w:hAnsi="Times New Roman" w:cs="Times New Roman"/>
          <w:sz w:val="24"/>
          <w:szCs w:val="24"/>
          <w:lang w:val="kk-KZ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становлено достоверное снижение индекса массы тела у животных из рудников Харасан 2 и Карамурын (точка 2), достоверное снижение индекса массы печени у животных из Акдала, Мынкудук и Канжуган (точки 3, 4),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увеличение массы индекса селезенки в Акбастау, Куланды, Харасан 2, Карамурын, Канжуган (точки 1, 2, 4), достоверное снижение индекса семенников в первых трех точках. Выявленные изменения индекса массы тела и внутренних органах показали нарушения механизмов адаптации под воздействием длительного стресса.</w:t>
      </w:r>
    </w:p>
    <w:p w14:paraId="1BA61E67" w14:textId="77777777" w:rsidR="00936BDA" w:rsidRDefault="001E31D9">
      <w:pPr>
        <w:spacing w:after="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Гистологический анализ в печени показал нарушения кровообращения и реологии крови, достоверное увеличение многоядерных гепатоцитов, некробиоз и апоптоз гепатоцитов, жировую дистрофию в Харасан 2 и Карамурын, Акдала, Мынкудук (точки 2, 3). В первых двух точках в почках выявлены нарушения кровообращения и реологии крови, а в третьей точке на фоне аналогичных нарушений наблюдались некробиоз, некроз и очаговая жировая дистрофия эпителия канальцев. </w:t>
      </w:r>
    </w:p>
    <w:p w14:paraId="4EE91C26" w14:textId="6B384828" w:rsidR="00936BDA" w:rsidRDefault="001E31D9">
      <w:pPr>
        <w:spacing w:after="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Анализ результатов морфофизиологических индикаторов и гистопатологического исследования показал у животных в точках 2, 3, 4 наличия стрессовых </w:t>
      </w:r>
      <w:r w:rsidR="00F24801">
        <w:rPr>
          <w:rFonts w:ascii="Times New Roman" w:eastAsia="Times New Roman" w:hAnsi="Times New Roman" w:cs="Times New Roman"/>
          <w:sz w:val="24"/>
          <w:szCs w:val="24"/>
        </w:rPr>
        <w:t>факторов, отражающихся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органном и тканевом уровнях, что свидетельствует о неблагоприятном состоянии окружающей среды. В то время как у мышей из первой точки большинство показателей находилось в пределах нормы. </w:t>
      </w:r>
    </w:p>
    <w:p w14:paraId="5FE9C9A0" w14:textId="77777777" w:rsidR="00936BDA" w:rsidRDefault="001E31D9">
      <w:pPr>
        <w:spacing w:after="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Полученные данные в дальнейшем могут быть использованы в последующих исследованиях в области экомониторинга.</w:t>
      </w:r>
    </w:p>
    <w:p w14:paraId="26E8E794" w14:textId="77777777" w:rsidR="00936BDA" w:rsidRDefault="00936BDA">
      <w:pPr>
        <w:spacing w:after="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08D42F" w14:textId="77777777" w:rsidR="00936BDA" w:rsidRDefault="001E31D9">
      <w:pPr>
        <w:spacing w:after="2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Список литературы:</w:t>
      </w:r>
    </w:p>
    <w:p w14:paraId="7DC0EA7C" w14:textId="77777777" w:rsidR="00936BDA" w:rsidRPr="00F24801" w:rsidRDefault="001E31D9">
      <w:pPr>
        <w:spacing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Ferizi R. et al. </w:t>
      </w:r>
      <w:r w:rsidRPr="00F2480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Biomarkers as Bioindicators to Early Detection of Pollution Effects in Environmental and the Human Health //Journal of International Dental and Medical Research. – 2020. – 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F2480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13. – №. 1. –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24801">
        <w:rPr>
          <w:rFonts w:ascii="Times New Roman" w:eastAsia="Times New Roman" w:hAnsi="Times New Roman" w:cs="Times New Roman"/>
          <w:sz w:val="24"/>
          <w:szCs w:val="24"/>
          <w:lang w:val="en-US"/>
        </w:rPr>
        <w:t>. 8-16.</w:t>
      </w:r>
    </w:p>
    <w:p w14:paraId="6CF087F6" w14:textId="77777777" w:rsidR="00936BDA" w:rsidRPr="00F24801" w:rsidRDefault="001E31D9">
      <w:pPr>
        <w:spacing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24801">
        <w:rPr>
          <w:rFonts w:ascii="Times New Roman" w:eastAsia="Times New Roman" w:hAnsi="Times New Roman" w:cs="Times New Roman"/>
          <w:sz w:val="24"/>
          <w:szCs w:val="24"/>
          <w:lang w:val="en-US"/>
        </w:rPr>
        <w:t>2. Rakmetkazhy I. Bersimbaev, Olga Bulgakova. The health effects of radon and uranium on the population of Kazakhstan// Genes and Environment (2015), 10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F24801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629CDE61" w14:textId="77777777" w:rsidR="00936BDA" w:rsidRDefault="001E31D9">
      <w:pPr>
        <w:spacing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Оленев Г.В., Григоркина Е.Б. Метод морфофизиологических индикаторов И функционально-онтогенетический подход при решении экологических задач (на примере спленомегалии у грызунов) // ЭКОЛОГИЯ, 2019, № 2, с. 112–124</w:t>
      </w:r>
    </w:p>
    <w:p w14:paraId="370C0C60" w14:textId="77777777" w:rsidR="00936BDA" w:rsidRPr="00F24801" w:rsidRDefault="001E31D9">
      <w:pPr>
        <w:spacing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24801">
        <w:rPr>
          <w:rFonts w:ascii="Times New Roman" w:eastAsia="Times New Roman" w:hAnsi="Times New Roman" w:cs="Times New Roman"/>
          <w:sz w:val="24"/>
          <w:szCs w:val="24"/>
          <w:lang w:val="en-US"/>
        </w:rPr>
        <w:t>4. Introduction to radiobiology of targeted radionuclide therapy / J. Pouget, C. Lozza, E. Deshayes et al. // Front Med (Lausanne). – 2015. - V. 2. – P. 12.</w:t>
      </w:r>
    </w:p>
    <w:p w14:paraId="6443903F" w14:textId="77777777" w:rsidR="00936BDA" w:rsidRDefault="001E31D9">
      <w:pPr>
        <w:spacing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Пудов А.М., Мукашева М.А., Блялев С.А. Мышевидные грызуны как биоиндикаторы мониторинга популяций в Каркаралинском государственном национальном природном парке // Вестник Карагандинского университета, Серия «Биология. Медицина. География». № 1(69)/2013. – С. 18-23</w:t>
      </w:r>
    </w:p>
    <w:p w14:paraId="0F01A4C5" w14:textId="77777777" w:rsidR="00936BDA" w:rsidRDefault="001E31D9">
      <w:pPr>
        <w:spacing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Чуйков Ю. С., Шадманова Т. Х. К оценке состояния урбанизированных и естественных территорий Астраханской области с помощью методов биоиндикации //Естественные науки. – 2011. – №. 4. – С. 37</w:t>
      </w:r>
    </w:p>
    <w:p w14:paraId="4D1AD1E9" w14:textId="77777777" w:rsidR="00936BDA" w:rsidRDefault="001E31D9">
      <w:pPr>
        <w:spacing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Виноградов B.C., Громов И. М. Краткий определитель грызунов фауны СССР. — JL: Наука, 1984. — 140 с.</w:t>
      </w:r>
    </w:p>
    <w:p w14:paraId="18F3C844" w14:textId="77777777" w:rsidR="00936BDA" w:rsidRDefault="001E31D9">
      <w:pPr>
        <w:spacing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Шварц С.С., Смирнов В.С., Добринский Л.Н. Метод морфофизиологических индикаторов в экологии наземных позвоночных. Свердловск: УФАН СССР, 1968. — 386 с. — (Труды Института экологии растений и животных; вып. 58). </w:t>
      </w:r>
    </w:p>
    <w:p w14:paraId="5B568C67" w14:textId="77777777" w:rsidR="00936BDA" w:rsidRDefault="001E31D9">
      <w:pPr>
        <w:spacing w:after="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9. Ромейс, Б. Микроскопическая техника / Б. Ромейс. – Москва: Иностр. лит., 1953, 718 с.</w:t>
      </w:r>
    </w:p>
    <w:sectPr w:rsidR="00936BDA"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BDA"/>
    <w:rsid w:val="001E31D9"/>
    <w:rsid w:val="00936BDA"/>
    <w:rsid w:val="00D91541"/>
    <w:rsid w:val="00F24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E48BC"/>
  <w15:docId w15:val="{0C67CCC6-84A0-4A25-BB1B-3A7127230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2334</Words>
  <Characters>13307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Полат Гусейнов</cp:lastModifiedBy>
  <cp:revision>4</cp:revision>
  <dcterms:created xsi:type="dcterms:W3CDTF">2023-04-12T07:18:00Z</dcterms:created>
  <dcterms:modified xsi:type="dcterms:W3CDTF">2023-04-12T07:36:00Z</dcterms:modified>
</cp:coreProperties>
</file>