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B0" w:rsidRDefault="004254B0" w:rsidP="004254B0">
      <w:pPr>
        <w:pStyle w:val="a3"/>
        <w:jc w:val="center"/>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lang w:val="en-US"/>
        </w:rPr>
        <w:t>I</w:t>
      </w:r>
      <w:r>
        <w:rPr>
          <w:rFonts w:ascii="Times New Roman" w:hAnsi="Times New Roman" w:cs="Times New Roman"/>
          <w:sz w:val="24"/>
          <w:szCs w:val="24"/>
        </w:rPr>
        <w:t xml:space="preserve"> ХАЛЫҚАРАЛЫҚ</w:t>
      </w:r>
    </w:p>
    <w:p w:rsidR="004254B0" w:rsidRDefault="004254B0" w:rsidP="004254B0">
      <w:pPr>
        <w:pStyle w:val="a3"/>
        <w:jc w:val="center"/>
        <w:rPr>
          <w:rFonts w:ascii="Times New Roman" w:hAnsi="Times New Roman" w:cs="Times New Roman"/>
          <w:sz w:val="24"/>
          <w:szCs w:val="24"/>
        </w:rPr>
      </w:pPr>
      <w:r>
        <w:rPr>
          <w:rFonts w:ascii="Times New Roman" w:hAnsi="Times New Roman" w:cs="Times New Roman"/>
          <w:sz w:val="24"/>
          <w:szCs w:val="24"/>
        </w:rPr>
        <w:t xml:space="preserve">ФАРАБИ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ҚУЛАРЫ</w:t>
      </w:r>
    </w:p>
    <w:p w:rsidR="004254B0" w:rsidRDefault="004254B0" w:rsidP="004254B0">
      <w:pPr>
        <w:pStyle w:val="a3"/>
        <w:jc w:val="center"/>
        <w:rPr>
          <w:rFonts w:ascii="Times New Roman" w:hAnsi="Times New Roman" w:cs="Times New Roman"/>
          <w:sz w:val="24"/>
          <w:szCs w:val="24"/>
        </w:rPr>
      </w:pPr>
      <w:r>
        <w:rPr>
          <w:rFonts w:ascii="Times New Roman" w:hAnsi="Times New Roman" w:cs="Times New Roman"/>
          <w:sz w:val="24"/>
          <w:szCs w:val="24"/>
        </w:rPr>
        <w:t xml:space="preserve">Алматы,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6-9 </w:t>
      </w:r>
      <w:proofErr w:type="spellStart"/>
      <w:r>
        <w:rPr>
          <w:rFonts w:ascii="Times New Roman" w:hAnsi="Times New Roman" w:cs="Times New Roman"/>
          <w:sz w:val="24"/>
          <w:szCs w:val="24"/>
        </w:rPr>
        <w:t>сəуі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2020 </w:t>
      </w:r>
      <w:proofErr w:type="spellStart"/>
      <w:r>
        <w:rPr>
          <w:rFonts w:ascii="Times New Roman" w:hAnsi="Times New Roman" w:cs="Times New Roman"/>
          <w:sz w:val="24"/>
          <w:szCs w:val="24"/>
        </w:rPr>
        <w:t>жыл</w:t>
      </w:r>
      <w:proofErr w:type="spellEnd"/>
    </w:p>
    <w:p w:rsidR="004254B0" w:rsidRDefault="004254B0" w:rsidP="004254B0">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Студенттер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жас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ғалымдардың</w:t>
      </w:r>
      <w:proofErr w:type="spellEnd"/>
    </w:p>
    <w:p w:rsidR="004254B0" w:rsidRDefault="004254B0" w:rsidP="004254B0">
      <w:pPr>
        <w:pStyle w:val="a3"/>
        <w:jc w:val="center"/>
        <w:rPr>
          <w:rFonts w:ascii="Times New Roman" w:hAnsi="Times New Roman" w:cs="Times New Roman"/>
          <w:sz w:val="24"/>
          <w:szCs w:val="24"/>
        </w:rPr>
      </w:pPr>
      <w:r>
        <w:rPr>
          <w:rFonts w:ascii="Times New Roman" w:hAnsi="Times New Roman" w:cs="Times New Roman"/>
          <w:sz w:val="24"/>
          <w:szCs w:val="24"/>
        </w:rPr>
        <w:t>“ФАРАБИ ƏЛЕМІ”</w:t>
      </w:r>
    </w:p>
    <w:p w:rsidR="004254B0" w:rsidRDefault="004254B0" w:rsidP="004254B0">
      <w:pPr>
        <w:pStyle w:val="a3"/>
        <w:jc w:val="center"/>
        <w:rPr>
          <w:rFonts w:ascii="Times New Roman" w:hAnsi="Times New Roman" w:cs="Times New Roman"/>
          <w:sz w:val="24"/>
          <w:szCs w:val="24"/>
        </w:rPr>
      </w:pPr>
      <w:proofErr w:type="spellStart"/>
      <w:r>
        <w:rPr>
          <w:rFonts w:ascii="Times New Roman" w:hAnsi="Times New Roman" w:cs="Times New Roman"/>
          <w:sz w:val="24"/>
          <w:szCs w:val="24"/>
        </w:rPr>
        <w:t>атты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халықаралық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конференция</w:t>
      </w:r>
    </w:p>
    <w:p w:rsidR="004254B0" w:rsidRDefault="004254B0" w:rsidP="004254B0">
      <w:pPr>
        <w:pStyle w:val="a3"/>
        <w:jc w:val="center"/>
        <w:rPr>
          <w:rFonts w:ascii="Times New Roman" w:hAnsi="Times New Roman" w:cs="Times New Roman"/>
          <w:sz w:val="24"/>
          <w:szCs w:val="24"/>
        </w:rPr>
      </w:pPr>
      <w:r>
        <w:rPr>
          <w:rFonts w:ascii="Times New Roman" w:hAnsi="Times New Roman" w:cs="Times New Roman"/>
          <w:sz w:val="24"/>
          <w:szCs w:val="24"/>
        </w:rPr>
        <w:t>МАТЕРИАЛДАРЫ</w:t>
      </w:r>
    </w:p>
    <w:p w:rsidR="004254B0" w:rsidRDefault="004254B0" w:rsidP="004254B0">
      <w:pPr>
        <w:pStyle w:val="a3"/>
        <w:jc w:val="center"/>
        <w:rPr>
          <w:rFonts w:ascii="Times New Roman" w:hAnsi="Times New Roman" w:cs="Times New Roman"/>
          <w:sz w:val="24"/>
          <w:szCs w:val="24"/>
        </w:rPr>
      </w:pPr>
      <w:r>
        <w:rPr>
          <w:rFonts w:ascii="Times New Roman" w:hAnsi="Times New Roman" w:cs="Times New Roman"/>
          <w:sz w:val="24"/>
          <w:szCs w:val="24"/>
        </w:rPr>
        <w:t xml:space="preserve">Алматы, </w:t>
      </w:r>
      <w:proofErr w:type="spellStart"/>
      <w:r>
        <w:rPr>
          <w:rFonts w:ascii="Times New Roman" w:hAnsi="Times New Roman" w:cs="Times New Roman"/>
          <w:sz w:val="24"/>
          <w:szCs w:val="24"/>
        </w:rPr>
        <w:t>Қазақстан</w:t>
      </w:r>
      <w:proofErr w:type="spellEnd"/>
      <w:r>
        <w:rPr>
          <w:rFonts w:ascii="Times New Roman" w:hAnsi="Times New Roman" w:cs="Times New Roman"/>
          <w:sz w:val="24"/>
          <w:szCs w:val="24"/>
        </w:rPr>
        <w:t xml:space="preserve">, 6-9 </w:t>
      </w:r>
      <w:proofErr w:type="spellStart"/>
      <w:r>
        <w:rPr>
          <w:rFonts w:ascii="Times New Roman" w:hAnsi="Times New Roman" w:cs="Times New Roman"/>
          <w:sz w:val="24"/>
          <w:szCs w:val="24"/>
        </w:rPr>
        <w:t>сəуі</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2020 </w:t>
      </w:r>
      <w:proofErr w:type="spellStart"/>
      <w:r>
        <w:rPr>
          <w:rFonts w:ascii="Times New Roman" w:hAnsi="Times New Roman" w:cs="Times New Roman"/>
          <w:sz w:val="24"/>
          <w:szCs w:val="24"/>
        </w:rPr>
        <w:t>жыл</w:t>
      </w:r>
      <w:proofErr w:type="spellEnd"/>
    </w:p>
    <w:p w:rsidR="00E12FF6" w:rsidRPr="00E12FF6" w:rsidRDefault="00E12FF6" w:rsidP="00E12FF6">
      <w:pPr>
        <w:spacing w:line="240" w:lineRule="auto"/>
        <w:ind w:firstLine="567"/>
        <w:jc w:val="center"/>
        <w:rPr>
          <w:rFonts w:ascii="Times New Roman" w:hAnsi="Times New Roman" w:cs="Times New Roman"/>
          <w:b/>
          <w:sz w:val="24"/>
          <w:szCs w:val="24"/>
        </w:rPr>
      </w:pPr>
      <w:bookmarkStart w:id="0" w:name="_GoBack"/>
      <w:bookmarkEnd w:id="0"/>
    </w:p>
    <w:p w:rsidR="00E12FF6" w:rsidRPr="00E12FF6" w:rsidRDefault="00E12FF6" w:rsidP="00E12FF6">
      <w:pPr>
        <w:spacing w:after="0" w:line="240" w:lineRule="auto"/>
        <w:jc w:val="center"/>
        <w:rPr>
          <w:rFonts w:ascii="Times New Roman" w:hAnsi="Times New Roman" w:cs="Times New Roman"/>
          <w:b/>
          <w:bCs/>
          <w:sz w:val="24"/>
          <w:szCs w:val="24"/>
        </w:rPr>
      </w:pPr>
    </w:p>
    <w:p w:rsidR="00E12FF6" w:rsidRPr="00E12FF6" w:rsidRDefault="00E12FF6" w:rsidP="00E12FF6">
      <w:pPr>
        <w:spacing w:after="0" w:line="240" w:lineRule="auto"/>
        <w:jc w:val="center"/>
        <w:rPr>
          <w:rFonts w:ascii="Times New Roman" w:hAnsi="Times New Roman" w:cs="Times New Roman"/>
          <w:b/>
          <w:caps/>
          <w:sz w:val="24"/>
          <w:szCs w:val="24"/>
          <w:lang w:val="kk-KZ"/>
        </w:rPr>
      </w:pPr>
      <w:r w:rsidRPr="00E12FF6">
        <w:rPr>
          <w:rFonts w:ascii="Times New Roman" w:hAnsi="Times New Roman" w:cs="Times New Roman"/>
          <w:b/>
          <w:caps/>
          <w:sz w:val="24"/>
          <w:szCs w:val="24"/>
          <w:lang w:val="kk-KZ"/>
        </w:rPr>
        <w:t>Қазақстанның агроБИЗНЕСіН қарқынды дамытудағы ақылды технологиялардың ықпалы</w:t>
      </w:r>
    </w:p>
    <w:p w:rsidR="00E12FF6" w:rsidRPr="00E12FF6" w:rsidRDefault="00E12FF6" w:rsidP="00E12FF6">
      <w:pPr>
        <w:spacing w:after="0" w:line="240" w:lineRule="auto"/>
        <w:jc w:val="center"/>
        <w:rPr>
          <w:rFonts w:ascii="Times New Roman" w:hAnsi="Times New Roman" w:cs="Times New Roman"/>
          <w:b/>
          <w:sz w:val="24"/>
          <w:szCs w:val="24"/>
          <w:lang w:val="kk-KZ"/>
        </w:rPr>
      </w:pPr>
    </w:p>
    <w:p w:rsidR="00E12FF6" w:rsidRPr="00E12FF6" w:rsidRDefault="00E12FF6" w:rsidP="00E12FF6">
      <w:pPr>
        <w:tabs>
          <w:tab w:val="left" w:pos="851"/>
        </w:tabs>
        <w:spacing w:after="0" w:line="240" w:lineRule="auto"/>
        <w:ind w:firstLine="567"/>
        <w:jc w:val="right"/>
        <w:rPr>
          <w:rFonts w:ascii="Times New Roman" w:hAnsi="Times New Roman" w:cs="Times New Roman"/>
          <w:i/>
          <w:sz w:val="24"/>
          <w:szCs w:val="24"/>
          <w:lang w:val="kk-KZ"/>
        </w:rPr>
      </w:pPr>
      <w:r w:rsidRPr="00E12FF6">
        <w:rPr>
          <w:rFonts w:ascii="Times New Roman" w:hAnsi="Times New Roman" w:cs="Times New Roman"/>
          <w:i/>
          <w:sz w:val="24"/>
          <w:szCs w:val="24"/>
          <w:lang w:val="kk-KZ"/>
        </w:rPr>
        <w:t>Жапарова М.Ж.</w:t>
      </w:r>
    </w:p>
    <w:p w:rsidR="00E12FF6" w:rsidRPr="00E12FF6" w:rsidRDefault="00E12FF6" w:rsidP="00E12FF6">
      <w:pPr>
        <w:tabs>
          <w:tab w:val="left" w:pos="851"/>
        </w:tabs>
        <w:spacing w:after="0" w:line="240" w:lineRule="auto"/>
        <w:ind w:firstLine="567"/>
        <w:jc w:val="right"/>
        <w:rPr>
          <w:rFonts w:ascii="Times New Roman" w:hAnsi="Times New Roman" w:cs="Times New Roman"/>
          <w:i/>
          <w:sz w:val="24"/>
          <w:szCs w:val="24"/>
          <w:lang w:val="kk-KZ"/>
        </w:rPr>
      </w:pPr>
      <w:r w:rsidRPr="00E12FF6">
        <w:rPr>
          <w:rFonts w:ascii="Times New Roman" w:hAnsi="Times New Roman" w:cs="Times New Roman"/>
          <w:i/>
          <w:sz w:val="24"/>
          <w:szCs w:val="24"/>
          <w:lang w:val="kk-KZ"/>
        </w:rPr>
        <w:t>Экономика және Бизнес Жоғары Мектебі,</w:t>
      </w:r>
    </w:p>
    <w:p w:rsidR="00E12FF6" w:rsidRPr="00E12FF6" w:rsidRDefault="00E12FF6" w:rsidP="00E12FF6">
      <w:pPr>
        <w:tabs>
          <w:tab w:val="left" w:pos="851"/>
        </w:tabs>
        <w:spacing w:after="0" w:line="240" w:lineRule="auto"/>
        <w:ind w:firstLine="567"/>
        <w:jc w:val="right"/>
        <w:rPr>
          <w:rFonts w:ascii="Times New Roman" w:hAnsi="Times New Roman" w:cs="Times New Roman"/>
          <w:i/>
          <w:sz w:val="24"/>
          <w:szCs w:val="24"/>
          <w:lang w:val="kk-KZ"/>
        </w:rPr>
      </w:pPr>
      <w:r w:rsidRPr="00E12FF6">
        <w:rPr>
          <w:rFonts w:ascii="Times New Roman" w:hAnsi="Times New Roman" w:cs="Times New Roman"/>
          <w:i/>
          <w:sz w:val="24"/>
          <w:szCs w:val="24"/>
          <w:lang w:val="kk-KZ"/>
        </w:rPr>
        <w:t>Мемлекеттік және жергілікті басқару мамандығының</w:t>
      </w:r>
    </w:p>
    <w:p w:rsidR="00E12FF6" w:rsidRPr="00E12FF6" w:rsidRDefault="00E12FF6" w:rsidP="00E12FF6">
      <w:pPr>
        <w:tabs>
          <w:tab w:val="left" w:pos="851"/>
        </w:tabs>
        <w:spacing w:after="0" w:line="240" w:lineRule="auto"/>
        <w:ind w:firstLine="567"/>
        <w:jc w:val="right"/>
        <w:rPr>
          <w:rFonts w:ascii="Times New Roman" w:hAnsi="Times New Roman" w:cs="Times New Roman"/>
          <w:i/>
          <w:sz w:val="24"/>
          <w:szCs w:val="24"/>
          <w:lang w:val="kk-KZ"/>
        </w:rPr>
      </w:pPr>
      <w:r w:rsidRPr="00E12FF6">
        <w:rPr>
          <w:rFonts w:ascii="Times New Roman" w:hAnsi="Times New Roman" w:cs="Times New Roman"/>
          <w:i/>
          <w:sz w:val="24"/>
          <w:szCs w:val="24"/>
          <w:lang w:val="kk-KZ"/>
        </w:rPr>
        <w:t>3-курс докторанты</w:t>
      </w:r>
    </w:p>
    <w:p w:rsidR="00E12FF6" w:rsidRPr="00E12FF6" w:rsidRDefault="00E12FF6" w:rsidP="00E12FF6">
      <w:pPr>
        <w:tabs>
          <w:tab w:val="left" w:pos="851"/>
        </w:tabs>
        <w:spacing w:after="0" w:line="240" w:lineRule="auto"/>
        <w:ind w:firstLine="567"/>
        <w:jc w:val="right"/>
        <w:rPr>
          <w:rFonts w:ascii="Times New Roman" w:hAnsi="Times New Roman" w:cs="Times New Roman"/>
          <w:i/>
          <w:sz w:val="24"/>
          <w:szCs w:val="24"/>
          <w:lang w:val="kk-KZ"/>
        </w:rPr>
      </w:pPr>
    </w:p>
    <w:p w:rsidR="00E12FF6" w:rsidRPr="00E12FF6" w:rsidRDefault="00E12FF6" w:rsidP="00E12FF6">
      <w:pPr>
        <w:tabs>
          <w:tab w:val="left" w:pos="851"/>
        </w:tabs>
        <w:spacing w:after="0" w:line="240" w:lineRule="auto"/>
        <w:ind w:firstLine="567"/>
        <w:jc w:val="right"/>
        <w:rPr>
          <w:rFonts w:ascii="Times New Roman" w:hAnsi="Times New Roman" w:cs="Times New Roman"/>
          <w:i/>
          <w:sz w:val="24"/>
          <w:szCs w:val="24"/>
          <w:lang w:val="kk-KZ"/>
        </w:rPr>
      </w:pPr>
      <w:r w:rsidRPr="00E12FF6">
        <w:rPr>
          <w:rFonts w:ascii="Times New Roman" w:hAnsi="Times New Roman" w:cs="Times New Roman"/>
          <w:i/>
          <w:sz w:val="24"/>
          <w:szCs w:val="24"/>
          <w:lang w:val="kk-KZ"/>
        </w:rPr>
        <w:t xml:space="preserve">Ғылыми жетекші: </w:t>
      </w:r>
      <w:r w:rsidRPr="00E12FF6">
        <w:rPr>
          <w:rFonts w:ascii="Times New Roman" w:hAnsi="Times New Roman" w:cs="Times New Roman"/>
          <w:i/>
          <w:sz w:val="24"/>
          <w:szCs w:val="24"/>
          <w:shd w:val="clear" w:color="auto" w:fill="FFFFFF"/>
          <w:lang w:val="kk-KZ"/>
        </w:rPr>
        <w:t>Бейсенбаев Ж. Т.</w:t>
      </w:r>
    </w:p>
    <w:p w:rsidR="00E12FF6" w:rsidRPr="00E12FF6" w:rsidRDefault="00E12FF6" w:rsidP="00E12FF6">
      <w:pPr>
        <w:spacing w:after="0" w:line="240" w:lineRule="auto"/>
        <w:jc w:val="right"/>
        <w:rPr>
          <w:rFonts w:ascii="Times New Roman" w:hAnsi="Times New Roman" w:cs="Times New Roman"/>
          <w:color w:val="000000"/>
          <w:sz w:val="24"/>
          <w:szCs w:val="24"/>
          <w:shd w:val="clear" w:color="auto" w:fill="FFFFFF"/>
          <w:lang w:val="kk-KZ"/>
        </w:rPr>
      </w:pPr>
      <w:r w:rsidRPr="00E12FF6">
        <w:rPr>
          <w:rFonts w:ascii="Times New Roman" w:hAnsi="Times New Roman" w:cs="Times New Roman"/>
          <w:i/>
          <w:sz w:val="24"/>
          <w:szCs w:val="24"/>
          <w:shd w:val="clear" w:color="auto" w:fill="FFFFFF"/>
          <w:lang w:val="kk-KZ"/>
        </w:rPr>
        <w:t>э.ғ.к., аға оқытушы</w:t>
      </w:r>
    </w:p>
    <w:p w:rsidR="00E12FF6" w:rsidRPr="00E12FF6" w:rsidRDefault="00E12FF6" w:rsidP="00E12FF6">
      <w:pPr>
        <w:spacing w:after="0" w:line="240" w:lineRule="auto"/>
        <w:jc w:val="right"/>
        <w:rPr>
          <w:rFonts w:ascii="Times New Roman" w:hAnsi="Times New Roman" w:cs="Times New Roman"/>
          <w:i/>
          <w:sz w:val="24"/>
          <w:szCs w:val="24"/>
          <w:lang w:val="kk-KZ"/>
        </w:rPr>
      </w:pP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Қазіргі таңда «ақылды технологиялар» адамзат өмірінің барлық саласына қарқындап еніп, оның ажырамас бөлігіне айналуда. Ауыл шаруашылығындағы ақылды технологиялардың бірі ретінде «Ұшқышсыз ұшу аппараттарын» атауға болады. Оны қолдану ауылшаруашылық дақылдарының егілетін жерлерінің мониторингін анықтау, топырақтың әртүрлілігін талдау және ауруларды дамыту, сапаны бақылау, оны картаға түсіру  әрекеттері сәтті жүргізілуде. Аграрлық сектордың дамуы мемлекет үшін де, экономикалық және әлеуметтік мәселелерінде де стратегиялық маңызды болып саналады. Сондықтан да оны дамыту маңызды мәселе болуда.</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 xml:space="preserve">«Ақылды технологиялар» </w:t>
      </w:r>
      <w:r w:rsidRPr="00E12FF6">
        <w:rPr>
          <w:rFonts w:ascii="Times New Roman" w:hAnsi="Times New Roman" w:cs="Times New Roman"/>
          <w:b/>
          <w:sz w:val="24"/>
          <w:szCs w:val="24"/>
          <w:lang w:val="kk-KZ"/>
        </w:rPr>
        <w:t xml:space="preserve">- </w:t>
      </w:r>
      <w:r w:rsidRPr="00E12FF6">
        <w:rPr>
          <w:rFonts w:ascii="Times New Roman" w:hAnsi="Times New Roman" w:cs="Times New Roman"/>
          <w:sz w:val="24"/>
          <w:szCs w:val="24"/>
          <w:lang w:val="kk-KZ"/>
        </w:rPr>
        <w:t>агроөнеркәсіп кешенін қарқынды дамыту мүмкіндігі атты  Елбасы Жолдауында мынадай міндеттер атап көрсетілген:</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Аграрлық саясат еңбек өнімділігін түбегейлі арттыруға және өңделген өнімнің экспортын ұлғайтуға бағытталуы керек;</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Шикізатты қайта өңдеуді қамтамасыз етіп, әлемдік нарықтарға жоғары сапалы дайын өніммен шығуымыз қажет;</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Аграрлық университеттер диплом беріп қана қоймай, ауыл шаруа-шылығы кешенінде нақты жұмыс істейтін немесе ғылыммен айналысатын мамандарды дайындауға тиіс;</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Мемлекет бизнеспен бірлесіп, отандық өнімді халықаралық нарыққа шығарудың стратегиялық жолын тауып, ілгерілетуге тиіс;</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Әсіресе агроөнеркәсіп кешеніндегі еңбек өнімділігін және өңделген ауыл шаруашылығы өнімінің экспортын, тиісінше, кем дегенде аграршыларға 2,5 есеге арттыруға мүмкіндік беруге тиіс.</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 xml:space="preserve">Мемлекет басшысының идеясы </w:t>
      </w:r>
      <w:r w:rsidRPr="00E12FF6">
        <w:rPr>
          <w:rFonts w:ascii="Times New Roman" w:hAnsi="Times New Roman" w:cs="Times New Roman"/>
          <w:b/>
          <w:sz w:val="24"/>
          <w:szCs w:val="24"/>
          <w:lang w:val="kk-KZ"/>
        </w:rPr>
        <w:t xml:space="preserve">– </w:t>
      </w:r>
      <w:r w:rsidRPr="00E12FF6">
        <w:rPr>
          <w:rFonts w:ascii="Times New Roman" w:hAnsi="Times New Roman" w:cs="Times New Roman"/>
          <w:sz w:val="24"/>
          <w:szCs w:val="24"/>
          <w:lang w:val="kk-KZ"/>
        </w:rPr>
        <w:t xml:space="preserve">экономиканы цифрландыруға көшу және пәнаралық инновациялық орталықтар құру біздің болашақтың негізгі компоненті болып табылады. Қазақстанда аграрлық саладағы ғылым және бизнес үшін жаңа стратегиялық модель іске қосылады. Ал ғылым мен бизнесті жақындастыру үшін жаңа технологияларды коммерцияландыру кеңселері қажеттігі туындайды. </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 xml:space="preserve">Сондықтан да ақылды технологияларды қолдану еліміздің аграрлық саясаты еңбек өнімділігін түбегейлі арттыруға және өңделген өнімнің экспорттық әлеуетін ұлғайтуға </w:t>
      </w:r>
      <w:r w:rsidRPr="00E12FF6">
        <w:rPr>
          <w:rFonts w:ascii="Times New Roman" w:hAnsi="Times New Roman" w:cs="Times New Roman"/>
          <w:sz w:val="24"/>
          <w:szCs w:val="24"/>
          <w:lang w:val="kk-KZ"/>
        </w:rPr>
        <w:lastRenderedPageBreak/>
        <w:t xml:space="preserve">мүмкіндік береді. Бұл  агроөнеркәсіп кешенінің жаңа деңгейге өтуі болып табылады. Агроөнеркәсіптік кешенінде бәсекеге қабілетті, экспортқа бағытталған ауыл шаруашылық өнімдерінің көлемін ұлғайту, азық-түлік қауіпсіздігін қамтамасыз ету, жаңа жұмыс орындарын ашу мәселелері бойынша іс шаралар жүргізілуде және оны жыл өткен сайын күшейту керек.   </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Аграрлық саясат еңбек өнімділігін түбегейлі арттыруға және өңделген өнімнің экспортын ұлғайтуға бағытталуы керек. Біздің елде егінді егіп, дәнді дақылдарды өсіруді жақсы меңгерген.Бұл жыл өткен сайын ауданымыздағы егіншілік саласы дамып келетіндігін көрсетеді.</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Агроөнеркәсіптік кешенін инновациялық технологиялармен дамыту қажеттілігі туындауда. себебі, біздің еліміздің егістік жерлердің 93% ауа райына тәуелді аймақтарда орналасқан, яғни егіншіліктің өнімділігі толықтай жауын-шашынның көлеміне тікелей байланысты. Сондықтан да ғылыми тәсілдерге жүгінбесек, заманауи агротехнологияларды қолданбасақ, әлемдік дамудың көшіне ілесе алмауымыз мүмкін. Қазіргі таңда біздің экономикамыздың аграрлық секторы дамыған елдерден әлдеқайда артта қалған. Мәселен, табиғи-климаттық жағдайы Солтүстік Қазақстан өңірінен де қатал болып табылатын Австралияда астық дақылдарының өнімділігі бізге қарағанда 2 есе жоғары. Ал табиғи-климаттық жағдайы бізбен ұқсас келетін Канадада өсімдік шаруашылығының өнімділігі 14 есе артық. Жер көлемі Қазақстаннан 66 есе кіші Голландияда  ауылшаруашылық өнімдерінің әр жыл сайынғы экспорты 100 млрд. АҚШ долларын құрайды, немесе бізден 50 есе көп.</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Жалпы алғанда, елде ғылыми зерттеулерді қаржыландыру көлемі 66 млрд. Теңгеден (еліміздің ЖІӨ-нің 0,14% -ынан) сәл ғана асады, оның 6,9 млрд. Теңгесі немесе ауыл инвестициялар көлемі өткен жылмен салыстырғанда 7 762,3 млрд. теңгені құрады, оның 253,7 млрд. Теңгесі немесе 3,3% ауыл шаруашылығына бағытталды.</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Қазіргі кезде елімізде ғылыми-зерттеу жұмыстарына бөлінетін 66,0 млрд. теңгенің 4,2 млрд.тенге (6,4 %) ғана ауылшаруашылық саласындағы ғылыми зерттеулерге бөлінеді. Мысалы, ЮНЕСКО-ның ақпараты бойынша ғылымға бөлінетін қаржының мөлшері ішкі жалпы өнімнің көлемінен қанша пайызды құрайтыны 1-суретте  көрсетілген.</w:t>
      </w:r>
    </w:p>
    <w:p w:rsidR="00E12FF6" w:rsidRPr="00E12FF6" w:rsidRDefault="00E12FF6" w:rsidP="00E12FF6">
      <w:pPr>
        <w:pStyle w:val="a3"/>
        <w:ind w:firstLine="709"/>
        <w:jc w:val="both"/>
        <w:rPr>
          <w:rFonts w:ascii="Times New Roman" w:hAnsi="Times New Roman" w:cs="Times New Roman"/>
          <w:sz w:val="24"/>
          <w:szCs w:val="24"/>
          <w:lang w:val="kk-KZ"/>
        </w:rPr>
      </w:pPr>
    </w:p>
    <w:p w:rsidR="00E12FF6" w:rsidRPr="00E12FF6" w:rsidRDefault="00E12FF6" w:rsidP="00E12FF6">
      <w:pPr>
        <w:pStyle w:val="a3"/>
        <w:ind w:firstLine="709"/>
        <w:jc w:val="center"/>
        <w:rPr>
          <w:rFonts w:ascii="Times New Roman" w:hAnsi="Times New Roman" w:cs="Times New Roman"/>
          <w:sz w:val="24"/>
          <w:szCs w:val="24"/>
          <w:lang w:val="kk-KZ"/>
        </w:rPr>
      </w:pPr>
      <w:r w:rsidRPr="00E12FF6">
        <w:rPr>
          <w:rFonts w:ascii="Times New Roman" w:hAnsi="Times New Roman" w:cs="Times New Roman"/>
          <w:noProof/>
          <w:sz w:val="24"/>
          <w:szCs w:val="24"/>
          <w:lang w:eastAsia="ru-RU"/>
        </w:rPr>
        <w:drawing>
          <wp:inline distT="0" distB="0" distL="0" distR="0" wp14:anchorId="5DDDADA2" wp14:editId="1C5AF679">
            <wp:extent cx="4399280" cy="2139315"/>
            <wp:effectExtent l="19050" t="0" r="2032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12FF6" w:rsidRPr="00E12FF6" w:rsidRDefault="00E12FF6" w:rsidP="00E12FF6">
      <w:pPr>
        <w:pStyle w:val="a3"/>
        <w:ind w:firstLine="709"/>
        <w:jc w:val="both"/>
        <w:rPr>
          <w:rFonts w:ascii="Times New Roman" w:hAnsi="Times New Roman" w:cs="Times New Roman"/>
          <w:sz w:val="24"/>
          <w:szCs w:val="24"/>
          <w:lang w:val="kk-KZ" w:eastAsia="zh-CN"/>
        </w:rPr>
      </w:pPr>
    </w:p>
    <w:p w:rsidR="00E12FF6" w:rsidRPr="00E12FF6" w:rsidRDefault="00E12FF6" w:rsidP="00E12FF6">
      <w:pPr>
        <w:pStyle w:val="a3"/>
        <w:ind w:firstLine="709"/>
        <w:jc w:val="both"/>
        <w:rPr>
          <w:rFonts w:ascii="Times New Roman" w:hAnsi="Times New Roman" w:cs="Times New Roman"/>
          <w:sz w:val="24"/>
          <w:szCs w:val="24"/>
          <w:lang w:val="kk-KZ" w:eastAsia="zh-CN"/>
        </w:rPr>
      </w:pPr>
    </w:p>
    <w:p w:rsidR="00E12FF6" w:rsidRPr="00E12FF6" w:rsidRDefault="00E12FF6" w:rsidP="00E12FF6">
      <w:pPr>
        <w:pStyle w:val="a3"/>
        <w:ind w:firstLine="709"/>
        <w:jc w:val="center"/>
        <w:rPr>
          <w:rFonts w:ascii="Times New Roman" w:hAnsi="Times New Roman" w:cs="Times New Roman"/>
          <w:sz w:val="24"/>
          <w:szCs w:val="24"/>
          <w:lang w:val="kk-KZ" w:eastAsia="zh-CN"/>
        </w:rPr>
      </w:pPr>
      <w:r w:rsidRPr="00E12FF6">
        <w:rPr>
          <w:rFonts w:ascii="Times New Roman" w:hAnsi="Times New Roman" w:cs="Times New Roman"/>
          <w:b/>
          <w:sz w:val="24"/>
          <w:szCs w:val="24"/>
          <w:lang w:val="kk-KZ" w:eastAsia="zh-CN"/>
        </w:rPr>
        <w:t>Сурет 1</w:t>
      </w:r>
      <w:r w:rsidRPr="00E12FF6">
        <w:rPr>
          <w:rFonts w:ascii="Times New Roman" w:hAnsi="Times New Roman" w:cs="Times New Roman"/>
          <w:sz w:val="24"/>
          <w:szCs w:val="24"/>
          <w:lang w:val="kk-KZ" w:eastAsia="zh-CN"/>
        </w:rPr>
        <w:t xml:space="preserve"> - </w:t>
      </w:r>
      <w:r w:rsidRPr="00E12FF6">
        <w:rPr>
          <w:rFonts w:ascii="Times New Roman" w:hAnsi="Times New Roman" w:cs="Times New Roman"/>
          <w:sz w:val="24"/>
          <w:szCs w:val="24"/>
          <w:lang w:val="kk-KZ"/>
        </w:rPr>
        <w:t>Ғылымға бөлінетін қаржының орташа мөлшері</w:t>
      </w:r>
    </w:p>
    <w:p w:rsidR="00E12FF6" w:rsidRPr="00E12FF6" w:rsidRDefault="00E12FF6" w:rsidP="00E12FF6">
      <w:pPr>
        <w:pStyle w:val="a3"/>
        <w:ind w:firstLine="709"/>
        <w:jc w:val="center"/>
        <w:rPr>
          <w:rFonts w:ascii="Times New Roman" w:hAnsi="Times New Roman" w:cs="Times New Roman"/>
          <w:sz w:val="24"/>
          <w:szCs w:val="24"/>
          <w:lang w:val="kk-KZ" w:eastAsia="zh-CN"/>
        </w:rPr>
      </w:pPr>
      <w:r w:rsidRPr="00E12FF6">
        <w:rPr>
          <w:rFonts w:ascii="Times New Roman" w:hAnsi="Times New Roman" w:cs="Times New Roman"/>
          <w:sz w:val="24"/>
          <w:szCs w:val="24"/>
          <w:lang w:val="kk-KZ" w:eastAsia="zh-CN"/>
        </w:rPr>
        <w:t>Ескерту – [3] дерек көзі негізінде автормен құрастырылған</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Қазақстанда ғылымға бөлінетін қаржының мөлшері ішкі жалпы өнімнің 0,2%-ын  құрайды. Бұл басқа елдермен салыстырғанда өте төмен көрсеткіш болып табылады.</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 xml:space="preserve">Қазіргі кезеңде осы бағытта мемлекет тарапынан бірқатар іс-шаралар жасалуда, Ұлттық экономика министрлігі, «Атамекен» кәсіпкерлердің ұлттық палатасы және «Қазагро» холдингі арасында «біртерезе» қағидаты бойынша АӨК субьектлерін мемлекеттік қолдаудың барлық шараларын біріктіретін біріңғай цифрлық платформа құру </w:t>
      </w:r>
      <w:r w:rsidRPr="00E12FF6">
        <w:rPr>
          <w:rFonts w:ascii="Times New Roman" w:hAnsi="Times New Roman" w:cs="Times New Roman"/>
          <w:sz w:val="24"/>
          <w:szCs w:val="24"/>
          <w:lang w:val="kk-KZ"/>
        </w:rPr>
        <w:lastRenderedPageBreak/>
        <w:t>туралы келісімшартқа қол қойылды. Осыған орай, ауыл шаруашылығын қарқынды дамыту қажет, әсіресе, өнімнің сапасы мен экологиялық тазалығын сақтай отырып жүргізілу керек. Әлемге танылған «Қазақстанда жасалған» табиғи азық-түлік брендін қалыптастырып, ілгерілетуге мүмкіндік береді. Бұдан бөлек Жолдауда жерді барынша тиімді игеретіндерді ынталандырып, ал керісінше дұрыс пайдалана алмайтындарға шара қолдану керек. Осындай оң шешімдер ауыл шаруашылығының дамуына жол ашады.</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Қорытындылай келе, агроөнеркәсіп кешешін дамыту көзі</w:t>
      </w:r>
      <w:r w:rsidRPr="00E12FF6">
        <w:rPr>
          <w:rFonts w:ascii="Times New Roman" w:hAnsi="Times New Roman" w:cs="Times New Roman"/>
          <w:b/>
          <w:sz w:val="24"/>
          <w:szCs w:val="24"/>
          <w:lang w:val="kk-KZ"/>
        </w:rPr>
        <w:t xml:space="preserve"> -</w:t>
      </w:r>
      <w:r w:rsidRPr="00E12FF6">
        <w:rPr>
          <w:rFonts w:ascii="Times New Roman" w:hAnsi="Times New Roman" w:cs="Times New Roman"/>
          <w:sz w:val="24"/>
          <w:szCs w:val="24"/>
          <w:lang w:val="kk-KZ"/>
        </w:rPr>
        <w:t xml:space="preserve"> ол білімді арттыру мен кадрлар даярлаудың тиімді жүйесін құру арқылы өндіріске ғылым мен техниканың соңғы жетістіктерін дер кезінде енгізе білу және агротехнологияларды трансферттеу жұмыстарымен айналысу.      </w:t>
      </w:r>
    </w:p>
    <w:p w:rsidR="00E12FF6" w:rsidRPr="00E12FF6" w:rsidRDefault="00E12FF6" w:rsidP="00E12FF6">
      <w:pPr>
        <w:pStyle w:val="a3"/>
        <w:ind w:firstLine="709"/>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Елімізде жалпы ауыл шаруашылығы өнімдерінің жалпы шығарылымы-   4 097 455,3млн, тг  құраған болатын. Ақылды технологияларды қолдану арқылы аз уақыттың ішінде агроөнеркәсіп кешеніндегі еңбек өнімділігін және өңделген ауыл шаруашылығы өнімінің экспортын кем дегенде 2,5 есеге арттыруға болады. Елімізде ғылыми зерттеулерді қаржыландыру көлемі 66млрд.тг құрады,оның 6,9 млрд.тг  ауыл шаруашылығының ғылымына 0,01% -ы бөлінген болатын. Ауыл шаруашылығы саласының бәсекеге қабілетті болуы тағы да сол заманауи технологияны игеруімізге байланысты болып тұр. Сондықтан, аграрлық ғылымды дамытуға көп көңіл бөліп, ауыл шаруашылығы ғылымына қаржыландыру көлемін арттыру қажет. Ауыл шаруашылығына салынған инвестиция көлемін арттырып, шетелдік тәжірибені көптеп тарту қажет. Отандық АӨК-де жаңа технологияны, инновацияны жетілдіру, дамыту және оны дұрыс пайдалану нәтижесінде ертеңгі күні мол табысқа әкеледі. Демек, АӨК –нің даму болашағы жаңа технология, яғни инновациялық бағыт болып қала беретіндігі даусыз.</w:t>
      </w:r>
    </w:p>
    <w:p w:rsidR="00E12FF6" w:rsidRPr="00E12FF6" w:rsidRDefault="00E12FF6" w:rsidP="00E12FF6">
      <w:pPr>
        <w:spacing w:after="0" w:line="240" w:lineRule="auto"/>
        <w:jc w:val="both"/>
        <w:rPr>
          <w:rFonts w:ascii="Times New Roman" w:hAnsi="Times New Roman" w:cs="Times New Roman"/>
          <w:iCs/>
          <w:sz w:val="24"/>
          <w:szCs w:val="24"/>
          <w:lang w:val="kk-KZ"/>
        </w:rPr>
      </w:pPr>
    </w:p>
    <w:p w:rsidR="00E12FF6" w:rsidRPr="00E12FF6" w:rsidRDefault="00E12FF6" w:rsidP="00E12FF6">
      <w:pPr>
        <w:pStyle w:val="a6"/>
        <w:tabs>
          <w:tab w:val="left" w:pos="851"/>
        </w:tabs>
        <w:spacing w:after="0" w:line="240" w:lineRule="auto"/>
        <w:ind w:left="0" w:firstLine="567"/>
        <w:jc w:val="both"/>
        <w:rPr>
          <w:rFonts w:ascii="Times New Roman" w:hAnsi="Times New Roman" w:cs="Times New Roman"/>
          <w:b/>
          <w:sz w:val="24"/>
          <w:szCs w:val="24"/>
          <w:lang w:val="kk-KZ"/>
        </w:rPr>
      </w:pPr>
      <w:r w:rsidRPr="00E12FF6">
        <w:rPr>
          <w:rFonts w:ascii="Times New Roman" w:hAnsi="Times New Roman" w:cs="Times New Roman"/>
          <w:b/>
          <w:sz w:val="24"/>
          <w:szCs w:val="24"/>
          <w:lang w:val="kk-KZ"/>
        </w:rPr>
        <w:t>Пайдаланылған әдебиеттер тізімі:</w:t>
      </w:r>
    </w:p>
    <w:p w:rsidR="00E12FF6" w:rsidRPr="00E12FF6" w:rsidRDefault="00E12FF6" w:rsidP="00E12FF6">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kk-KZ"/>
        </w:rPr>
      </w:pPr>
      <w:r w:rsidRPr="00E12FF6">
        <w:rPr>
          <w:rFonts w:ascii="Times New Roman" w:hAnsi="Times New Roman" w:cs="Times New Roman"/>
          <w:bCs/>
          <w:sz w:val="24"/>
          <w:szCs w:val="24"/>
          <w:lang w:val="kk-KZ"/>
        </w:rPr>
        <w:t>Қазақстан Республикасының Президенті – Елбасы Н.Ә. Назарбаевтың «Қазақстан-2050» Стратегиясы қалыптасқан мемлекеттің жаңа саяси бағыты» атты Қазақстан халқына Жолдауы,14 желтоқсан 2012.</w:t>
      </w:r>
      <w:r w:rsidRPr="00E12FF6">
        <w:rPr>
          <w:rFonts w:ascii="Times New Roman" w:hAnsi="Times New Roman" w:cs="Times New Roman"/>
          <w:sz w:val="24"/>
          <w:szCs w:val="24"/>
          <w:lang w:val="kk-KZ"/>
        </w:rPr>
        <w:t xml:space="preserve"> </w:t>
      </w:r>
      <w:r w:rsidRPr="00E12FF6">
        <w:rPr>
          <w:rFonts w:ascii="Times New Roman" w:hAnsi="Times New Roman" w:cs="Times New Roman"/>
          <w:bCs/>
          <w:sz w:val="24"/>
          <w:szCs w:val="24"/>
          <w:lang w:val="kk-KZ"/>
        </w:rPr>
        <w:t>Интернет ресурсы:https://strategy2050.kz/</w:t>
      </w:r>
    </w:p>
    <w:p w:rsidR="00E12FF6" w:rsidRPr="00E12FF6" w:rsidRDefault="00E12FF6" w:rsidP="00E12FF6">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kk-KZ"/>
        </w:rPr>
      </w:pPr>
      <w:r w:rsidRPr="00E12FF6">
        <w:rPr>
          <w:rFonts w:ascii="Times New Roman" w:hAnsi="Times New Roman" w:cs="Times New Roman"/>
          <w:bCs/>
          <w:sz w:val="24"/>
          <w:szCs w:val="24"/>
          <w:lang w:val="kk-KZ"/>
        </w:rPr>
        <w:t>«Төртінші өнеркәсіптік революция жағдайындағы дамудың жаңа мүмкіндіктері» Қазақстан Республикасының Президенті Н. Назарбаевтың Қазақстан халқына Жолдауы,Астана,10 қаңтар 2018. Интернет ресурсы:https://akorda.kz/</w:t>
      </w:r>
    </w:p>
    <w:p w:rsidR="00E12FF6" w:rsidRPr="00E12FF6" w:rsidRDefault="00E12FF6" w:rsidP="00E12FF6">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kk-KZ"/>
        </w:rPr>
      </w:pPr>
      <w:r w:rsidRPr="00E12FF6">
        <w:rPr>
          <w:rFonts w:ascii="Times New Roman" w:hAnsi="Times New Roman" w:cs="Times New Roman"/>
          <w:sz w:val="24"/>
          <w:szCs w:val="24"/>
          <w:lang w:val="kk-KZ"/>
        </w:rPr>
        <w:t xml:space="preserve">Қазақстан Республикасының Премьер-Министрі Ресми сайты.Интернет ресурсы: </w:t>
      </w:r>
      <w:hyperlink r:id="rId7" w:history="1">
        <w:r w:rsidRPr="00E12FF6">
          <w:rPr>
            <w:rStyle w:val="a5"/>
            <w:rFonts w:ascii="Times New Roman" w:hAnsi="Times New Roman" w:cs="Times New Roman"/>
            <w:sz w:val="24"/>
            <w:szCs w:val="24"/>
            <w:lang w:val="kk-KZ"/>
          </w:rPr>
          <w:t>http://www.primeminister.kz/</w:t>
        </w:r>
      </w:hyperlink>
      <w:r w:rsidRPr="00E12FF6">
        <w:rPr>
          <w:rFonts w:ascii="Times New Roman" w:hAnsi="Times New Roman" w:cs="Times New Roman"/>
          <w:sz w:val="24"/>
          <w:szCs w:val="24"/>
          <w:lang w:val="kk-KZ"/>
        </w:rPr>
        <w:t>.</w:t>
      </w:r>
    </w:p>
    <w:p w:rsidR="00E12FF6" w:rsidRPr="00E12FF6" w:rsidRDefault="00E12FF6" w:rsidP="00E12FF6">
      <w:pPr>
        <w:pStyle w:val="a6"/>
        <w:numPr>
          <w:ilvl w:val="0"/>
          <w:numId w:val="1"/>
        </w:numPr>
        <w:tabs>
          <w:tab w:val="left" w:pos="851"/>
        </w:tabs>
        <w:spacing w:after="0" w:line="240" w:lineRule="auto"/>
        <w:ind w:left="0" w:firstLine="567"/>
        <w:jc w:val="both"/>
        <w:rPr>
          <w:rFonts w:ascii="Times New Roman" w:hAnsi="Times New Roman" w:cs="Times New Roman"/>
          <w:sz w:val="24"/>
          <w:szCs w:val="24"/>
          <w:lang w:val="kk-KZ"/>
        </w:rPr>
      </w:pPr>
      <w:r w:rsidRPr="00E12FF6">
        <w:rPr>
          <w:rFonts w:ascii="Times New Roman" w:hAnsi="Times New Roman" w:cs="Times New Roman"/>
          <w:sz w:val="24"/>
          <w:szCs w:val="24"/>
          <w:lang w:val="en-US"/>
        </w:rPr>
        <w:t>Egemen.kz.</w:t>
      </w:r>
    </w:p>
    <w:p w:rsidR="00FF4078" w:rsidRDefault="00FF4078"/>
    <w:sectPr w:rsidR="00FF4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C69CC"/>
    <w:multiLevelType w:val="hybridMultilevel"/>
    <w:tmpl w:val="EE549D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2D"/>
    <w:rsid w:val="004254B0"/>
    <w:rsid w:val="00E12FF6"/>
    <w:rsid w:val="00E43A2D"/>
    <w:rsid w:val="00FF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2FF6"/>
    <w:pPr>
      <w:spacing w:after="0" w:line="240" w:lineRule="auto"/>
    </w:pPr>
  </w:style>
  <w:style w:type="character" w:styleId="a5">
    <w:name w:val="Hyperlink"/>
    <w:basedOn w:val="a0"/>
    <w:uiPriority w:val="99"/>
    <w:unhideWhenUsed/>
    <w:rsid w:val="00E12FF6"/>
    <w:rPr>
      <w:color w:val="0000FF"/>
      <w:u w:val="single"/>
    </w:rPr>
  </w:style>
  <w:style w:type="paragraph" w:styleId="a6">
    <w:name w:val="List Paragraph"/>
    <w:aliases w:val="Heading1,Colorful List - Accent 11,маркированный,Bullet List,FooterText,numbered,List Paragraph,Абзац списка4,Абзац списка41,без абзаца"/>
    <w:basedOn w:val="a"/>
    <w:link w:val="a7"/>
    <w:uiPriority w:val="34"/>
    <w:qFormat/>
    <w:rsid w:val="00E12FF6"/>
    <w:pPr>
      <w:spacing w:after="160" w:line="259" w:lineRule="auto"/>
      <w:ind w:left="720"/>
      <w:contextualSpacing/>
    </w:pPr>
  </w:style>
  <w:style w:type="character" w:customStyle="1" w:styleId="a7">
    <w:name w:val="Абзац списка Знак"/>
    <w:aliases w:val="Heading1 Знак,Colorful List - Accent 11 Знак,маркированный Знак,Bullet List Знак,FooterText Знак,numbered Знак,List Paragraph Знак,Абзац списка4 Знак,Абзац списка41 Знак,без абзаца Знак"/>
    <w:link w:val="a6"/>
    <w:uiPriority w:val="34"/>
    <w:locked/>
    <w:rsid w:val="00E12FF6"/>
  </w:style>
  <w:style w:type="character" w:customStyle="1" w:styleId="a4">
    <w:name w:val="Без интервала Знак"/>
    <w:link w:val="a3"/>
    <w:uiPriority w:val="1"/>
    <w:locked/>
    <w:rsid w:val="00E12FF6"/>
  </w:style>
  <w:style w:type="paragraph" w:styleId="a8">
    <w:name w:val="Balloon Text"/>
    <w:basedOn w:val="a"/>
    <w:link w:val="a9"/>
    <w:uiPriority w:val="99"/>
    <w:semiHidden/>
    <w:unhideWhenUsed/>
    <w:rsid w:val="00E12F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2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2FF6"/>
    <w:pPr>
      <w:spacing w:after="0" w:line="240" w:lineRule="auto"/>
    </w:pPr>
  </w:style>
  <w:style w:type="character" w:styleId="a5">
    <w:name w:val="Hyperlink"/>
    <w:basedOn w:val="a0"/>
    <w:uiPriority w:val="99"/>
    <w:unhideWhenUsed/>
    <w:rsid w:val="00E12FF6"/>
    <w:rPr>
      <w:color w:val="0000FF"/>
      <w:u w:val="single"/>
    </w:rPr>
  </w:style>
  <w:style w:type="paragraph" w:styleId="a6">
    <w:name w:val="List Paragraph"/>
    <w:aliases w:val="Heading1,Colorful List - Accent 11,маркированный,Bullet List,FooterText,numbered,List Paragraph,Абзац списка4,Абзац списка41,без абзаца"/>
    <w:basedOn w:val="a"/>
    <w:link w:val="a7"/>
    <w:uiPriority w:val="34"/>
    <w:qFormat/>
    <w:rsid w:val="00E12FF6"/>
    <w:pPr>
      <w:spacing w:after="160" w:line="259" w:lineRule="auto"/>
      <w:ind w:left="720"/>
      <w:contextualSpacing/>
    </w:pPr>
  </w:style>
  <w:style w:type="character" w:customStyle="1" w:styleId="a7">
    <w:name w:val="Абзац списка Знак"/>
    <w:aliases w:val="Heading1 Знак,Colorful List - Accent 11 Знак,маркированный Знак,Bullet List Знак,FooterText Знак,numbered Знак,List Paragraph Знак,Абзац списка4 Знак,Абзац списка41 Знак,без абзаца Знак"/>
    <w:link w:val="a6"/>
    <w:uiPriority w:val="34"/>
    <w:locked/>
    <w:rsid w:val="00E12FF6"/>
  </w:style>
  <w:style w:type="character" w:customStyle="1" w:styleId="a4">
    <w:name w:val="Без интервала Знак"/>
    <w:link w:val="a3"/>
    <w:uiPriority w:val="1"/>
    <w:locked/>
    <w:rsid w:val="00E12FF6"/>
  </w:style>
  <w:style w:type="paragraph" w:styleId="a8">
    <w:name w:val="Balloon Text"/>
    <w:basedOn w:val="a"/>
    <w:link w:val="a9"/>
    <w:uiPriority w:val="99"/>
    <w:semiHidden/>
    <w:unhideWhenUsed/>
    <w:rsid w:val="00E12F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2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imeminister.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Ғылымға бөлінген қаражат</c:v>
                </c:pt>
              </c:strCache>
            </c:strRef>
          </c:tx>
          <c:dLbls>
            <c:dLbl>
              <c:idx val="0"/>
              <c:layout>
                <c:manualLayout>
                  <c:x val="0.16611022348919224"/>
                  <c:y val="0.28335582850429702"/>
                </c:manualLayout>
              </c:layout>
              <c:tx>
                <c:rich>
                  <a:bodyPr wrap="square" lIns="38100" tIns="19050" rIns="38100" bIns="19050" anchor="ctr">
                    <a:spAutoFit/>
                  </a:bodyPr>
                  <a:lstStyle/>
                  <a:p>
                    <a:pPr>
                      <a:defRPr/>
                    </a:pPr>
                    <a:r>
                      <a:rPr lang="ru-RU">
                        <a:latin typeface="Times New Roman" pitchFamily="18" charset="0"/>
                        <a:cs typeface="Times New Roman" pitchFamily="18" charset="0"/>
                      </a:rPr>
                      <a:t>Оң Корея</a:t>
                    </a:r>
                    <a:r>
                      <a:rPr lang="ru-RU" baseline="0">
                        <a:latin typeface="Times New Roman" pitchFamily="18" charset="0"/>
                        <a:cs typeface="Times New Roman" pitchFamily="18" charset="0"/>
                      </a:rPr>
                      <a:t> </a:t>
                    </a:r>
                    <a:r>
                      <a:rPr lang="ru-RU">
                        <a:latin typeface="Times New Roman" pitchFamily="18" charset="0"/>
                        <a:cs typeface="Times New Roman" pitchFamily="18" charset="0"/>
                      </a:rPr>
                      <a:t>4,3%</a:t>
                    </a:r>
                    <a:endParaRPr lang="ru-RU"/>
                  </a:p>
                </c:rich>
              </c:tx>
              <c:spPr>
                <a:noFill/>
                <a:ln w="24854">
                  <a:noFill/>
                </a:ln>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0.10075780900034283"/>
                  <c:y val="-5.4869517008329441E-2"/>
                </c:manualLayout>
              </c:layout>
              <c:tx>
                <c:rich>
                  <a:bodyPr wrap="square" lIns="38100" tIns="19050" rIns="38100" bIns="19050" anchor="ctr">
                    <a:spAutoFit/>
                  </a:bodyPr>
                  <a:lstStyle/>
                  <a:p>
                    <a:pPr>
                      <a:defRPr/>
                    </a:pPr>
                    <a:r>
                      <a:rPr lang="ru-RU">
                        <a:latin typeface="Times New Roman" pitchFamily="18" charset="0"/>
                        <a:cs typeface="Times New Roman" pitchFamily="18" charset="0"/>
                      </a:rPr>
                      <a:t>Израиль</a:t>
                    </a:r>
                    <a:r>
                      <a:rPr lang="ru-RU" baseline="0">
                        <a:latin typeface="Times New Roman" pitchFamily="18" charset="0"/>
                        <a:cs typeface="Times New Roman" pitchFamily="18" charset="0"/>
                      </a:rPr>
                      <a:t> </a:t>
                    </a:r>
                    <a:r>
                      <a:rPr lang="ru-RU">
                        <a:latin typeface="Times New Roman" pitchFamily="18" charset="0"/>
                        <a:cs typeface="Times New Roman" pitchFamily="18" charset="0"/>
                      </a:rPr>
                      <a:t>4,1%</a:t>
                    </a:r>
                    <a:endParaRPr lang="ru-RU"/>
                  </a:p>
                </c:rich>
              </c:tx>
              <c:spPr>
                <a:noFill/>
                <a:ln w="24854">
                  <a:noFill/>
                </a:ln>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5.9997524378157405E-2"/>
                  <c:y val="0.27464541230513279"/>
                </c:manualLayout>
              </c:layout>
              <c:tx>
                <c:rich>
                  <a:bodyPr wrap="square" lIns="38100" tIns="19050" rIns="38100" bIns="19050" anchor="ctr">
                    <a:spAutoFit/>
                  </a:bodyPr>
                  <a:lstStyle/>
                  <a:p>
                    <a:pPr>
                      <a:defRPr/>
                    </a:pPr>
                    <a:r>
                      <a:rPr lang="ru-RU">
                        <a:latin typeface="Times New Roman" pitchFamily="18" charset="0"/>
                        <a:cs typeface="Times New Roman" pitchFamily="18" charset="0"/>
                      </a:rPr>
                      <a:t>Швеция 3,6%</a:t>
                    </a:r>
                    <a:endParaRPr lang="ru-RU"/>
                  </a:p>
                </c:rich>
              </c:tx>
              <c:spPr>
                <a:noFill/>
                <a:ln w="24854">
                  <a:noFill/>
                </a:ln>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0.14680323180139265"/>
                  <c:y val="0.3553104003590446"/>
                </c:manualLayout>
              </c:layout>
              <c:tx>
                <c:rich>
                  <a:bodyPr wrap="square" lIns="38100" tIns="19050" rIns="38100" bIns="19050" anchor="ctr">
                    <a:spAutoFit/>
                  </a:bodyPr>
                  <a:lstStyle/>
                  <a:p>
                    <a:pPr>
                      <a:defRPr/>
                    </a:pPr>
                    <a:r>
                      <a:rPr lang="ru-RU">
                        <a:latin typeface="Times New Roman" pitchFamily="18" charset="0"/>
                        <a:cs typeface="Times New Roman" pitchFamily="18" charset="0"/>
                      </a:rPr>
                      <a:t>Ресей; 1,2%</a:t>
                    </a:r>
                    <a:endParaRPr lang="ru-RU"/>
                  </a:p>
                </c:rich>
              </c:tx>
              <c:spPr>
                <a:noFill/>
                <a:ln w="24854">
                  <a:noFill/>
                </a:ln>
              </c:spPr>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0.11448550374759404"/>
                  <c:y val="0"/>
                </c:manualLayout>
              </c:layout>
              <c:tx>
                <c:rich>
                  <a:bodyPr wrap="square" lIns="38100" tIns="19050" rIns="38100" bIns="19050" anchor="ctr">
                    <a:spAutoFit/>
                  </a:bodyPr>
                  <a:lstStyle/>
                  <a:p>
                    <a:pPr>
                      <a:defRPr/>
                    </a:pPr>
                    <a:r>
                      <a:rPr lang="ru-RU">
                        <a:latin typeface="Times New Roman" pitchFamily="18" charset="0"/>
                        <a:cs typeface="Times New Roman" pitchFamily="18" charset="0"/>
                      </a:rPr>
                      <a:t>Украина</a:t>
                    </a:r>
                    <a:r>
                      <a:rPr lang="ru-RU" baseline="0">
                        <a:latin typeface="Times New Roman" pitchFamily="18" charset="0"/>
                        <a:cs typeface="Times New Roman" pitchFamily="18" charset="0"/>
                      </a:rPr>
                      <a:t> </a:t>
                    </a:r>
                    <a:r>
                      <a:rPr lang="ru-RU">
                        <a:latin typeface="Times New Roman" pitchFamily="18" charset="0"/>
                        <a:cs typeface="Times New Roman" pitchFamily="18" charset="0"/>
                      </a:rPr>
                      <a:t>0,7%</a:t>
                    </a:r>
                    <a:endParaRPr lang="ru-RU"/>
                  </a:p>
                </c:rich>
              </c:tx>
              <c:spPr>
                <a:noFill/>
                <a:ln w="24854">
                  <a:noFill/>
                </a:ln>
              </c:spPr>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0.235564852001552"/>
                  <c:y val="0"/>
                </c:manualLayout>
              </c:layout>
              <c:tx>
                <c:rich>
                  <a:bodyPr wrap="square" lIns="38100" tIns="19050" rIns="38100" bIns="19050" anchor="ctr">
                    <a:spAutoFit/>
                  </a:bodyPr>
                  <a:lstStyle/>
                  <a:p>
                    <a:pPr>
                      <a:defRPr/>
                    </a:pPr>
                    <a:r>
                      <a:rPr lang="ru-RU" b="0">
                        <a:latin typeface="Times New Roman" pitchFamily="18" charset="0"/>
                        <a:cs typeface="Times New Roman" pitchFamily="18" charset="0"/>
                      </a:rPr>
                      <a:t>Қазақстан     0,2%</a:t>
                    </a:r>
                    <a:endParaRPr lang="ru-RU" b="0"/>
                  </a:p>
                </c:rich>
              </c:tx>
              <c:spPr>
                <a:noFill/>
                <a:ln w="24854">
                  <a:noFill/>
                </a:ln>
              </c:spPr>
              <c:dLblPos val="bestFit"/>
              <c:showLegendKey val="0"/>
              <c:showVal val="0"/>
              <c:showCatName val="0"/>
              <c:showSerName val="0"/>
              <c:showPercent val="0"/>
              <c:showBubbleSize val="0"/>
              <c:extLst>
                <c:ext xmlns:c15="http://schemas.microsoft.com/office/drawing/2012/chart" uri="{CE6537A1-D6FC-4f65-9D91-7224C49458BB}"/>
              </c:extLst>
            </c:dLbl>
            <c:spPr>
              <a:noFill/>
              <a:ln w="24854">
                <a:noFill/>
              </a:ln>
            </c:spPr>
            <c:showLegendKey val="0"/>
            <c:showVal val="1"/>
            <c:showCatName val="1"/>
            <c:showSerName val="0"/>
            <c:showPercent val="0"/>
            <c:showBubbleSize val="0"/>
            <c:showLeaderLines val="1"/>
            <c:extLst>
              <c:ext xmlns:c15="http://schemas.microsoft.com/office/drawing/2012/chart" uri="{CE6537A1-D6FC-4f65-9D91-7224C49458BB}"/>
            </c:extLst>
          </c:dLbls>
          <c:cat>
            <c:strRef>
              <c:f>Лист1!$A$2:$A$7</c:f>
              <c:strCache>
                <c:ptCount val="6"/>
                <c:pt idx="0">
                  <c:v>Оң Корея</c:v>
                </c:pt>
                <c:pt idx="1">
                  <c:v>Израиль</c:v>
                </c:pt>
                <c:pt idx="2">
                  <c:v>Швеция</c:v>
                </c:pt>
                <c:pt idx="3">
                  <c:v>Ресей</c:v>
                </c:pt>
                <c:pt idx="4">
                  <c:v>Украина</c:v>
                </c:pt>
                <c:pt idx="5">
                  <c:v>Қазақстан</c:v>
                </c:pt>
              </c:strCache>
            </c:strRef>
          </c:cat>
          <c:val>
            <c:numRef>
              <c:f>Лист1!$B$2:$B$7</c:f>
              <c:numCache>
                <c:formatCode>0.00%</c:formatCode>
                <c:ptCount val="6"/>
                <c:pt idx="0">
                  <c:v>4.3000000000000003E-2</c:v>
                </c:pt>
                <c:pt idx="1">
                  <c:v>4.1000000000000002E-2</c:v>
                </c:pt>
                <c:pt idx="2">
                  <c:v>3.6000000000000046E-2</c:v>
                </c:pt>
                <c:pt idx="3">
                  <c:v>1.2000000000000009E-2</c:v>
                </c:pt>
                <c:pt idx="4">
                  <c:v>7.0000000000000114E-3</c:v>
                </c:pt>
                <c:pt idx="5">
                  <c:v>2.0000000000000044E-3</c:v>
                </c:pt>
              </c:numCache>
            </c:numRef>
          </c:val>
        </c:ser>
        <c:dLbls>
          <c:showLegendKey val="0"/>
          <c:showVal val="0"/>
          <c:showCatName val="0"/>
          <c:showSerName val="0"/>
          <c:showPercent val="0"/>
          <c:showBubbleSize val="0"/>
          <c:showLeaderLines val="1"/>
        </c:dLbls>
        <c:firstSliceAng val="0"/>
      </c:pieChart>
      <c:spPr>
        <a:noFill/>
        <a:ln w="25321">
          <a:noFill/>
        </a:ln>
      </c:spPr>
    </c:plotArea>
    <c:plotVisOnly val="1"/>
    <c:dispBlanksAs val="zero"/>
    <c:showDLblsOverMax val="0"/>
  </c:chart>
  <c:spPr>
    <a:ln>
      <a:solidFill>
        <a:sysClr val="windowText" lastClr="000000"/>
      </a:solidFill>
    </a:ln>
  </c:spPr>
  <c:txPr>
    <a:bodyPr/>
    <a:lstStyle/>
    <a:p>
      <a:pPr>
        <a:defRPr sz="1196">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2020-04-19T09:38:00Z</dcterms:created>
  <dcterms:modified xsi:type="dcterms:W3CDTF">2020-04-19T09:57:00Z</dcterms:modified>
</cp:coreProperties>
</file>