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СИЛЛАБУС</w:t>
      </w:r>
    </w:p>
    <w:p w:rsidR="00FB3A79" w:rsidRPr="008275CA" w:rsidRDefault="00EA3A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2021-2022 </w:t>
      </w:r>
      <w:r w:rsidR="002A2FC8"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 оқу жылының көктемгі семестрі</w:t>
      </w:r>
    </w:p>
    <w:p w:rsidR="00FB3A79" w:rsidRDefault="002A2F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«5В021016 – Шетел филологиясы»</w:t>
      </w:r>
      <w:r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білім беру бағдарламасы </w:t>
      </w:r>
    </w:p>
    <w:p w:rsidR="00EA3A98" w:rsidRPr="008275CA" w:rsidRDefault="00EA3A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5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B3A79" w:rsidRPr="008275CA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FB3A79" w:rsidRPr="008275CA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SPIYa3302</w:t>
            </w:r>
          </w:p>
          <w:p w:rsidR="00307C0F" w:rsidRPr="00307C0F" w:rsidRDefault="0030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SPIYa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4207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Арнайы кәсіби шетел тілі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</w:tr>
      <w:tr w:rsidR="00FB3A79" w:rsidRPr="008275CA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Курс туралы академиялық ақпарат</w:t>
            </w:r>
          </w:p>
        </w:tc>
      </w:tr>
      <w:tr w:rsidR="00FB3A79" w:rsidRPr="008275C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Қорытынды бақылау түрі</w:t>
            </w:r>
          </w:p>
        </w:tc>
      </w:tr>
      <w:tr w:rsidR="00FB3A79" w:rsidRPr="008275C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Онлайн/аралас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Бейіндеуші/Базалық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Типтік тапсырмалар, жағдаяттық тапсырмалар, ойындар, топтық жұмыс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Жазбаша- дәстүрлі </w:t>
            </w:r>
          </w:p>
        </w:tc>
      </w:tr>
      <w:tr w:rsidR="00FB3A79" w:rsidRPr="008275CA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E249F9" w:rsidRDefault="00E2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Алиханкызы Гулия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>
        <w:trPr>
          <w:trHeight w:val="39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E2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6" w:history="1">
              <w:r w:rsidRPr="00283B28">
                <w:rPr>
                  <w:rStyle w:val="ab"/>
                  <w:rFonts w:asciiTheme="majorHAnsi" w:hAnsiTheme="majorHAnsi" w:cstheme="majorHAnsi"/>
                  <w:sz w:val="20"/>
                  <w:szCs w:val="20"/>
                  <w:lang w:val="en-US"/>
                </w:rPr>
                <w:t>guliaalihankyzy</w:t>
              </w:r>
              <w:r w:rsidRPr="00283B28">
                <w:rPr>
                  <w:rStyle w:val="ab"/>
                  <w:rFonts w:asciiTheme="majorHAnsi" w:hAnsiTheme="majorHAnsi" w:cstheme="majorHAnsi"/>
                  <w:sz w:val="20"/>
                  <w:szCs w:val="20"/>
                </w:rPr>
                <w:t>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E249F9" w:rsidRDefault="00E2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870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78773735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:rsidR="00FB3A79" w:rsidRPr="008275CA" w:rsidRDefault="00FB3A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6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FB3A79" w:rsidRPr="008275CA">
        <w:trPr>
          <w:trHeight w:val="112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FB3A79" w:rsidRPr="008275CA" w:rsidRDefault="00FB3A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843"/>
        <w:gridCol w:w="6825"/>
      </w:tblGrid>
      <w:tr w:rsidR="00FB3A79" w:rsidRPr="008275CA" w:rsidTr="004507BD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Пәннің мақсаты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ОН қол жеткізу индикаторлары (ЖИ) 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(әрбір ОН-ге кемінде 2 индикатор)</w:t>
            </w:r>
          </w:p>
        </w:tc>
      </w:tr>
      <w:tr w:rsidR="00FB3A79" w:rsidRPr="008275CA" w:rsidTr="004507BD">
        <w:trPr>
          <w:trHeight w:val="1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 xml:space="preserve">Студенттерде тілдің коммуникативтік дағдылары мен тілді игеру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қабілеттерін қалыптастыру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 xml:space="preserve"> ОН 1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 xml:space="preserve"> Оқитын шет тілінің заңдылықтары негізінде тілдің  фонетикалық, грамматикалық, лексикалық құрылымдарын түсіну. 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1.1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1.2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шет тілін тыңдай отырып, қабылдау;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1.3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тілдегі түрлі мәтін түрлерін мазмұндау.</w:t>
            </w:r>
          </w:p>
        </w:tc>
      </w:tr>
      <w:tr w:rsidR="00FB3A79" w:rsidRPr="008275CA" w:rsidTr="004507BD"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2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Оқитын шет тілінің заңдылықтарын сақтай отырып, ақпаратты түсіндіру.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2.1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2.2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Құбылысты, жағдайды шет тілінде сипаттау;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2.3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Электронды сөздіктерді қолдана отырып, сөздер мен сөйлемдерді аудару.</w:t>
            </w:r>
          </w:p>
        </w:tc>
      </w:tr>
      <w:tr w:rsidR="00FB3A79" w:rsidRPr="008275CA" w:rsidTr="004507BD">
        <w:trPr>
          <w:trHeight w:val="257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ОН 3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 xml:space="preserve"> Оқитын шет тілінің ауызша және жазбаша қарым-қатынасы негізінде игерген білімдерін нақты жағдаятта қолдану.</w:t>
            </w:r>
          </w:p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3.1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Өз ойын шет тілінде ауызша және жазбаша дұрыс және дәлелді түрде тұжырымдау;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3.2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3.3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FB3A79" w:rsidRPr="008275CA" w:rsidTr="004507BD"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ОН 4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 xml:space="preserve"> Оқитын шет тіліндегі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ғылыми және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анықтамалық әдебиетті пайдалана отырып, 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өз түсінігін қалыптастыру.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ЖИ 4.1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Оқыған материалды талдау;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4.2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Материалдарды жинау және саралау;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4.3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Мәтіннің грамматикалық құрылысын талдау.</w:t>
            </w:r>
          </w:p>
        </w:tc>
      </w:tr>
      <w:tr w:rsidR="00FB3A79" w:rsidRPr="008275CA" w:rsidTr="004507BD"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 xml:space="preserve">ОН 5 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Оқитын шет тіліндегі ақпараттар негізінде,  оқу зерттеу жобаларын ұйымдастыру.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5.1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 шет тілінде белгілі бір тақырыпта пікірталас жүргізу, көпшілікке сөйлеу, дәлелдеу.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 5.2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Оқитын шет тілінде топтық талқылау: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5.3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Оқитын  шет тілінде белгілі бір тақырыпта эссе жазу;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5.3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FB3A79" w:rsidRPr="008275CA" w:rsidTr="004507BD">
        <w:trPr>
          <w:trHeight w:val="288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Пререквизиттер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7920A2" w:rsidP="0079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Базалық шет тілі (</w:t>
            </w:r>
            <w:r w:rsidRPr="007920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SPIYa3302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7920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SPIYa 4207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A2FC8"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FB3A79" w:rsidRPr="008275CA" w:rsidTr="004507BD">
        <w:trPr>
          <w:trHeight w:val="288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Постреквизиттер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06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Арнайы кәсіби шетел тілі</w:t>
            </w:r>
          </w:p>
        </w:tc>
      </w:tr>
      <w:tr w:rsidR="00FB3A79" w:rsidRPr="008275CA" w:rsidTr="004507BD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Әдебиет және ресурстар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Негізгі: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新使用汉语课本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-3</w:t>
            </w: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。北京语言大学出版社。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2014</w:t>
            </w: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年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新使用汉语课本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-4</w:t>
            </w: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。北京语言大学出版社。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2014</w:t>
            </w: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年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В.Ф.Щичко. Практическая грамматика современного китайского языка. Восточная книга 2018-208 с.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С.В.Шарко. Практический курс грамматики китайского языка. Нобель Пресс, 2019-218 с.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常用汉语部首。华语教学出版社。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  <w:r w:rsidRPr="008275CA">
              <w:rPr>
                <w:rFonts w:asciiTheme="majorHAnsi" w:eastAsia="SimSun" w:hAnsiTheme="majorHAnsi" w:cstheme="majorHAnsi"/>
                <w:sz w:val="20"/>
                <w:szCs w:val="20"/>
              </w:rPr>
              <w:t>年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ind w:left="714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Т.Л.Г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урулева, К.Цюй. Практический курс речевого  общения на китайском языке.Учебник. Восточная книга 2018-448 с.</w:t>
            </w:r>
          </w:p>
          <w:p w:rsidR="00FB3A79" w:rsidRPr="008275CA" w:rsidRDefault="002A2FC8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С.Ли. Курс китайского языка “BOYAChinese”. Базовый уровень. Каро, 2018-336с</w:t>
            </w:r>
          </w:p>
          <w:p w:rsidR="00FB3A79" w:rsidRPr="008275CA" w:rsidRDefault="002A2FC8">
            <w:pPr>
              <w:keepNext/>
              <w:tabs>
                <w:tab w:val="center" w:pos="9639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Қосымша:</w:t>
            </w:r>
          </w:p>
          <w:p w:rsidR="00FB3A79" w:rsidRPr="008275CA" w:rsidRDefault="002A2FC8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М.Г.Фролова, М.В. Румянцева. Пособие по переводу на закрепление и повторение грамматики. Восточная книга (Восток- Запад, Муравей) 2018-128с.</w:t>
            </w:r>
          </w:p>
          <w:p w:rsidR="00FB3A79" w:rsidRPr="008275CA" w:rsidRDefault="002A2FC8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</w:t>
            </w: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, Муравей) 2018-160 с.</w:t>
            </w:r>
          </w:p>
          <w:p w:rsidR="00FB3A79" w:rsidRPr="008275CA" w:rsidRDefault="002A2FC8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FB3A79" w:rsidRPr="008275CA" w:rsidRDefault="002A2F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practical Chinese grammar for foreigners. Sinolingua, Beijing. 2015</w:t>
            </w:r>
          </w:p>
          <w:p w:rsidR="00FB3A79" w:rsidRPr="008275CA" w:rsidRDefault="002A2FC8">
            <w:pPr>
              <w:ind w:left="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Интернет-ресурстар:</w:t>
            </w:r>
          </w:p>
          <w:p w:rsidR="00FB3A79" w:rsidRPr="008275CA" w:rsidRDefault="002A2FC8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7">
              <w:r w:rsidRPr="008275CA">
                <w:rPr>
                  <w:rFonts w:asciiTheme="majorHAnsi" w:hAnsiTheme="majorHAnsi" w:cstheme="majorHAnsi"/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FB3A79" w:rsidRPr="008275CA" w:rsidRDefault="002A2FC8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8">
              <w:r w:rsidRPr="008275CA">
                <w:rPr>
                  <w:rFonts w:asciiTheme="majorHAnsi" w:hAnsiTheme="majorHAnsi" w:cstheme="majorHAnsi"/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FB3A79" w:rsidRPr="008275CA" w:rsidRDefault="002A2FC8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9">
              <w:r w:rsidRPr="008275CA">
                <w:rPr>
                  <w:rFonts w:asciiTheme="majorHAnsi" w:hAnsiTheme="majorHAnsi" w:cstheme="majorHAnsi"/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FB3A79" w:rsidRPr="008275CA" w:rsidRDefault="002A2F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10">
              <w:r w:rsidRPr="008275CA">
                <w:rPr>
                  <w:rFonts w:asciiTheme="majorHAnsi" w:hAnsiTheme="majorHAnsi" w:cstheme="majorHAnsi"/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</w:tbl>
    <w:p w:rsidR="00FB3A79" w:rsidRPr="008275CA" w:rsidRDefault="00FB3A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FF6600"/>
          <w:sz w:val="20"/>
          <w:szCs w:val="20"/>
        </w:rPr>
      </w:pPr>
    </w:p>
    <w:tbl>
      <w:tblPr>
        <w:tblStyle w:val="a8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1"/>
        <w:gridCol w:w="7938"/>
      </w:tblGrid>
      <w:tr w:rsidR="00FB3A79" w:rsidRPr="008275CA" w:rsidTr="004507BD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Академиялық тәртіп ережелері: 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Онлайн сабақтарға қатысу міндетті, кешігуге жол берілмейді. Оқытушыға алдын – ала ескертпей сабаққа қатыспағаны және кешіккені үшін 0 балл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қойылады.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Тапсырмаларды (СӨЖ, аралық бақылау, бақылау жұмысы т.б.), жобарлар мен емтиханды белгіленген уақытта орындау және өткізу міндетті.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Белгіленген уақытта өткізбеген жағдайда баллдан шегеріледі. Әрбір тапсырманың дедлайны оқу курсының мазмұнын жүзег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е асыру күнтізбесінде (кестесінде) көрсетілген.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Академиялық құндылықтар: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B3A79" w:rsidRPr="008275CA" w:rsidRDefault="002A2FC8" w:rsidP="009B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 Мүмкіндігі шектеулі студенттер</w:t>
            </w:r>
            <w:r w:rsidR="009B6D8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9B6D8A" w:rsidRPr="009B6D8A">
                <w:rPr>
                  <w:rStyle w:val="ab"/>
                  <w:rFonts w:asciiTheme="majorHAnsi" w:hAnsiTheme="majorHAnsi" w:cstheme="majorHAnsi"/>
                  <w:sz w:val="20"/>
                  <w:szCs w:val="20"/>
                </w:rPr>
                <w:t>guliaalihankyzy</w:t>
              </w:r>
              <w:r w:rsidR="009B6D8A" w:rsidRPr="00283B28">
                <w:rPr>
                  <w:rStyle w:val="ab"/>
                  <w:rFonts w:asciiTheme="majorHAnsi" w:hAnsiTheme="majorHAnsi" w:cstheme="majorHAnsi"/>
                  <w:sz w:val="20"/>
                  <w:szCs w:val="20"/>
                </w:rPr>
                <w:t>@gmail.com</w:t>
              </w:r>
            </w:hyperlink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е-мекенжайы бойынша консультациялық көмек ала алады. </w:t>
            </w:r>
          </w:p>
        </w:tc>
      </w:tr>
      <w:tr w:rsidR="00FB3A79" w:rsidRPr="008275CA" w:rsidTr="004507BD">
        <w:trPr>
          <w:trHeight w:val="5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Критериалды бағалау: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Жиынтық бағалау: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FB3A79" w:rsidRPr="008275CA" w:rsidRDefault="00FB3A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lastRenderedPageBreak/>
        <w:t>ОҚУ КУРСЫНЫҢ МАЗМҰНЫН ЖҮЗЕГЕ АСЫРУ КҮНТІЗБЕСІ (кестесі)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Қысқартулар: Д - дәріс, ПС- практикалық сабақ, СӨЖ-  студенттің өзіндік жұмысы, СОӨЖ- студенттің оқытушымен өзіндік жұмысы, АБ - аралық бақылау, БЖ- бақылау жұмысы, ТТ - типтік тапсырмалар, ЖТ-  жеке </w:t>
      </w:r>
      <w:r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тапсырмалар </w:t>
      </w:r>
    </w:p>
    <w:p w:rsidR="00AD264C" w:rsidRPr="008275CA" w:rsidRDefault="00AD26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:rsidR="00AD264C" w:rsidRPr="008275CA" w:rsidRDefault="00AD26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9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B3A79" w:rsidRPr="008275C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FB3A79" w:rsidRPr="008275CA" w:rsidRDefault="00FB3A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a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134"/>
        <w:gridCol w:w="1485"/>
      </w:tblGrid>
      <w:tr w:rsidR="00FB3A79" w:rsidRPr="008275CA" w:rsidTr="002A4DFF">
        <w:trPr>
          <w:jc w:val="center"/>
        </w:trPr>
        <w:tc>
          <w:tcPr>
            <w:tcW w:w="9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E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中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国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和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哈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萨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克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斯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坦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的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地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理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位</w:t>
            </w:r>
            <w:r w:rsidR="00F77100"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 w:rsidTr="002A4DFF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97" w:rsidRPr="008275CA" w:rsidRDefault="00F6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第三十六课。北京热起来了了。生词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FF" w:rsidRDefault="002A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 w:rsid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 тапсыру бойынша ДЕДЛАЙН</w:t>
            </w:r>
          </w:p>
        </w:tc>
      </w:tr>
      <w:tr w:rsidR="00FB3A79" w:rsidRPr="008275CA" w:rsidTr="002A4DFF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FF" w:rsidRDefault="002A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ПС2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课文。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语法：下、了、动。练习与运用。阅读和复述。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2 тапсыру бойынша ДЕДЛАЙН</w:t>
            </w:r>
          </w:p>
        </w:tc>
      </w:tr>
      <w:tr w:rsidR="00FB3A79" w:rsidRPr="008275CA" w:rsidTr="002A4DFF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ПС 3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第三十七课的生词。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课文：谁来埋单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ТТ 3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  <w:highlight w:val="white"/>
              </w:rPr>
              <w:t>СОӨЖ 1. СӨЖ 1  орындау бойынша к</w:t>
            </w: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СӨЖ 1.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哈萨克族的风俗习惯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ЖТ 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вебинар/ Универде тапсырма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Сенбі 23.00 ТТ 3, ЖТ 1 тапсыру бойынша ДЕДЛАЙН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A79" w:rsidRPr="008275CA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Модуль II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猜测、模糊表达、解释</w:t>
            </w:r>
          </w:p>
        </w:tc>
      </w:tr>
      <w:tr w:rsidR="00FB3A79" w:rsidRPr="008275CA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A79" w:rsidRPr="008275CA" w:rsidTr="002A4DFF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4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第三十七课。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注释。练习与运用。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语法：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。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下去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的引申用法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疑问代词表示任指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用介词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比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表示比较。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．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越。。。越。。。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3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4, тапсыру бойынша ДЕДЛАЙН</w:t>
            </w:r>
          </w:p>
        </w:tc>
      </w:tr>
      <w:tr w:rsidR="00FB3A79" w:rsidRPr="008275CA" w:rsidTr="002A4DFF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5 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第三十八课。生词。课文：你叫，他叫我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太太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3.1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БЖ1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5, ЖТ 2 тапсыру бойынша ДЕДЛАЙН</w:t>
            </w:r>
          </w:p>
        </w:tc>
      </w:tr>
      <w:tr w:rsidR="00FB3A79" w:rsidRPr="008275C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           Модуль IIІ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保护环境</w:t>
            </w:r>
          </w:p>
        </w:tc>
      </w:tr>
      <w:tr w:rsidR="00FB3A79" w:rsidRPr="008275CA" w:rsidTr="002A4DFF">
        <w:trPr>
          <w:trHeight w:val="6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6 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第三十八课。注释。练习与运用。语法：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几种补语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疑问代词活用。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副词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再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和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又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07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31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6 тапсыру бойынша ДЕДЛАЙН</w:t>
            </w:r>
          </w:p>
        </w:tc>
      </w:tr>
      <w:tr w:rsidR="00FB3A79" w:rsidRPr="008275CA" w:rsidTr="002A4DFF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7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第三十九课。生词。课文：别总说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亲爱的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，好不好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D6" w:rsidRDefault="002A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40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7 тапсыру бойынша ДЕДЛАЙН</w:t>
            </w:r>
          </w:p>
        </w:tc>
      </w:tr>
      <w:tr w:rsidR="00FB3A79" w:rsidRPr="008275CA" w:rsidTr="002A4DFF">
        <w:trPr>
          <w:trHeight w:val="9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8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注释。练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习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与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运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用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：表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示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必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须。夸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奖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与回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答。抱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怨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与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解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释。语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法：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总是、终于、究竟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ТТ 8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5" w:rsidRDefault="003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17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  <w:highlight w:val="white"/>
              </w:rPr>
              <w:t>СОӨЖ 2 СӨЖ 2 орындау бойынша к</w:t>
            </w: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СӨЖ 2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中国的婚姻习俗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5.1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ЖТ 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5" w:rsidRDefault="003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17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8, ЖТ 3 тапсыру бойынша ДЕДЛАЙН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Модуль IV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中国传说</w:t>
            </w:r>
          </w:p>
        </w:tc>
      </w:tr>
      <w:tr w:rsidR="00FB3A79" w:rsidRPr="008275CA" w:rsidTr="002A4DFF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ПС 9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第四十课。生词。课文：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半边天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和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“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全职太太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5" w:rsidRDefault="003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17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Zoom да вебинар, синхронды/ Универде тапсырма,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асинхронды</w:t>
            </w:r>
          </w:p>
        </w:tc>
      </w:tr>
      <w:tr w:rsidR="00FB3A79" w:rsidRPr="008275CA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9 тапсыру бойынша ДЕДЛАЙН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10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练习与运用：补充索命。表示强调。采访。演讲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语法：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几乎，为了，在。。。方面，在。。。中</w:t>
            </w:r>
          </w:p>
          <w:p w:rsidR="00FB3A79" w:rsidRPr="008275CA" w:rsidRDefault="002A2F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两次否定</w:t>
            </w:r>
          </w:p>
          <w:p w:rsidR="00FB3A79" w:rsidRPr="008275CA" w:rsidRDefault="002A2F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要是。。。就。。。</w:t>
            </w:r>
          </w:p>
          <w:p w:rsidR="00FB3A79" w:rsidRPr="008275CA" w:rsidRDefault="002A2F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只有。。。，才。。。</w:t>
            </w:r>
          </w:p>
          <w:p w:rsidR="00FB3A79" w:rsidRPr="008275CA" w:rsidRDefault="002A2F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独立语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2.1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5" w:rsidRDefault="003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17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БЖ2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75" w:rsidRDefault="003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717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10, ЖТ 4 тапсыру бойынша ДЕДЛАЙН</w:t>
            </w:r>
          </w:p>
        </w:tc>
      </w:tr>
      <w:tr w:rsidR="00FB3A79" w:rsidRPr="008275CA" w:rsidTr="002A4DFF">
        <w:trPr>
          <w:trHeight w:val="5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A79" w:rsidRPr="008275CA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FB3A79" w:rsidRPr="008275CA" w:rsidTr="002A4DFF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11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第四十一课。生词。课文：我想自己开个律师事所务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11" w:rsidRDefault="007A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10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11 тапсыру бойынша ДЕДЛАЙН</w:t>
            </w:r>
          </w:p>
        </w:tc>
      </w:tr>
      <w:tr w:rsidR="00FB3A79" w:rsidRPr="008275CA" w:rsidTr="002A4DFF">
        <w:trPr>
          <w:trHeight w:val="130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12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练习与运用：表示同意。补充说明。顿悟。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语法：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联动兼语句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即使。。。，也。。。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不管。。。，都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11" w:rsidRDefault="007A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10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45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12, ЖТ 5 тапсыру бойынша ДЕДЛАЙН</w:t>
            </w:r>
          </w:p>
        </w:tc>
      </w:tr>
      <w:tr w:rsidR="00FB3A79" w:rsidRPr="008275CA">
        <w:trPr>
          <w:trHeight w:val="2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Модуль VI 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谈天气</w:t>
            </w:r>
          </w:p>
        </w:tc>
      </w:tr>
      <w:tr w:rsidR="00FB3A79" w:rsidRPr="008275CA" w:rsidTr="002A4DFF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ПС13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第四十二课。生词。课文：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洋姑爷在农村过春节。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11" w:rsidRDefault="007A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10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13тапсыру бойынша ДЕДЛАЙН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14 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练习与运用：春节祝愿。反诘。不在乎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3.1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11" w:rsidRDefault="007A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10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вебинар/ Универде тапсырма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  <w:highlight w:val="white"/>
              </w:rPr>
              <w:t>СОӨЖ 3. СӨЖ 3 орындау бойынша к</w:t>
            </w: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11" w:rsidRDefault="007A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10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СӨЖ 3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我对金钱的看法。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4.1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вебинар</w:t>
            </w:r>
          </w:p>
        </w:tc>
      </w:tr>
      <w:tr w:rsidR="00FB3A79" w:rsidRPr="008275CA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14 тапсыру бойынша ДЕДЛАЙН</w:t>
            </w:r>
          </w:p>
        </w:tc>
      </w:tr>
      <w:tr w:rsidR="00FB3A79" w:rsidRPr="008275CA" w:rsidTr="002A4DFF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ПС 15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语法：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反问句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不但不</w:t>
            </w: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没，反而。。。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3. </w:t>
            </w:r>
            <w:r w:rsidRPr="008275CA">
              <w:rPr>
                <w:rFonts w:asciiTheme="majorHAnsi" w:eastAsia="SimSun" w:hAnsiTheme="majorHAnsi" w:cstheme="majorHAnsi"/>
                <w:color w:val="000000"/>
                <w:sz w:val="20"/>
                <w:szCs w:val="20"/>
              </w:rPr>
              <w:t>不是。。。，就是。。。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ЖИ 4.2</w:t>
            </w:r>
          </w:p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ТТ 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FC" w:rsidRDefault="002A1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12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вебинар/ Универде тапсырма</w:t>
            </w:r>
          </w:p>
        </w:tc>
      </w:tr>
      <w:tr w:rsidR="00FB3A79" w:rsidRPr="008275CA" w:rsidTr="002A4DFF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БЖ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FC" w:rsidRDefault="002A1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12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Zoom да вебинар, синхронды/ Универде тапсырма, асинхронды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  <w:highlight w:val="white"/>
              </w:rPr>
              <w:t>СОӨЖ 4 Қорытынды бақылау бойынша к</w:t>
            </w:r>
            <w:r w:rsidRPr="008275CA">
              <w:rPr>
                <w:rFonts w:asciiTheme="majorHAnsi" w:hAnsiTheme="majorHAnsi" w:cstheme="majorHAnsi"/>
                <w:color w:val="201F1E"/>
                <w:sz w:val="20"/>
                <w:szCs w:val="20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2FC" w:rsidRDefault="002A1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A12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Офлайин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Zoom  вебинар </w:t>
            </w:r>
          </w:p>
        </w:tc>
      </w:tr>
      <w:tr w:rsidR="00FB3A79" w:rsidRPr="008275C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Сенбі 23.00 ТТ 15, ЖТ 6 тапсыру бойынша ДЕДЛАЙН</w:t>
            </w:r>
          </w:p>
        </w:tc>
      </w:tr>
      <w:tr w:rsidR="00FB3A79" w:rsidRPr="008275CA" w:rsidTr="002A4DF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2A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275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9" w:rsidRPr="008275CA" w:rsidRDefault="00FB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:rsidR="00FB3A79" w:rsidRPr="008275CA" w:rsidRDefault="00FB3A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Ескертулер: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- Д және ПС өткізу түрі: MS Team/ZOOM-да вебинар (10-15 минутқа бейнематериалдардың презентациясы, со</w:t>
      </w:r>
      <w:r w:rsidRPr="008275CA">
        <w:rPr>
          <w:rFonts w:asciiTheme="majorHAnsi" w:hAnsiTheme="majorHAnsi" w:cstheme="majorHAnsi"/>
          <w:color w:val="000000"/>
          <w:sz w:val="20"/>
          <w:szCs w:val="20"/>
        </w:rPr>
        <w:t>дан кейін оны талқылау/пікірталас түрінде бекіту/есептерді шешу/...)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- Курстың барлық материал</w:t>
      </w:r>
      <w:r w:rsidRPr="008275CA">
        <w:rPr>
          <w:rFonts w:asciiTheme="majorHAnsi" w:hAnsiTheme="majorHAnsi" w:cstheme="majorHAnsi"/>
          <w:color w:val="000000"/>
          <w:sz w:val="20"/>
          <w:szCs w:val="20"/>
        </w:rPr>
        <w:t>дарын (Д, ӨТС, ТТ, ЖТ және т.б.) сілтемеден қараңыз (Әдебиет және ресурстар, 6-тармақты қараңыз).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- Әр дедлайннан кейін келесі аптаның тапсырмалары ашылады.</w:t>
      </w:r>
    </w:p>
    <w:p w:rsidR="00FB3A79" w:rsidRPr="008275CA" w:rsidRDefault="002A2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275CA">
        <w:rPr>
          <w:rFonts w:asciiTheme="majorHAnsi" w:hAnsiTheme="majorHAnsi" w:cstheme="majorHAnsi"/>
          <w:color w:val="000000"/>
          <w:sz w:val="20"/>
          <w:szCs w:val="20"/>
        </w:rPr>
        <w:t>- БЖ-ға арналған тапсырмаларды оқытушы вебинардың басында береді.</w:t>
      </w:r>
    </w:p>
    <w:p w:rsidR="00FB3A79" w:rsidRPr="008275CA" w:rsidRDefault="00FB3A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FB3A79" w:rsidRPr="008275CA" w:rsidRDefault="002A2FC8">
      <w:pPr>
        <w:rPr>
          <w:rFonts w:asciiTheme="majorHAnsi" w:hAnsiTheme="majorHAnsi" w:cstheme="majorHAnsi"/>
          <w:sz w:val="20"/>
          <w:szCs w:val="20"/>
        </w:rPr>
      </w:pPr>
      <w:r w:rsidRPr="008275CA">
        <w:rPr>
          <w:rFonts w:asciiTheme="majorHAnsi" w:hAnsiTheme="majorHAnsi" w:cstheme="majorHAnsi"/>
          <w:sz w:val="20"/>
          <w:szCs w:val="20"/>
        </w:rPr>
        <w:t>Факультет деканы   ___________________________ Ы.М. Палтөре</w:t>
      </w:r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p w:rsidR="00FB3A79" w:rsidRPr="008275CA" w:rsidRDefault="002A2FC8">
      <w:pPr>
        <w:rPr>
          <w:rFonts w:asciiTheme="majorHAnsi" w:hAnsiTheme="majorHAnsi" w:cstheme="majorHAnsi"/>
          <w:sz w:val="20"/>
          <w:szCs w:val="20"/>
        </w:rPr>
      </w:pPr>
      <w:r w:rsidRPr="008275CA">
        <w:rPr>
          <w:rFonts w:asciiTheme="majorHAnsi" w:hAnsiTheme="majorHAnsi" w:cstheme="majorHAnsi"/>
          <w:sz w:val="20"/>
          <w:szCs w:val="20"/>
        </w:rPr>
        <w:t>Факультеттің әдістемелік</w:t>
      </w:r>
    </w:p>
    <w:p w:rsidR="00FB3A79" w:rsidRPr="008275CA" w:rsidRDefault="002A2FC8">
      <w:pPr>
        <w:rPr>
          <w:rFonts w:asciiTheme="majorHAnsi" w:hAnsiTheme="majorHAnsi" w:cstheme="majorHAnsi"/>
          <w:sz w:val="20"/>
          <w:szCs w:val="20"/>
        </w:rPr>
      </w:pPr>
      <w:r w:rsidRPr="008275CA">
        <w:rPr>
          <w:rFonts w:asciiTheme="majorHAnsi" w:hAnsiTheme="majorHAnsi" w:cstheme="majorHAnsi"/>
          <w:sz w:val="20"/>
          <w:szCs w:val="20"/>
        </w:rPr>
        <w:t xml:space="preserve">кеңес төрайымы  ____________________________ А. </w:t>
      </w:r>
      <w:r w:rsidR="00B123AF">
        <w:rPr>
          <w:rFonts w:asciiTheme="majorHAnsi" w:hAnsiTheme="majorHAnsi" w:cstheme="majorHAnsi"/>
          <w:sz w:val="20"/>
          <w:szCs w:val="20"/>
        </w:rPr>
        <w:t>Ж. Боранбаева</w:t>
      </w:r>
      <w:r w:rsidRPr="008275C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p w:rsidR="00FB3A79" w:rsidRPr="008275CA" w:rsidRDefault="002A2FC8">
      <w:pPr>
        <w:rPr>
          <w:rFonts w:asciiTheme="majorHAnsi" w:hAnsiTheme="majorHAnsi" w:cstheme="majorHAnsi"/>
          <w:sz w:val="20"/>
          <w:szCs w:val="20"/>
        </w:rPr>
      </w:pPr>
      <w:r w:rsidRPr="008275CA">
        <w:rPr>
          <w:rFonts w:asciiTheme="majorHAnsi" w:hAnsiTheme="majorHAnsi" w:cstheme="majorHAnsi"/>
          <w:sz w:val="20"/>
          <w:szCs w:val="20"/>
        </w:rPr>
        <w:t xml:space="preserve">Кафедра меңгерушісі ________________________ </w:t>
      </w:r>
      <w:r>
        <w:rPr>
          <w:rFonts w:asciiTheme="majorHAnsi" w:hAnsiTheme="majorHAnsi" w:cstheme="majorHAnsi"/>
          <w:sz w:val="20"/>
          <w:szCs w:val="20"/>
        </w:rPr>
        <w:t xml:space="preserve"> Е. А. Керімбаев</w:t>
      </w:r>
      <w:r w:rsidRPr="008275C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p w:rsidR="00FB3A79" w:rsidRPr="008275CA" w:rsidRDefault="002A2FC8">
      <w:pPr>
        <w:rPr>
          <w:rFonts w:asciiTheme="majorHAnsi" w:hAnsiTheme="majorHAnsi" w:cstheme="majorHAnsi"/>
          <w:sz w:val="20"/>
          <w:szCs w:val="20"/>
        </w:rPr>
      </w:pPr>
      <w:r w:rsidRPr="008275CA">
        <w:rPr>
          <w:rFonts w:asciiTheme="majorHAnsi" w:hAnsiTheme="majorHAnsi" w:cstheme="majorHAnsi"/>
          <w:sz w:val="20"/>
          <w:szCs w:val="20"/>
        </w:rPr>
        <w:t>Дәріскер __________________</w:t>
      </w:r>
      <w:r>
        <w:rPr>
          <w:rFonts w:asciiTheme="majorHAnsi" w:hAnsiTheme="majorHAnsi" w:cstheme="majorHAnsi"/>
          <w:sz w:val="20"/>
          <w:szCs w:val="20"/>
        </w:rPr>
        <w:t>_________________  Г. Алиханкызы</w:t>
      </w:r>
      <w:bookmarkStart w:id="1" w:name="_GoBack"/>
      <w:bookmarkEnd w:id="1"/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p w:rsidR="00FB3A79" w:rsidRPr="008275CA" w:rsidRDefault="00FB3A79">
      <w:pPr>
        <w:rPr>
          <w:rFonts w:asciiTheme="majorHAnsi" w:hAnsiTheme="majorHAnsi" w:cstheme="majorHAnsi"/>
          <w:sz w:val="20"/>
          <w:szCs w:val="20"/>
        </w:rPr>
      </w:pPr>
    </w:p>
    <w:sectPr w:rsidR="00FB3A79" w:rsidRPr="008275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92F36"/>
    <w:multiLevelType w:val="multilevel"/>
    <w:tmpl w:val="C5E692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A6F5D"/>
    <w:multiLevelType w:val="multilevel"/>
    <w:tmpl w:val="2972756A"/>
    <w:lvl w:ilvl="0">
      <w:start w:val="1"/>
      <w:numFmt w:val="decimal"/>
      <w:lvlText w:val="%1．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02C42"/>
    <w:multiLevelType w:val="multilevel"/>
    <w:tmpl w:val="35488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65129"/>
    <w:multiLevelType w:val="multilevel"/>
    <w:tmpl w:val="ADFAF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3A79"/>
    <w:rsid w:val="000042D1"/>
    <w:rsid w:val="00060B22"/>
    <w:rsid w:val="000D6635"/>
    <w:rsid w:val="00117075"/>
    <w:rsid w:val="00183F36"/>
    <w:rsid w:val="001B28D3"/>
    <w:rsid w:val="002A07D6"/>
    <w:rsid w:val="002A12FC"/>
    <w:rsid w:val="002A2FC8"/>
    <w:rsid w:val="002A4DFF"/>
    <w:rsid w:val="00307C0F"/>
    <w:rsid w:val="00371775"/>
    <w:rsid w:val="004507BD"/>
    <w:rsid w:val="004717BB"/>
    <w:rsid w:val="005C20F1"/>
    <w:rsid w:val="00743A26"/>
    <w:rsid w:val="007920A2"/>
    <w:rsid w:val="007A1011"/>
    <w:rsid w:val="008275CA"/>
    <w:rsid w:val="008A0E89"/>
    <w:rsid w:val="009B6D8A"/>
    <w:rsid w:val="009C7A0D"/>
    <w:rsid w:val="00AD264C"/>
    <w:rsid w:val="00B06868"/>
    <w:rsid w:val="00B123AF"/>
    <w:rsid w:val="00C868E8"/>
    <w:rsid w:val="00E249F9"/>
    <w:rsid w:val="00EA3A98"/>
    <w:rsid w:val="00F602E9"/>
    <w:rsid w:val="00F65397"/>
    <w:rsid w:val="00F77100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kk-K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E24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kk-K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E24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iaalihankyzy@gmail.com" TargetMode="External"/><Relationship Id="rId11" Type="http://schemas.openxmlformats.org/officeDocument/2006/relationships/hyperlink" Target="mailto:guliaalihankyz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2021-09-27T19:21:00Z</dcterms:created>
  <dcterms:modified xsi:type="dcterms:W3CDTF">2021-09-27T20:06:00Z</dcterms:modified>
</cp:coreProperties>
</file>