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700" w:rsidRDefault="009B0700" w:rsidP="009B0700">
      <w:pPr>
        <w:ind w:hanging="567"/>
        <w:jc w:val="center"/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294860" cy="9116705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60503-WA0003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5292" cy="911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396" w:rsidRPr="00716B4A" w:rsidRDefault="00946396" w:rsidP="00946396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lastRenderedPageBreak/>
        <w:t>Seasonal home range characteristics of</w:t>
      </w:r>
      <w:r w:rsidRPr="00716B4A">
        <w:rPr>
          <w:b/>
          <w:sz w:val="32"/>
          <w:szCs w:val="32"/>
          <w:lang w:val="en-US"/>
        </w:rPr>
        <w:t xml:space="preserve"> </w:t>
      </w:r>
      <w:r w:rsidRPr="00716B4A">
        <w:rPr>
          <w:b/>
          <w:i/>
          <w:sz w:val="32"/>
          <w:szCs w:val="32"/>
          <w:lang w:val="en-US"/>
        </w:rPr>
        <w:t>Saiga tatarica</w:t>
      </w:r>
      <w:r>
        <w:rPr>
          <w:b/>
          <w:i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>in Kazakhstan with estimates of livestock/saiga overlap areas</w:t>
      </w:r>
    </w:p>
    <w:p w:rsidR="00946396" w:rsidRDefault="00C944F3" w:rsidP="00C944F3">
      <w:pPr>
        <w:spacing w:after="0" w:line="240" w:lineRule="auto"/>
        <w:ind w:firstLine="708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Nurkuisa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="00946396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Rametov </w:t>
      </w:r>
      <w:r w:rsidR="00946396" w:rsidRPr="00190503">
        <w:rPr>
          <w:rFonts w:ascii="Arial" w:hAnsi="Arial" w:cs="Arial"/>
          <w:color w:val="222222"/>
          <w:sz w:val="28"/>
          <w:szCs w:val="28"/>
          <w:shd w:val="clear" w:color="auto" w:fill="FFFFFF"/>
          <w:vertAlign w:val="superscript"/>
          <w:lang w:val="en-US"/>
        </w:rPr>
        <w:t>1</w:t>
      </w:r>
      <w:r w:rsidR="00946396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Mukhit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46396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Orynbayev</w:t>
      </w:r>
      <w:proofErr w:type="spellEnd"/>
      <w:r w:rsidR="00946396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="00946396" w:rsidRPr="00190503">
        <w:rPr>
          <w:rFonts w:ascii="Arial" w:hAnsi="Arial" w:cs="Arial"/>
          <w:color w:val="222222"/>
          <w:sz w:val="28"/>
          <w:szCs w:val="28"/>
          <w:shd w:val="clear" w:color="auto" w:fill="FFFFFF"/>
          <w:vertAlign w:val="superscript"/>
          <w:lang w:val="en-US"/>
        </w:rPr>
        <w:t>1</w:t>
      </w:r>
      <w:r w:rsidR="00946396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Murat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bek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D952A7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Kudaibergenov</w:t>
      </w:r>
      <w:proofErr w:type="spellEnd"/>
      <w:r w:rsidR="00D952A7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="00D952A7" w:rsidRPr="00D952A7">
        <w:rPr>
          <w:rFonts w:ascii="Arial" w:hAnsi="Arial" w:cs="Arial"/>
          <w:color w:val="222222"/>
          <w:sz w:val="28"/>
          <w:szCs w:val="28"/>
          <w:shd w:val="clear" w:color="auto" w:fill="FFFFFF"/>
          <w:vertAlign w:val="superscript"/>
          <w:lang w:val="en-US"/>
        </w:rPr>
        <w:t>2</w:t>
      </w:r>
      <w:r w:rsidR="00D952A7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, Jason</w:t>
      </w:r>
      <w:r w:rsidR="00946396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Blackburn</w:t>
      </w:r>
      <w:r w:rsidR="00D952A7">
        <w:rPr>
          <w:rFonts w:ascii="Arial" w:hAnsi="Arial" w:cs="Arial"/>
          <w:color w:val="222222"/>
          <w:sz w:val="28"/>
          <w:szCs w:val="28"/>
          <w:shd w:val="clear" w:color="auto" w:fill="FFFFFF"/>
          <w:vertAlign w:val="superscript"/>
          <w:lang w:val="en-US"/>
        </w:rPr>
        <w:t>3</w:t>
      </w:r>
      <w:proofErr w:type="gramStart"/>
      <w:r w:rsidR="00D952A7">
        <w:rPr>
          <w:rFonts w:ascii="Arial" w:hAnsi="Arial" w:cs="Arial"/>
          <w:color w:val="222222"/>
          <w:sz w:val="28"/>
          <w:szCs w:val="28"/>
          <w:shd w:val="clear" w:color="auto" w:fill="FFFFFF"/>
          <w:vertAlign w:val="superscript"/>
          <w:lang w:val="en-US"/>
        </w:rPr>
        <w:t>,4</w:t>
      </w:r>
      <w:proofErr w:type="gramEnd"/>
    </w:p>
    <w:p w:rsidR="00946396" w:rsidRDefault="00946396" w:rsidP="00946396">
      <w:pPr>
        <w:spacing w:after="0" w:line="240" w:lineRule="auto"/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</w:pPr>
      <w:bookmarkStart w:id="0" w:name="_GoBack"/>
      <w:bookmarkEnd w:id="0"/>
    </w:p>
    <w:p w:rsidR="00946396" w:rsidRDefault="00946396" w:rsidP="00946396">
      <w:pPr>
        <w:spacing w:after="0" w:line="240" w:lineRule="auto"/>
        <w:rPr>
          <w:rFonts w:ascii="Arial" w:hAnsi="Arial" w:cs="Arial"/>
          <w:i/>
          <w:color w:val="222222"/>
          <w:sz w:val="28"/>
          <w:szCs w:val="28"/>
          <w:shd w:val="clear" w:color="auto" w:fill="FFFFFF"/>
          <w:lang w:val="en-US"/>
        </w:rPr>
      </w:pPr>
      <w:r w:rsidRPr="00190503">
        <w:rPr>
          <w:rFonts w:ascii="Arial" w:hAnsi="Arial" w:cs="Arial"/>
          <w:color w:val="222222"/>
          <w:sz w:val="28"/>
          <w:szCs w:val="28"/>
          <w:shd w:val="clear" w:color="auto" w:fill="FFFFFF"/>
          <w:vertAlign w:val="superscript"/>
          <w:lang w:val="en-US"/>
        </w:rPr>
        <w:t>1</w:t>
      </w:r>
      <w:r w:rsidRPr="00B151D3">
        <w:rPr>
          <w:rFonts w:ascii="Arial" w:hAnsi="Arial" w:cs="Arial"/>
          <w:i/>
          <w:color w:val="222222"/>
          <w:sz w:val="28"/>
          <w:szCs w:val="28"/>
          <w:shd w:val="clear" w:color="auto" w:fill="FFFFFF"/>
          <w:lang w:val="en-US"/>
        </w:rPr>
        <w:t>Research Institute for Biological Safety Problems</w:t>
      </w:r>
      <w:r>
        <w:rPr>
          <w:rFonts w:ascii="Arial" w:hAnsi="Arial" w:cs="Arial"/>
          <w:i/>
          <w:color w:val="222222"/>
          <w:sz w:val="28"/>
          <w:szCs w:val="28"/>
          <w:shd w:val="clear" w:color="auto" w:fill="FFFFFF"/>
          <w:lang w:val="en-US"/>
        </w:rPr>
        <w:t>, Monitoring bacterial and viral infection laboratory</w:t>
      </w:r>
    </w:p>
    <w:p w:rsidR="00D952A7" w:rsidRPr="00B151D3" w:rsidRDefault="00D952A7" w:rsidP="00946396">
      <w:pPr>
        <w:spacing w:after="0" w:line="240" w:lineRule="auto"/>
        <w:rPr>
          <w:rFonts w:ascii="Arial" w:hAnsi="Arial" w:cs="Arial"/>
          <w:i/>
          <w:color w:val="222222"/>
          <w:sz w:val="28"/>
          <w:szCs w:val="28"/>
          <w:shd w:val="clear" w:color="auto" w:fill="FFFFFF"/>
          <w:lang w:val="en-US"/>
        </w:rPr>
      </w:pPr>
      <w:r w:rsidRPr="00D952A7">
        <w:rPr>
          <w:rFonts w:ascii="Arial" w:hAnsi="Arial" w:cs="Arial"/>
          <w:color w:val="222222"/>
          <w:sz w:val="28"/>
          <w:szCs w:val="28"/>
          <w:shd w:val="clear" w:color="auto" w:fill="FFFFFF"/>
          <w:vertAlign w:val="superscript"/>
          <w:lang w:val="en-US"/>
        </w:rPr>
        <w:t>2</w:t>
      </w:r>
      <w:r>
        <w:rPr>
          <w:rFonts w:ascii="Arial" w:hAnsi="Arial" w:cs="Arial"/>
          <w:i/>
          <w:color w:val="222222"/>
          <w:sz w:val="28"/>
          <w:szCs w:val="28"/>
          <w:shd w:val="clear" w:color="auto" w:fill="FFFFFF"/>
          <w:lang w:val="en-US"/>
        </w:rPr>
        <w:t>A</w:t>
      </w:r>
      <w:r w:rsidRPr="00D952A7">
        <w:rPr>
          <w:rFonts w:ascii="Arial" w:hAnsi="Arial" w:cs="Arial"/>
          <w:i/>
          <w:color w:val="222222"/>
          <w:sz w:val="28"/>
          <w:szCs w:val="28"/>
          <w:shd w:val="clear" w:color="auto" w:fill="FFFFFF"/>
          <w:lang w:val="en-US"/>
        </w:rPr>
        <w:t>l-Farabi Kazakh National University</w:t>
      </w:r>
    </w:p>
    <w:p w:rsidR="00946396" w:rsidRDefault="00D952A7" w:rsidP="00946396">
      <w:pPr>
        <w:spacing w:after="0" w:line="240" w:lineRule="auto"/>
        <w:rPr>
          <w:rFonts w:ascii="Arial" w:hAnsi="Arial" w:cs="Arial"/>
          <w:i/>
          <w:color w:val="222222"/>
          <w:sz w:val="28"/>
          <w:szCs w:val="28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  <w:vertAlign w:val="superscript"/>
          <w:lang w:val="en-US"/>
        </w:rPr>
        <w:t>3</w:t>
      </w:r>
      <w:r w:rsidR="00946396" w:rsidRPr="00B151D3">
        <w:rPr>
          <w:rFonts w:ascii="Arial" w:hAnsi="Arial" w:cs="Arial"/>
          <w:i/>
          <w:color w:val="222222"/>
          <w:sz w:val="28"/>
          <w:szCs w:val="28"/>
          <w:shd w:val="clear" w:color="auto" w:fill="FFFFFF"/>
          <w:lang w:val="en-US"/>
        </w:rPr>
        <w:t>University of Florida, Department of Geography &amp; Emerging Pathogens Institute</w:t>
      </w:r>
      <w:r w:rsidR="00946396">
        <w:rPr>
          <w:rFonts w:ascii="Arial" w:hAnsi="Arial" w:cs="Arial"/>
          <w:i/>
          <w:color w:val="222222"/>
          <w:sz w:val="28"/>
          <w:szCs w:val="28"/>
          <w:shd w:val="clear" w:color="auto" w:fill="FFFFFF"/>
          <w:lang w:val="en-US"/>
        </w:rPr>
        <w:t>, Spatial Epidemiology &amp; Ecology Research Laboratory</w:t>
      </w:r>
    </w:p>
    <w:p w:rsidR="00946396" w:rsidRPr="00B151D3" w:rsidRDefault="00D952A7" w:rsidP="00946396">
      <w:pPr>
        <w:spacing w:after="0" w:line="240" w:lineRule="auto"/>
        <w:rPr>
          <w:rFonts w:ascii="Arial" w:hAnsi="Arial" w:cs="Arial"/>
          <w:i/>
          <w:color w:val="222222"/>
          <w:sz w:val="28"/>
          <w:szCs w:val="28"/>
          <w:shd w:val="clear" w:color="auto" w:fill="FFFFFF"/>
          <w:lang w:val="en-US"/>
        </w:rPr>
      </w:pPr>
      <w:r>
        <w:rPr>
          <w:rFonts w:ascii="Arial" w:hAnsi="Arial" w:cs="Arial"/>
          <w:i/>
          <w:color w:val="222222"/>
          <w:sz w:val="28"/>
          <w:szCs w:val="28"/>
          <w:shd w:val="clear" w:color="auto" w:fill="FFFFFF"/>
          <w:vertAlign w:val="superscript"/>
          <w:lang w:val="en-US"/>
        </w:rPr>
        <w:t>4</w:t>
      </w:r>
      <w:r w:rsidR="00946396">
        <w:rPr>
          <w:rFonts w:ascii="Arial" w:hAnsi="Arial" w:cs="Arial"/>
          <w:i/>
          <w:color w:val="222222"/>
          <w:sz w:val="28"/>
          <w:szCs w:val="28"/>
          <w:shd w:val="clear" w:color="auto" w:fill="FFFFFF"/>
          <w:lang w:val="en-US"/>
        </w:rPr>
        <w:t>Kyrgyz Consortium for GIS Excellence, Bishkek, Kyrgyzstan</w:t>
      </w:r>
    </w:p>
    <w:p w:rsidR="00946396" w:rsidRDefault="00946396" w:rsidP="00946396">
      <w:pPr>
        <w:ind w:firstLine="708"/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</w:pPr>
    </w:p>
    <w:p w:rsidR="00946396" w:rsidRPr="00C65D3C" w:rsidRDefault="00946396" w:rsidP="00946396">
      <w:pPr>
        <w:ind w:firstLine="708"/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</w:pPr>
      <w:r w:rsidRPr="00716B4A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In recent years, the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total </w:t>
      </w:r>
      <w:r w:rsidRPr="00716B4A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number of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S</w:t>
      </w:r>
      <w:r w:rsidRPr="00716B4A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aiga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antelope (</w:t>
      </w:r>
      <w:r w:rsidRPr="00716B4A">
        <w:rPr>
          <w:rFonts w:ascii="Arial" w:hAnsi="Arial" w:cs="Arial"/>
          <w:i/>
          <w:color w:val="222222"/>
          <w:sz w:val="28"/>
          <w:szCs w:val="28"/>
          <w:shd w:val="clear" w:color="auto" w:fill="FFFFFF"/>
          <w:lang w:val="en-US"/>
        </w:rPr>
        <w:t>Saiga tatarica tatarica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)</w:t>
      </w:r>
      <w:r w:rsidRPr="00716B4A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in Kazakhstan has</w:t>
      </w:r>
      <w:r w:rsidRPr="00716B4A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declined rapidly due to several factors</w:t>
      </w:r>
      <w:r w:rsidRPr="00716B4A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. The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Kazakh saiga population is concentrated in two major herds.</w:t>
      </w:r>
      <w:r w:rsidRPr="00716B4A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Here we focus on </w:t>
      </w:r>
      <w:r w:rsidRPr="00716B4A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the Volga-Ural saiga population in the West Kazakhstan region.</w:t>
      </w:r>
      <w:r w:rsidRPr="00C65D3C">
        <w:rPr>
          <w:lang w:val="en-US"/>
        </w:rPr>
        <w:t xml:space="preserve"> </w:t>
      </w:r>
      <w:r w:rsidRPr="00C65D3C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Annually,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as the </w:t>
      </w:r>
      <w:r w:rsidRPr="00C65D3C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saiga population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concentrates in certain habitats, </w:t>
      </w:r>
      <w:r w:rsidRPr="00C65D3C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the density of animals within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those habitats </w:t>
      </w:r>
      <w:r w:rsidRPr="00C65D3C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and the number of contacts with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domestic livestock</w:t>
      </w:r>
      <w:r w:rsidRPr="00C65D3C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increase. As a result of mixing of wild and domestic animals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,</w:t>
      </w:r>
      <w:r w:rsidRPr="00C65D3C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pathogen exchange is possible and the risk of saiga disease increases. Saiga are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a</w:t>
      </w:r>
      <w:r w:rsidRPr="00C65D3C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migratory species, and may serve as vectors for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infectious </w:t>
      </w:r>
      <w:r w:rsidRPr="00C65D3C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diseases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across their migration corridors</w:t>
      </w:r>
      <w:r w:rsidRPr="00C65D3C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. Therefore,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it is necessary to define</w:t>
      </w:r>
      <w:r w:rsidRPr="00C65D3C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the characteristics of seasonal migrations and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congregation areas</w:t>
      </w:r>
      <w:r w:rsidRPr="00C65D3C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to</w:t>
      </w:r>
      <w:r w:rsidRPr="00C65D3C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better understand</w:t>
      </w:r>
      <w:r w:rsidRPr="00C65D3C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epidemiological and environmental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factors that may drive transmission between saiga and livestock (from wildlife to livestock and livestock to wildlife)</w:t>
      </w:r>
      <w:r w:rsidRPr="00C65D3C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.</w:t>
      </w:r>
    </w:p>
    <w:p w:rsidR="00946396" w:rsidRPr="000B0507" w:rsidRDefault="00946396" w:rsidP="00946396">
      <w:pPr>
        <w:ind w:firstLine="708"/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</w:pPr>
      <w:r w:rsidRPr="00C65D3C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The aim of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this</w:t>
      </w:r>
      <w:r w:rsidRPr="00C65D3C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study was to determine the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season home ranges, routes of</w:t>
      </w:r>
      <w:r w:rsidRPr="00C65D3C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seasonal migrations, calving places and rutting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sites</w:t>
      </w:r>
      <w:r w:rsidRPr="00C65D3C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.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We deployed</w:t>
      </w:r>
      <w:r w:rsidRPr="00C65D3C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10 GPS Plus Collar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s</w:t>
      </w:r>
      <w:r w:rsidRPr="00C65D3C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on saiga from two groups;</w:t>
      </w:r>
      <w:r w:rsidRPr="00C65D3C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8 animals in the western group and 2 in the eastern group of the Volga-Ural population. Spatial data, ambient temperature and other data were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recorded and transmitted via satellite daily</w:t>
      </w:r>
      <w:r w:rsidRPr="00C65D3C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. GPS Plus X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,</w:t>
      </w:r>
      <w:r w:rsidRPr="00C65D3C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ArcGIS 10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, and Q-GIS (v2.4.1) were used </w:t>
      </w:r>
      <w:r w:rsidRPr="00C65D3C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for data processing.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We use </w:t>
      </w:r>
      <w:proofErr w:type="gram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the  T</w:t>
      </w:r>
      <w:proofErr w:type="gram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-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LoCoH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package in R to construct localized-hull based seasonal home range estimates for each group [</w:t>
      </w:r>
      <w:r w:rsidRPr="000B0507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http://tlocoh.r-forge.r-project.org/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]. These analyses provide conservative estimates of saiga seasonal ranges, allowing for comparison between the west and east groups and will allow us to quantify livestock habitat/overlap zones within those ranges.</w:t>
      </w:r>
    </w:p>
    <w:p w:rsidR="00946396" w:rsidRDefault="00946396" w:rsidP="00946396">
      <w:pPr>
        <w:ind w:firstLine="708"/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</w:pPr>
    </w:p>
    <w:p w:rsidR="00946396" w:rsidRDefault="00946396" w:rsidP="00946396">
      <w:pP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</w:pPr>
      <w:r>
        <w:rPr>
          <w:rFonts w:ascii="Arial" w:hAnsi="Arial" w:cs="Arial"/>
          <w:noProof/>
          <w:color w:val="222222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171F13A1" wp14:editId="1E40C382">
            <wp:extent cx="5756193" cy="4831308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plot0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9951" cy="4842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396" w:rsidRPr="00456EEF" w:rsidRDefault="00946396" w:rsidP="00946396">
      <w:pPr>
        <w:rPr>
          <w:sz w:val="28"/>
          <w:szCs w:val="28"/>
          <w:lang w:val="en-US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Fig. 1 T-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LoCoH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analyses for spatial data.  </w:t>
      </w:r>
    </w:p>
    <w:p w:rsidR="00E74908" w:rsidRPr="00FA4EC5" w:rsidRDefault="00E74908">
      <w:pPr>
        <w:rPr>
          <w:lang w:val="en-US"/>
        </w:rPr>
      </w:pPr>
    </w:p>
    <w:sectPr w:rsidR="00E74908" w:rsidRPr="00FA4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96"/>
    <w:rsid w:val="00946396"/>
    <w:rsid w:val="00960FE6"/>
    <w:rsid w:val="009B0700"/>
    <w:rsid w:val="00C944F3"/>
    <w:rsid w:val="00D952A7"/>
    <w:rsid w:val="00E74908"/>
    <w:rsid w:val="00FA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7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Nurkuisa Rametov</dc:creator>
  <cp:keywords/>
  <dc:description/>
  <cp:lastModifiedBy>decart</cp:lastModifiedBy>
  <cp:revision>7</cp:revision>
  <dcterms:created xsi:type="dcterms:W3CDTF">2016-04-21T15:39:00Z</dcterms:created>
  <dcterms:modified xsi:type="dcterms:W3CDTF">2016-05-03T06:31:00Z</dcterms:modified>
</cp:coreProperties>
</file>