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D" w:rsidRDefault="00AE783B" w:rsidP="00AE7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E783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Гетерополиқосылыстарды катализде қолдану мақсатында синтездеу </w:t>
      </w:r>
    </w:p>
    <w:p w:rsidR="00AE783B" w:rsidRPr="0036424D" w:rsidRDefault="00AE783B" w:rsidP="00AE78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31D" w:rsidRPr="00915570" w:rsidRDefault="006D031D" w:rsidP="00D54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b/>
          <w:sz w:val="28"/>
          <w:szCs w:val="28"/>
          <w:lang w:val="kk-KZ"/>
        </w:rPr>
        <w:t>Орынбай Г. О</w:t>
      </w:r>
    </w:p>
    <w:p w:rsidR="006D031D" w:rsidRPr="00915570" w:rsidRDefault="006D031D" w:rsidP="00D54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b/>
          <w:sz w:val="28"/>
          <w:szCs w:val="28"/>
          <w:lang w:val="kk-KZ"/>
        </w:rPr>
        <w:t>Ғылыми жетекшісі: х.ғ.</w:t>
      </w:r>
      <w:r w:rsidR="00AD7DC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15570">
        <w:rPr>
          <w:rFonts w:ascii="Times New Roman" w:hAnsi="Times New Roman" w:cs="Times New Roman"/>
          <w:b/>
          <w:sz w:val="28"/>
          <w:szCs w:val="28"/>
          <w:lang w:val="kk-KZ"/>
        </w:rPr>
        <w:t>., доц</w:t>
      </w:r>
      <w:r w:rsidR="00AD7DC9">
        <w:rPr>
          <w:rFonts w:ascii="Times New Roman" w:hAnsi="Times New Roman" w:cs="Times New Roman"/>
          <w:b/>
          <w:sz w:val="28"/>
          <w:szCs w:val="28"/>
          <w:lang w:val="kk-KZ"/>
        </w:rPr>
        <w:t>ент</w:t>
      </w:r>
      <w:r w:rsidRPr="00915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Жакирова Н.</w:t>
      </w:r>
      <w:r w:rsidR="00AD7DC9">
        <w:rPr>
          <w:rFonts w:ascii="Times New Roman" w:hAnsi="Times New Roman" w:cs="Times New Roman"/>
          <w:b/>
          <w:sz w:val="28"/>
          <w:szCs w:val="28"/>
          <w:lang w:val="kk-KZ"/>
        </w:rPr>
        <w:t>Қ.</w:t>
      </w:r>
    </w:p>
    <w:p w:rsidR="006D031D" w:rsidRPr="00915570" w:rsidRDefault="006D031D" w:rsidP="00D5439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i/>
          <w:sz w:val="28"/>
          <w:szCs w:val="28"/>
          <w:lang w:val="kk-KZ"/>
        </w:rPr>
        <w:t>Әл – Фараби атындағы Қазақ Ұлттық университеті</w:t>
      </w:r>
    </w:p>
    <w:p w:rsidR="006D031D" w:rsidRPr="005339A9" w:rsidRDefault="006D031D" w:rsidP="00D5439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5339A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gulnara.orynbay@mail.ru</w:t>
      </w:r>
    </w:p>
    <w:p w:rsidR="006D031D" w:rsidRPr="00915570" w:rsidRDefault="006D031D" w:rsidP="00D5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031D" w:rsidRPr="00915570" w:rsidRDefault="00EA0140" w:rsidP="00D5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sz w:val="28"/>
          <w:szCs w:val="28"/>
          <w:lang w:val="kk-KZ"/>
        </w:rPr>
        <w:t>Вольфрам, молибден және ванадийдің гетерополиқосылыстары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339A9" w:rsidRPr="00915570">
        <w:rPr>
          <w:rFonts w:ascii="Times New Roman" w:hAnsi="Times New Roman" w:cs="Times New Roman"/>
          <w:sz w:val="28"/>
          <w:szCs w:val="28"/>
          <w:lang w:val="kk-KZ"/>
        </w:rPr>
        <w:t>ГПҚ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ғылым мен техниканың әр түрлі саласында қолдануға болатындай, бірегей физик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– химиялық қасиеттері бар полиядр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комплекстердің ерекше класына жатады. </w:t>
      </w:r>
      <w:r w:rsidR="00941F30" w:rsidRPr="00915570">
        <w:rPr>
          <w:rFonts w:ascii="Times New Roman" w:hAnsi="Times New Roman" w:cs="Times New Roman"/>
          <w:sz w:val="28"/>
          <w:szCs w:val="28"/>
          <w:lang w:val="kk-KZ"/>
        </w:rPr>
        <w:t>Гомогенді және гетерогенді катализде ГПҚ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>-дың</w:t>
      </w:r>
      <w:r w:rsidR="00941F3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кеңінен қолданылуы брен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41F30" w:rsidRPr="00915570">
        <w:rPr>
          <w:rFonts w:ascii="Times New Roman" w:hAnsi="Times New Roman" w:cs="Times New Roman"/>
          <w:sz w:val="28"/>
          <w:szCs w:val="28"/>
          <w:lang w:val="kk-KZ"/>
        </w:rPr>
        <w:t>тедті қышқылдық қасиетіне, сонымен қатар тотықтырғыштық қасиетіне негізделген.</w:t>
      </w:r>
      <w:r w:rsidR="008A7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E34" w:rsidRPr="00915570">
        <w:rPr>
          <w:rFonts w:ascii="Times New Roman" w:hAnsi="Times New Roman" w:cs="Times New Roman"/>
          <w:sz w:val="28"/>
          <w:szCs w:val="28"/>
          <w:lang w:val="kk-KZ"/>
        </w:rPr>
        <w:t>Соңғы  жыл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>жары</w:t>
      </w:r>
      <w:r w:rsidR="008A7E34">
        <w:rPr>
          <w:rFonts w:ascii="Times New Roman" w:hAnsi="Times New Roman" w:cs="Times New Roman"/>
          <w:sz w:val="28"/>
          <w:szCs w:val="28"/>
          <w:lang w:val="kk-KZ"/>
        </w:rPr>
        <w:t xml:space="preserve"> ГПҚ химиясының дамуымен</w:t>
      </w:r>
      <w:r w:rsidR="008A7E34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комплексті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 xml:space="preserve"> қосылыстарды</w:t>
      </w:r>
      <w:r w:rsidR="008A7E34" w:rsidRPr="0091557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A7E34">
        <w:rPr>
          <w:rFonts w:ascii="Times New Roman" w:hAnsi="Times New Roman" w:cs="Times New Roman"/>
          <w:sz w:val="28"/>
          <w:szCs w:val="28"/>
          <w:lang w:val="kk-KZ"/>
        </w:rPr>
        <w:t xml:space="preserve"> қолданылу аймағы кеңеюде. Анал</w:t>
      </w:r>
      <w:r w:rsidR="008A7E34" w:rsidRPr="00915570">
        <w:rPr>
          <w:rFonts w:ascii="Times New Roman" w:hAnsi="Times New Roman" w:cs="Times New Roman"/>
          <w:sz w:val="28"/>
          <w:szCs w:val="28"/>
          <w:lang w:val="kk-KZ"/>
        </w:rPr>
        <w:t>итикалық химия мен катализден басқа оларды фотохромды материалдар ретінде, коррозияның ингибиторлары, ион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E34" w:rsidRPr="00915570">
        <w:rPr>
          <w:rFonts w:ascii="Times New Roman" w:hAnsi="Times New Roman" w:cs="Times New Roman"/>
          <w:sz w:val="28"/>
          <w:szCs w:val="28"/>
          <w:lang w:val="kk-KZ"/>
        </w:rPr>
        <w:t>алмастырғыштар және жануды баяулатқыштар ретінде қолданады.</w:t>
      </w:r>
      <w:r w:rsidR="00D543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Сонымен бірге, гетерополиқосылыстар цеолиттер сияқты жоғары адсорбционды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қабілетке ие болып келеді.</w:t>
      </w:r>
    </w:p>
    <w:p w:rsidR="00157E00" w:rsidRDefault="00157E0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sz w:val="28"/>
          <w:szCs w:val="28"/>
          <w:lang w:val="kk-KZ"/>
        </w:rPr>
        <w:t>Катализ үшін 12 – нші қатардағы ГПҚ маңызды болып табылады. Бұл құрылысы кең таралған Кеггин гетерополианионынан Х</w:t>
      </w:r>
      <w:r w:rsidR="005339A9" w:rsidRPr="005339A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n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VI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40</w:t>
      </w:r>
      <w:r w:rsidR="00796B6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n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-8 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немесе X</w:t>
      </w:r>
      <w:r w:rsidR="00796B6A" w:rsidRPr="00796B6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n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M</w:t>
      </w:r>
      <w:r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12-n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VI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40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x-n-8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тұрады</w:t>
      </w:r>
      <w:r w:rsidR="00796B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B6A" w:rsidRP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>/1/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, мұндағы Х – орталық атом (Si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VI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, P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v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, As</w:t>
      </w:r>
      <w:r w:rsidRPr="0091557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VI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5339A9" w:rsidRP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>n</w:t>
      </w:r>
      <w:r w:rsidRP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– тотығу дәрежесі, М - Mo, W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V.</w:t>
      </w:r>
    </w:p>
    <w:p w:rsidR="00D54390" w:rsidRDefault="005339A9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sz w:val="28"/>
          <w:szCs w:val="28"/>
          <w:lang w:val="kk-KZ"/>
        </w:rPr>
        <w:t>ГПҚ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-дың катализде қолданылу аясы мен механизмін зерттеу үшін 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>ұмыст</w:t>
      </w:r>
      <w:r>
        <w:rPr>
          <w:rFonts w:ascii="Times New Roman" w:hAnsi="Times New Roman" w:cs="Times New Roman"/>
          <w:sz w:val="28"/>
          <w:szCs w:val="28"/>
          <w:lang w:val="kk-KZ"/>
        </w:rPr>
        <w:t>а алға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қойылған 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 xml:space="preserve">мақсат – гетерополиқышқылдарды катализде модифицирлеу арқылы 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>PW</w:t>
      </w:r>
      <w:r w:rsidR="008A7E34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– ГПҚ (H</w:t>
      </w:r>
      <w:r w:rsidR="008A7E34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>PW</w:t>
      </w:r>
      <w:r w:rsidR="008A7E34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8A7E34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40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>·6H</w:t>
      </w:r>
      <w:r w:rsidR="008A7E34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8A7E34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O) </w:t>
      </w:r>
      <w:r w:rsidR="008A7E34">
        <w:rPr>
          <w:rFonts w:ascii="Times New Roman" w:hAnsi="Times New Roman" w:cs="Times New Roman"/>
          <w:sz w:val="28"/>
          <w:szCs w:val="28"/>
          <w:lang w:val="kk-KZ"/>
        </w:rPr>
        <w:t>катализаторын синтездеп алу.</w:t>
      </w:r>
    </w:p>
    <w:p w:rsidR="00D54390" w:rsidRDefault="005339A9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әдебиеттерден г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етерополиқышқылдар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SiO</w:t>
      </w:r>
      <w:r w:rsidR="00D54390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TiO</w:t>
      </w:r>
      <w:r w:rsidR="00D54390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секілді тасымалдағыштардың бе</w:t>
      </w:r>
      <w:r w:rsidR="00D5439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іне отырғызу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пайдалану мүмкін екенін және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егізгі тасымалдағыштар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 Al</w:t>
      </w:r>
      <w:r w:rsidR="00D54390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D54390"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, MgO –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қолданылатынын білеміз</w:t>
      </w:r>
      <w:r w:rsidR="00796B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B6A" w:rsidRP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/ </w:t>
      </w:r>
      <w:r w:rsid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>2</w:t>
      </w:r>
      <w:r w:rsidR="00796B6A" w:rsidRPr="00796B6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/</w:t>
      </w:r>
      <w:r w:rsidR="00796B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сонымен қатар бұл оксидтер 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>гетерополиқышқылдар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54390" w:rsidRPr="00656F16">
        <w:rPr>
          <w:rFonts w:ascii="Times New Roman" w:hAnsi="Times New Roman" w:cs="Times New Roman"/>
          <w:sz w:val="28"/>
          <w:szCs w:val="28"/>
          <w:lang w:val="kk-KZ"/>
        </w:rPr>
        <w:t xml:space="preserve">ы жаюға ұмтылады. </w:t>
      </w:r>
    </w:p>
    <w:p w:rsidR="00157E00" w:rsidRDefault="0091557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Ауқымды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PW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гетерополиқышқылы</w:t>
      </w:r>
      <w:r w:rsidR="008A7E34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адсорбция жылуы</w:t>
      </w:r>
      <w:r w:rsidR="005339A9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 мақсатында,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NH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3 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165 – 140 кДж/моль тең қышқылдық орталықтар бар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 xml:space="preserve"> екні дәлелденген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. Гетерополиқышқылдарды тасымалдағыш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 xml:space="preserve">тарға 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(сибунит, силикагель және </w:t>
      </w:r>
      <w:r w:rsidR="00157E00" w:rsidRPr="00915570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– Al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және т.б.) отырғызу қышқылды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орталықтардың әлсіреуіне алы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>п келеді. Сонымен бірге, ауқымды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PW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12 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гетерополиқышқылының болмашы ғана мөлшері жылулық адсорбциясына ие &gt; 170 кДж/моль. PW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12 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гетерополиқышқылдарын силикагельге отырғызғанда оның қышқылды</w:t>
      </w:r>
      <w:r w:rsidR="00AD7DC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орталықтары айтарлықтай өзгереді. Қышқылды орталықтың жа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>лпы санының 20% - ы ғана ауқымды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PW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 - гетерополиқышылы секілді күшке ие. Q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адс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NH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= 115-120 кДж/моль. Вольфрамды гетерополиқышқылдарында H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PW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O</w:t>
      </w:r>
      <w:r w:rsidR="00157E00" w:rsidRPr="0091557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40 </w:t>
      </w:r>
      <w:r w:rsidR="00157E00" w:rsidRPr="00915570">
        <w:rPr>
          <w:rFonts w:ascii="Times New Roman" w:hAnsi="Times New Roman" w:cs="Times New Roman"/>
          <w:sz w:val="28"/>
          <w:szCs w:val="28"/>
          <w:lang w:val="kk-KZ"/>
        </w:rPr>
        <w:t>өте күшті β – орталықтары бар. ГПҚ құрлысының ерекшелігіне байланысты орталықтардың қол жетімділігі шектеулі және реакциялар тек қышқылды орталықтардың сыртқы бетінде ғана жүреді.</w:t>
      </w:r>
    </w:p>
    <w:p w:rsidR="00D54390" w:rsidRPr="00915570" w:rsidRDefault="00D5439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F16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Катализаторды енгізгенде және күйдіргенде PW</w:t>
      </w:r>
      <w:r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Pr="00656F16">
        <w:rPr>
          <w:rFonts w:ascii="Times New Roman" w:hAnsi="Times New Roman" w:cs="Times New Roman"/>
          <w:sz w:val="28"/>
          <w:szCs w:val="28"/>
          <w:lang w:val="kk-KZ"/>
        </w:rPr>
        <w:t>-ГПҚ жоғары дисперсті күйге ауысады, яғни PW</w:t>
      </w:r>
      <w:r w:rsidRPr="00656F1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Pr="00656F16">
        <w:rPr>
          <w:rFonts w:ascii="Times New Roman" w:hAnsi="Times New Roman" w:cs="Times New Roman"/>
          <w:sz w:val="28"/>
          <w:szCs w:val="28"/>
          <w:lang w:val="kk-KZ"/>
        </w:rPr>
        <w:t>-ГПҚ бөлшегінде ерекше адсорбционды және каталитикалық қасиеттері көрінеді.</w:t>
      </w:r>
    </w:p>
    <w:p w:rsidR="00157E00" w:rsidRDefault="00157E0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5570">
        <w:rPr>
          <w:rFonts w:ascii="Times New Roman" w:hAnsi="Times New Roman" w:cs="Times New Roman"/>
          <w:sz w:val="28"/>
          <w:szCs w:val="28"/>
          <w:lang w:val="kk-KZ"/>
        </w:rPr>
        <w:t>Катализаторлар бетінің құрылысы</w:t>
      </w:r>
      <w:r w:rsidR="009C2367">
        <w:rPr>
          <w:rFonts w:ascii="Times New Roman" w:hAnsi="Times New Roman" w:cs="Times New Roman"/>
          <w:sz w:val="28"/>
          <w:szCs w:val="28"/>
          <w:lang w:val="kk-KZ"/>
        </w:rPr>
        <w:t xml:space="preserve"> мен фазалық құрамының өзгерісі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ИҚ – спектроскопия және рентгенофазалы анализ әдістерімен зерттелді.</w:t>
      </w:r>
    </w:p>
    <w:p w:rsidR="00AD7DC9" w:rsidRDefault="00AD7DC9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Қорыта келе, г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омогенді және гетерогенді катализде ГПҚ кеңінен қолданылуы </w:t>
      </w:r>
      <w:r>
        <w:rPr>
          <w:rFonts w:ascii="Times New Roman" w:hAnsi="Times New Roman" w:cs="Times New Roman"/>
          <w:sz w:val="28"/>
          <w:szCs w:val="28"/>
          <w:lang w:val="kk-KZ"/>
        </w:rPr>
        <w:t>оның аралық комплекстер түзу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 қасиетіне негізделген</w:t>
      </w:r>
      <w:r>
        <w:rPr>
          <w:rFonts w:ascii="Times New Roman" w:hAnsi="Times New Roman" w:cs="Times New Roman"/>
          <w:sz w:val="28"/>
          <w:szCs w:val="28"/>
          <w:lang w:val="kk-KZ"/>
        </w:rPr>
        <w:t>ін білдік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ГПҚ химиясын зерттей келе, </w:t>
      </w:r>
      <w:r w:rsidRPr="00915570">
        <w:rPr>
          <w:rFonts w:ascii="Times New Roman" w:hAnsi="Times New Roman" w:cs="Times New Roman"/>
          <w:sz w:val="28"/>
          <w:szCs w:val="28"/>
          <w:lang w:val="kk-KZ"/>
        </w:rPr>
        <w:t xml:space="preserve">катализден басқа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қолданылу аясын кеңейту мақсатында химиялық талдаулар жасылынады және физика-химиялық әдістерді кеңінен қолданып зерттеулер жүргізіледі</w:t>
      </w:r>
      <w:r w:rsidRPr="00656F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2D71" w:rsidRDefault="00802D71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2D71" w:rsidRDefault="00802D71" w:rsidP="00802D71">
      <w:pPr>
        <w:tabs>
          <w:tab w:val="left" w:pos="560"/>
          <w:tab w:val="left" w:pos="24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</w:t>
      </w:r>
    </w:p>
    <w:p w:rsidR="00802D71" w:rsidRDefault="00802D71" w:rsidP="00802D71">
      <w:pPr>
        <w:pStyle w:val="a3"/>
        <w:numPr>
          <w:ilvl w:val="0"/>
          <w:numId w:val="1"/>
        </w:numPr>
        <w:tabs>
          <w:tab w:val="left" w:pos="560"/>
          <w:tab w:val="left" w:pos="2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D71">
        <w:rPr>
          <w:rFonts w:ascii="Times New Roman" w:hAnsi="Times New Roman" w:cs="Times New Roman"/>
          <w:sz w:val="28"/>
          <w:szCs w:val="28"/>
          <w:lang w:val="kk-KZ"/>
        </w:rPr>
        <w:t>Сепикпа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02D71">
        <w:rPr>
          <w:rFonts w:ascii="Times New Roman" w:hAnsi="Times New Roman" w:cs="Times New Roman"/>
          <w:sz w:val="28"/>
          <w:szCs w:val="28"/>
          <w:lang w:val="kk-KZ"/>
        </w:rPr>
        <w:t>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К.Ж.</w:t>
      </w:r>
      <w:r w:rsidRPr="00802D71">
        <w:rPr>
          <w:rFonts w:ascii="Times New Roman" w:hAnsi="Times New Roman" w:cs="Times New Roman"/>
          <w:sz w:val="28"/>
          <w:szCs w:val="28"/>
          <w:lang w:val="kk-KZ"/>
        </w:rPr>
        <w:t xml:space="preserve"> Смешаннолигандные .....</w:t>
      </w:r>
      <w:r>
        <w:rPr>
          <w:rFonts w:ascii="Times New Roman" w:hAnsi="Times New Roman" w:cs="Times New Roman"/>
          <w:sz w:val="28"/>
          <w:szCs w:val="28"/>
          <w:lang w:val="kk-KZ"/>
        </w:rPr>
        <w:t>автореф.канд.диссертации. ИХН, 1992ж.</w:t>
      </w:r>
    </w:p>
    <w:p w:rsidR="00802D71" w:rsidRPr="00802D71" w:rsidRDefault="00802D71" w:rsidP="00802D71">
      <w:pPr>
        <w:pStyle w:val="a3"/>
        <w:numPr>
          <w:ilvl w:val="0"/>
          <w:numId w:val="1"/>
        </w:numPr>
        <w:tabs>
          <w:tab w:val="left" w:pos="560"/>
          <w:tab w:val="left" w:pos="2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0F10" w:rsidRDefault="00F70F1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0F10" w:rsidRPr="00802D71" w:rsidRDefault="00F70F10" w:rsidP="00D54390">
      <w:pPr>
        <w:tabs>
          <w:tab w:val="left" w:pos="560"/>
          <w:tab w:val="left" w:pos="243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70F10">
        <w:rPr>
          <w:rFonts w:ascii="Times New Roman" w:hAnsi="Times New Roman" w:cs="Times New Roman"/>
          <w:color w:val="FF0000"/>
          <w:sz w:val="28"/>
          <w:szCs w:val="28"/>
          <w:lang w:val="kk-KZ"/>
        </w:rPr>
        <w:t>Гулнар!  Жалпы жаман емес мүмкін - 1, 2 ғылыми  әдебиет қоясың артынан . қоймасаң алып таста</w:t>
      </w:r>
      <w:r w:rsidR="00802D71">
        <w:rPr>
          <w:rFonts w:ascii="Times New Roman" w:hAnsi="Times New Roman" w:cs="Times New Roman"/>
          <w:color w:val="FF0000"/>
          <w:sz w:val="28"/>
          <w:szCs w:val="28"/>
          <w:lang w:val="kk-KZ"/>
        </w:rPr>
        <w:t>,</w:t>
      </w:r>
      <w:r w:rsidRPr="00F70F1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Х –пен екі рет белгілемес үшін,</w:t>
      </w:r>
      <w:r w:rsidR="00802D7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енгізіп ем қарап жібер тағы да</w:t>
      </w:r>
      <w:r w:rsidR="00802D71" w:rsidRPr="00802D7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n-</w:t>
      </w:r>
      <w:r w:rsidR="00802D71">
        <w:rPr>
          <w:rFonts w:ascii="Times New Roman" w:hAnsi="Times New Roman" w:cs="Times New Roman"/>
          <w:color w:val="FF0000"/>
          <w:sz w:val="28"/>
          <w:szCs w:val="28"/>
          <w:lang w:val="kk-KZ"/>
        </w:rPr>
        <w:t>да екі рет болмасын.</w:t>
      </w:r>
    </w:p>
    <w:sectPr w:rsidR="00F70F10" w:rsidRPr="00802D71" w:rsidSect="006D03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30D6"/>
    <w:multiLevelType w:val="hybridMultilevel"/>
    <w:tmpl w:val="4AD8CAAA"/>
    <w:lvl w:ilvl="0" w:tplc="23C6C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140"/>
    <w:rsid w:val="00157E00"/>
    <w:rsid w:val="0036424D"/>
    <w:rsid w:val="003C3745"/>
    <w:rsid w:val="005339A9"/>
    <w:rsid w:val="00686DDB"/>
    <w:rsid w:val="006D031D"/>
    <w:rsid w:val="00796B6A"/>
    <w:rsid w:val="00802D71"/>
    <w:rsid w:val="008A7E34"/>
    <w:rsid w:val="00915570"/>
    <w:rsid w:val="00941F30"/>
    <w:rsid w:val="009C2367"/>
    <w:rsid w:val="00AC4191"/>
    <w:rsid w:val="00AD7DC9"/>
    <w:rsid w:val="00AE783B"/>
    <w:rsid w:val="00B52BBB"/>
    <w:rsid w:val="00D54390"/>
    <w:rsid w:val="00DE6060"/>
    <w:rsid w:val="00DF3E98"/>
    <w:rsid w:val="00EA0140"/>
    <w:rsid w:val="00F70F10"/>
    <w:rsid w:val="00FB080D"/>
    <w:rsid w:val="00FE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CAU</cp:lastModifiedBy>
  <cp:revision>6</cp:revision>
  <cp:lastPrinted>2015-04-06T03:10:00Z</cp:lastPrinted>
  <dcterms:created xsi:type="dcterms:W3CDTF">2015-04-06T03:00:00Z</dcterms:created>
  <dcterms:modified xsi:type="dcterms:W3CDTF">2015-04-06T03:52:00Z</dcterms:modified>
</cp:coreProperties>
</file>