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26AF5" w14:textId="77777777" w:rsidR="000148EA" w:rsidRPr="009829A3" w:rsidRDefault="00DE26AE" w:rsidP="009829A3">
      <w:pPr>
        <w:spacing w:line="240" w:lineRule="auto"/>
        <w:ind w:firstLine="567"/>
        <w:jc w:val="center"/>
        <w:rPr>
          <w:rFonts w:ascii="Times New Roman" w:hAnsi="Times New Roman" w:cs="Times New Roman"/>
          <w:b/>
          <w:sz w:val="24"/>
          <w:lang w:val="en-US"/>
        </w:rPr>
      </w:pPr>
      <w:bookmarkStart w:id="0" w:name="_top"/>
      <w:bookmarkEnd w:id="0"/>
      <w:r w:rsidRPr="009829A3">
        <w:rPr>
          <w:rFonts w:ascii="Times New Roman" w:hAnsi="Times New Roman" w:cs="Times New Roman"/>
          <w:b/>
          <w:sz w:val="24"/>
          <w:lang w:val="en-US"/>
        </w:rPr>
        <w:t>Perioperative assessment and Treatment tactics of Patients with Virus-induced Liver Cirrhosis: Risk Evaluation, Surgical Results, and Future Directions. Literature review.</w:t>
      </w:r>
    </w:p>
    <w:p w14:paraId="694E08CD" w14:textId="77777777" w:rsidR="00B41662" w:rsidRPr="009829A3" w:rsidRDefault="009829A3" w:rsidP="009829A3">
      <w:pPr>
        <w:spacing w:line="240" w:lineRule="auto"/>
        <w:jc w:val="center"/>
        <w:rPr>
          <w:rFonts w:ascii="Times New Roman" w:hAnsi="Times New Roman" w:cs="Times New Roman"/>
          <w:i/>
          <w:sz w:val="24"/>
          <w:lang w:val="en-US"/>
        </w:rPr>
      </w:pPr>
      <w:r w:rsidRPr="009829A3">
        <w:rPr>
          <w:rFonts w:ascii="Times New Roman" w:hAnsi="Times New Roman" w:cs="Times New Roman"/>
          <w:i/>
          <w:sz w:val="24"/>
          <w:lang w:val="en-US"/>
        </w:rPr>
        <w:t>Daniyar Sultankulov, Anna Shin</w:t>
      </w:r>
    </w:p>
    <w:p w14:paraId="71B48B78" w14:textId="77777777" w:rsidR="009829A3" w:rsidRPr="009829A3" w:rsidRDefault="009829A3" w:rsidP="009829A3">
      <w:pPr>
        <w:spacing w:line="240" w:lineRule="auto"/>
        <w:jc w:val="center"/>
        <w:rPr>
          <w:rFonts w:ascii="Times New Roman" w:hAnsi="Times New Roman" w:cs="Times New Roman"/>
          <w:i/>
          <w:sz w:val="24"/>
          <w:lang w:val="en-US"/>
        </w:rPr>
      </w:pPr>
      <w:r w:rsidRPr="009829A3">
        <w:rPr>
          <w:rFonts w:ascii="Times New Roman" w:hAnsi="Times New Roman" w:cs="Times New Roman"/>
          <w:i/>
          <w:sz w:val="24"/>
          <w:lang w:val="en-US"/>
        </w:rPr>
        <w:t>Al-Farabi Kazakh National University, Almaty, Kazakhstan</w:t>
      </w:r>
    </w:p>
    <w:p w14:paraId="3657631F" w14:textId="77777777" w:rsidR="00B41662" w:rsidRDefault="00B41662" w:rsidP="00117A5F">
      <w:pPr>
        <w:spacing w:line="240" w:lineRule="auto"/>
        <w:ind w:firstLine="567"/>
        <w:jc w:val="both"/>
        <w:rPr>
          <w:rFonts w:ascii="Times New Roman" w:hAnsi="Times New Roman" w:cs="Times New Roman"/>
          <w:sz w:val="24"/>
          <w:lang w:val="en-US"/>
        </w:rPr>
      </w:pPr>
      <w:r w:rsidRPr="00B41662">
        <w:rPr>
          <w:rFonts w:ascii="Times New Roman" w:hAnsi="Times New Roman" w:cs="Times New Roman"/>
          <w:i/>
          <w:sz w:val="24"/>
          <w:lang w:val="en-US"/>
        </w:rPr>
        <w:t xml:space="preserve">The relevance of </w:t>
      </w:r>
      <w:r w:rsidR="008025E0">
        <w:rPr>
          <w:rFonts w:ascii="Times New Roman" w:hAnsi="Times New Roman" w:cs="Times New Roman"/>
          <w:i/>
          <w:sz w:val="24"/>
          <w:lang w:val="en-US"/>
        </w:rPr>
        <w:t>R</w:t>
      </w:r>
      <w:r w:rsidRPr="00B41662">
        <w:rPr>
          <w:rFonts w:ascii="Times New Roman" w:hAnsi="Times New Roman" w:cs="Times New Roman"/>
          <w:i/>
          <w:sz w:val="24"/>
          <w:lang w:val="en-US"/>
        </w:rPr>
        <w:t>esearch:</w:t>
      </w:r>
      <w:r>
        <w:rPr>
          <w:rFonts w:ascii="Times New Roman" w:hAnsi="Times New Roman" w:cs="Times New Roman"/>
          <w:sz w:val="24"/>
          <w:lang w:val="en-US"/>
        </w:rPr>
        <w:t xml:space="preserve"> </w:t>
      </w:r>
      <w:r w:rsidRPr="00B41662">
        <w:rPr>
          <w:rFonts w:ascii="Times New Roman" w:hAnsi="Times New Roman" w:cs="Times New Roman"/>
          <w:sz w:val="24"/>
          <w:lang w:val="en-US"/>
        </w:rPr>
        <w:t>Liver cirrhosis represents a medically significant chronic condition marked by the irreversible substitution of liver parenchyma with fibrotic tissue, resulting in progressive impairment of organ function, accompanied by structural alterations such as thickening and nodularity.</w:t>
      </w:r>
      <w:r w:rsidR="009F0949">
        <w:rPr>
          <w:rFonts w:ascii="Times New Roman" w:hAnsi="Times New Roman" w:cs="Times New Roman"/>
          <w:sz w:val="24"/>
          <w:lang w:val="en-US"/>
        </w:rPr>
        <w:t xml:space="preserve"> </w:t>
      </w:r>
      <w:r w:rsidR="009F0949" w:rsidRPr="009F0949">
        <w:rPr>
          <w:rFonts w:ascii="Times New Roman" w:hAnsi="Times New Roman" w:cs="Times New Roman"/>
          <w:sz w:val="24"/>
          <w:vertAlign w:val="superscript"/>
          <w:lang w:val="en-US"/>
        </w:rPr>
        <w:t>[1]</w:t>
      </w:r>
    </w:p>
    <w:p w14:paraId="51825EB9" w14:textId="58A498F8" w:rsidR="00B41662" w:rsidRDefault="00B41662" w:rsidP="00117A5F">
      <w:pPr>
        <w:spacing w:line="240" w:lineRule="auto"/>
        <w:ind w:firstLine="567"/>
        <w:jc w:val="both"/>
        <w:rPr>
          <w:rFonts w:ascii="Times New Roman" w:hAnsi="Times New Roman" w:cs="Times New Roman"/>
          <w:sz w:val="24"/>
          <w:lang w:val="en-US"/>
        </w:rPr>
      </w:pPr>
      <w:r w:rsidRPr="00B41662">
        <w:rPr>
          <w:rFonts w:ascii="Times New Roman" w:hAnsi="Times New Roman" w:cs="Times New Roman"/>
          <w:sz w:val="24"/>
          <w:lang w:val="en-US"/>
        </w:rPr>
        <w:t xml:space="preserve">More than </w:t>
      </w:r>
      <w:r w:rsidR="00215700" w:rsidRPr="0049737B">
        <w:rPr>
          <w:rFonts w:ascii="Times New Roman" w:hAnsi="Times New Roman" w:cs="Times New Roman"/>
          <w:color w:val="000000" w:themeColor="text1"/>
          <w:sz w:val="24"/>
          <w:lang w:val="en-US"/>
        </w:rPr>
        <w:t>six</w:t>
      </w:r>
      <w:r w:rsidRPr="0049737B">
        <w:rPr>
          <w:rFonts w:ascii="Times New Roman" w:hAnsi="Times New Roman" w:cs="Times New Roman"/>
          <w:color w:val="000000" w:themeColor="text1"/>
          <w:sz w:val="24"/>
          <w:lang w:val="en-US"/>
        </w:rPr>
        <w:t xml:space="preserve"> </w:t>
      </w:r>
      <w:r w:rsidRPr="00B41662">
        <w:rPr>
          <w:rFonts w:ascii="Times New Roman" w:hAnsi="Times New Roman" w:cs="Times New Roman"/>
          <w:sz w:val="24"/>
          <w:lang w:val="en-US"/>
        </w:rPr>
        <w:t xml:space="preserve">thousand cases of newly diagnosed chronic viral hepatitis are registered annually in Kazakhstan. Of these, chronic viral hepatitis B accounts for 48%, chronic viral hepatitis C accounts for 52%. At the same time, the highest incidence of chronic forms of viral hepatitis, about 87%, is recorded in the age group from 30 to 60 years. Also, in Kazakhstan, according to </w:t>
      </w:r>
      <w:r w:rsidR="00B846FE">
        <w:rPr>
          <w:rFonts w:ascii="Times New Roman" w:hAnsi="Times New Roman" w:cs="Times New Roman"/>
          <w:sz w:val="24"/>
          <w:lang w:val="en-US"/>
        </w:rPr>
        <w:t>World Health Organization (</w:t>
      </w:r>
      <w:r w:rsidRPr="00B41662">
        <w:rPr>
          <w:rFonts w:ascii="Times New Roman" w:hAnsi="Times New Roman" w:cs="Times New Roman"/>
          <w:sz w:val="24"/>
          <w:lang w:val="en-US"/>
        </w:rPr>
        <w:t>WHO</w:t>
      </w:r>
      <w:r w:rsidR="00B846FE">
        <w:rPr>
          <w:rFonts w:ascii="Times New Roman" w:hAnsi="Times New Roman" w:cs="Times New Roman"/>
          <w:sz w:val="24"/>
          <w:lang w:val="en-US"/>
        </w:rPr>
        <w:t>)</w:t>
      </w:r>
      <w:r w:rsidRPr="00B41662">
        <w:rPr>
          <w:rFonts w:ascii="Times New Roman" w:hAnsi="Times New Roman" w:cs="Times New Roman"/>
          <w:sz w:val="24"/>
          <w:lang w:val="en-US"/>
        </w:rPr>
        <w:t xml:space="preserve">, in 2022, 49,175 adult patients are registered with a diagnosis of viral hepatitis, including 23,233 patients with hepatitis C, 22,977 people with hepatitis B, 1,252 patients with hepatitis D, 5,976 with liver cirrhosis and more than 500 people with </w:t>
      </w:r>
      <w:r w:rsidR="00310819">
        <w:rPr>
          <w:rFonts w:ascii="Times New Roman" w:hAnsi="Times New Roman" w:cs="Times New Roman"/>
          <w:sz w:val="24"/>
          <w:lang w:val="en-US"/>
        </w:rPr>
        <w:t xml:space="preserve">hepatocellular carcinoma </w:t>
      </w:r>
      <w:r w:rsidR="00310819" w:rsidRPr="00310819">
        <w:rPr>
          <w:rFonts w:ascii="Times New Roman" w:hAnsi="Times New Roman" w:cs="Times New Roman"/>
          <w:color w:val="000000" w:themeColor="text1"/>
          <w:sz w:val="24"/>
          <w:lang w:val="en-US"/>
        </w:rPr>
        <w:t>(</w:t>
      </w:r>
      <w:r w:rsidRPr="00310819">
        <w:rPr>
          <w:rFonts w:ascii="Times New Roman" w:hAnsi="Times New Roman" w:cs="Times New Roman"/>
          <w:color w:val="000000" w:themeColor="text1"/>
          <w:sz w:val="24"/>
          <w:lang w:val="en-US"/>
        </w:rPr>
        <w:t>HCC</w:t>
      </w:r>
      <w:r w:rsidR="00310819" w:rsidRPr="00310819">
        <w:rPr>
          <w:rFonts w:ascii="Times New Roman" w:hAnsi="Times New Roman" w:cs="Times New Roman"/>
          <w:color w:val="000000" w:themeColor="text1"/>
          <w:sz w:val="24"/>
          <w:lang w:val="en-US"/>
        </w:rPr>
        <w:t>)</w:t>
      </w:r>
      <w:r w:rsidRPr="00B41662">
        <w:rPr>
          <w:rFonts w:ascii="Times New Roman" w:hAnsi="Times New Roman" w:cs="Times New Roman"/>
          <w:sz w:val="24"/>
          <w:lang w:val="en-US"/>
        </w:rPr>
        <w:t xml:space="preserve"> and </w:t>
      </w:r>
      <w:r w:rsidR="00310819">
        <w:rPr>
          <w:rFonts w:ascii="Times New Roman" w:hAnsi="Times New Roman" w:cs="Times New Roman"/>
          <w:sz w:val="24"/>
          <w:lang w:val="en-US"/>
        </w:rPr>
        <w:t>cholangiocarcinoma (</w:t>
      </w:r>
      <w:r w:rsidRPr="00310819">
        <w:rPr>
          <w:rFonts w:ascii="Times New Roman" w:hAnsi="Times New Roman" w:cs="Times New Roman"/>
          <w:sz w:val="24"/>
          <w:lang w:val="en-US"/>
        </w:rPr>
        <w:t>CCC</w:t>
      </w:r>
      <w:r w:rsidR="00310819">
        <w:rPr>
          <w:rFonts w:ascii="Times New Roman" w:hAnsi="Times New Roman" w:cs="Times New Roman"/>
          <w:sz w:val="24"/>
          <w:lang w:val="en-US"/>
        </w:rPr>
        <w:t>)</w:t>
      </w:r>
      <w:r w:rsidRPr="00B41662">
        <w:rPr>
          <w:rFonts w:ascii="Times New Roman" w:hAnsi="Times New Roman" w:cs="Times New Roman"/>
          <w:sz w:val="24"/>
          <w:lang w:val="en-US"/>
        </w:rPr>
        <w:t xml:space="preserve"> liver </w:t>
      </w:r>
      <w:r w:rsidR="009F0949" w:rsidRPr="00B41662">
        <w:rPr>
          <w:rFonts w:ascii="Times New Roman" w:hAnsi="Times New Roman" w:cs="Times New Roman"/>
          <w:sz w:val="24"/>
          <w:lang w:val="en-US"/>
        </w:rPr>
        <w:t>tumors.</w:t>
      </w:r>
      <w:r w:rsidR="009F0949" w:rsidRPr="009F0949">
        <w:rPr>
          <w:rFonts w:ascii="Times New Roman" w:hAnsi="Times New Roman" w:cs="Times New Roman"/>
          <w:sz w:val="24"/>
          <w:vertAlign w:val="superscript"/>
          <w:lang w:val="en-US"/>
        </w:rPr>
        <w:t xml:space="preserve"> [2]</w:t>
      </w:r>
    </w:p>
    <w:p w14:paraId="1178BD78" w14:textId="77777777" w:rsidR="00B41662" w:rsidRDefault="00B41662" w:rsidP="00117A5F">
      <w:pPr>
        <w:spacing w:line="240" w:lineRule="auto"/>
        <w:ind w:firstLine="567"/>
        <w:jc w:val="both"/>
        <w:rPr>
          <w:rFonts w:ascii="Times New Roman" w:hAnsi="Times New Roman" w:cs="Times New Roman"/>
          <w:sz w:val="24"/>
          <w:lang w:val="en-US"/>
        </w:rPr>
      </w:pPr>
      <w:r w:rsidRPr="00B41662">
        <w:rPr>
          <w:rFonts w:ascii="Times New Roman" w:hAnsi="Times New Roman" w:cs="Times New Roman"/>
          <w:sz w:val="24"/>
          <w:lang w:val="en-US"/>
        </w:rPr>
        <w:t>This pathology is characterized by a severe progressive course, being one of the main causes of mortality and disability in economically developed countries. Diffuse chronic liver diseases and cirrhosis are among the six leading causes of death in patients aged 35 to 60 years, accounting for 14 to 30 cases per 100,000 populations, with a worldwide mortality rate of approximately 2 million people per year on average</w:t>
      </w:r>
      <w:r w:rsidR="009F0949">
        <w:rPr>
          <w:rFonts w:ascii="Times New Roman" w:hAnsi="Times New Roman" w:cs="Times New Roman"/>
          <w:sz w:val="24"/>
          <w:lang w:val="en-US"/>
        </w:rPr>
        <w:t>.</w:t>
      </w:r>
      <w:r w:rsidR="009F0949" w:rsidRPr="009F0949">
        <w:rPr>
          <w:rFonts w:ascii="Times New Roman" w:hAnsi="Times New Roman" w:cs="Times New Roman"/>
          <w:sz w:val="24"/>
          <w:vertAlign w:val="superscript"/>
          <w:lang w:val="en-US"/>
        </w:rPr>
        <w:t xml:space="preserve"> [2]</w:t>
      </w:r>
    </w:p>
    <w:p w14:paraId="60096B66" w14:textId="77777777" w:rsidR="008025E0" w:rsidRPr="00566DE7" w:rsidRDefault="008025E0" w:rsidP="00117A5F">
      <w:pPr>
        <w:spacing w:line="240" w:lineRule="auto"/>
        <w:ind w:firstLine="567"/>
        <w:jc w:val="both"/>
        <w:rPr>
          <w:rFonts w:ascii="Times New Roman" w:hAnsi="Times New Roman" w:cs="Times New Roman"/>
          <w:sz w:val="24"/>
          <w:lang w:val="en-US"/>
        </w:rPr>
      </w:pPr>
      <w:bookmarkStart w:id="1" w:name="_GoBack"/>
      <w:r w:rsidRPr="008025E0">
        <w:rPr>
          <w:rFonts w:ascii="Times New Roman" w:hAnsi="Times New Roman" w:cs="Times New Roman"/>
          <w:i/>
          <w:sz w:val="24"/>
          <w:lang w:val="en-US"/>
        </w:rPr>
        <w:t>Purpose of the Review</w:t>
      </w:r>
      <w:r w:rsidRPr="008025E0">
        <w:rPr>
          <w:rFonts w:ascii="Times New Roman" w:hAnsi="Times New Roman" w:cs="Times New Roman"/>
          <w:sz w:val="24"/>
          <w:lang w:val="en-US"/>
        </w:rPr>
        <w:t xml:space="preserve">: </w:t>
      </w:r>
      <w:r w:rsidR="00566DE7" w:rsidRPr="00566DE7">
        <w:rPr>
          <w:rFonts w:ascii="Times New Roman" w:hAnsi="Times New Roman" w:cs="Times New Roman"/>
          <w:sz w:val="24"/>
          <w:lang w:val="en-US"/>
        </w:rPr>
        <w:t>to analyze domestic and foreign literature concerning the diagnosis, management, and treatment strategies employed for patients afflicted with virus-induced liver cirrhosis.</w:t>
      </w:r>
    </w:p>
    <w:bookmarkEnd w:id="1"/>
    <w:p w14:paraId="646A1AD8" w14:textId="7808FB8D" w:rsidR="008025E0" w:rsidRDefault="008B4270" w:rsidP="00117A5F">
      <w:pPr>
        <w:spacing w:line="240" w:lineRule="auto"/>
        <w:ind w:firstLine="567"/>
        <w:jc w:val="both"/>
        <w:rPr>
          <w:rFonts w:ascii="Times New Roman" w:hAnsi="Times New Roman" w:cs="Times New Roman"/>
          <w:sz w:val="24"/>
          <w:lang w:val="en-US"/>
        </w:rPr>
      </w:pPr>
      <w:r w:rsidRPr="008B4270">
        <w:rPr>
          <w:rFonts w:ascii="Times New Roman" w:hAnsi="Times New Roman" w:cs="Times New Roman"/>
          <w:i/>
          <w:sz w:val="24"/>
          <w:lang w:val="en-US"/>
        </w:rPr>
        <w:t>Methods</w:t>
      </w:r>
      <w:r>
        <w:rPr>
          <w:rFonts w:ascii="Times New Roman" w:hAnsi="Times New Roman" w:cs="Times New Roman"/>
          <w:sz w:val="24"/>
          <w:lang w:val="en-US"/>
        </w:rPr>
        <w:t xml:space="preserve">: </w:t>
      </w:r>
      <w:r w:rsidRPr="008B4270">
        <w:rPr>
          <w:rFonts w:ascii="Times New Roman" w:hAnsi="Times New Roman" w:cs="Times New Roman"/>
          <w:sz w:val="24"/>
          <w:lang w:val="en-US"/>
        </w:rPr>
        <w:t xml:space="preserve">We reviewed the literature from </w:t>
      </w:r>
      <w:r w:rsidR="00EF6EDC">
        <w:rPr>
          <w:rFonts w:ascii="Times New Roman" w:hAnsi="Times New Roman" w:cs="Times New Roman"/>
          <w:sz w:val="24"/>
          <w:lang w:val="en-US"/>
        </w:rPr>
        <w:t>2005–2024</w:t>
      </w:r>
      <w:r w:rsidRPr="008B4270">
        <w:rPr>
          <w:rFonts w:ascii="Times New Roman" w:hAnsi="Times New Roman" w:cs="Times New Roman"/>
          <w:sz w:val="24"/>
          <w:lang w:val="en-US"/>
        </w:rPr>
        <w:t xml:space="preserve"> to identify studies reporting perioperative outcomes in patients with cirrhosis according to surgical procedure and severity of cirrhosis. </w:t>
      </w:r>
      <w:r w:rsidR="00BE77D8">
        <w:rPr>
          <w:rFonts w:ascii="Times New Roman" w:hAnsi="Times New Roman" w:cs="Times New Roman"/>
          <w:sz w:val="24"/>
          <w:lang w:val="en-US"/>
        </w:rPr>
        <w:t>Total, w</w:t>
      </w:r>
      <w:r w:rsidRPr="008B4270">
        <w:rPr>
          <w:rFonts w:ascii="Times New Roman" w:hAnsi="Times New Roman" w:cs="Times New Roman"/>
          <w:sz w:val="24"/>
          <w:lang w:val="en-US"/>
        </w:rPr>
        <w:t xml:space="preserve">e identified 87 studies, extracted study design elements, and reported perioperative outcomes by type of surgical procedure, Child-Turcotte-Pugh (CTP) class, or </w:t>
      </w:r>
      <w:r w:rsidR="0049737B">
        <w:rPr>
          <w:rFonts w:ascii="Times New Roman" w:hAnsi="Times New Roman" w:cs="Times New Roman"/>
          <w:sz w:val="24"/>
          <w:lang w:val="en-US"/>
        </w:rPr>
        <w:t>Model for End-stage Liver Disease (</w:t>
      </w:r>
      <w:r w:rsidRPr="0049737B">
        <w:rPr>
          <w:rFonts w:ascii="Times New Roman" w:hAnsi="Times New Roman" w:cs="Times New Roman"/>
          <w:sz w:val="24"/>
          <w:lang w:val="en-US"/>
        </w:rPr>
        <w:t>MELD</w:t>
      </w:r>
      <w:r w:rsidR="0049737B">
        <w:rPr>
          <w:rFonts w:ascii="Times New Roman" w:hAnsi="Times New Roman" w:cs="Times New Roman"/>
          <w:sz w:val="24"/>
          <w:lang w:val="en-US"/>
        </w:rPr>
        <w:t>)</w:t>
      </w:r>
      <w:r w:rsidRPr="008B4270">
        <w:rPr>
          <w:rFonts w:ascii="Times New Roman" w:hAnsi="Times New Roman" w:cs="Times New Roman"/>
          <w:sz w:val="24"/>
          <w:lang w:val="en-US"/>
        </w:rPr>
        <w:t xml:space="preserve"> score in each.</w:t>
      </w:r>
    </w:p>
    <w:p w14:paraId="5594B4CC" w14:textId="1F47D6F8" w:rsidR="00EF6EDC" w:rsidRDefault="00EF6EDC" w:rsidP="00117A5F">
      <w:pPr>
        <w:spacing w:line="240" w:lineRule="auto"/>
        <w:ind w:firstLine="567"/>
        <w:jc w:val="both"/>
        <w:rPr>
          <w:rFonts w:ascii="Times New Roman" w:hAnsi="Times New Roman" w:cs="Times New Roman"/>
          <w:sz w:val="24"/>
          <w:lang w:val="en-US"/>
        </w:rPr>
      </w:pPr>
      <w:r w:rsidRPr="00EF6EDC">
        <w:rPr>
          <w:rFonts w:ascii="Times New Roman" w:hAnsi="Times New Roman" w:cs="Times New Roman"/>
          <w:i/>
          <w:sz w:val="24"/>
          <w:lang w:val="en-US"/>
        </w:rPr>
        <w:t>Results</w:t>
      </w:r>
      <w:r>
        <w:rPr>
          <w:rFonts w:ascii="Times New Roman" w:hAnsi="Times New Roman" w:cs="Times New Roman"/>
          <w:sz w:val="24"/>
          <w:lang w:val="en-US"/>
        </w:rPr>
        <w:t xml:space="preserve">: </w:t>
      </w:r>
      <w:r w:rsidRPr="00EF6EDC">
        <w:rPr>
          <w:rFonts w:ascii="Times New Roman" w:hAnsi="Times New Roman" w:cs="Times New Roman"/>
          <w:sz w:val="24"/>
          <w:lang w:val="en-US"/>
        </w:rPr>
        <w:t>In general, patients with cirrhosis exhibit perioper</w:t>
      </w:r>
      <w:r>
        <w:rPr>
          <w:rFonts w:ascii="Times New Roman" w:hAnsi="Times New Roman" w:cs="Times New Roman"/>
          <w:sz w:val="24"/>
          <w:lang w:val="en-US"/>
        </w:rPr>
        <w:t xml:space="preserve">ative mortality rates that are </w:t>
      </w:r>
      <w:r w:rsidR="00310819" w:rsidRPr="00310819">
        <w:rPr>
          <w:rFonts w:ascii="Times New Roman" w:hAnsi="Times New Roman" w:cs="Times New Roman"/>
          <w:color w:val="000000" w:themeColor="text1"/>
          <w:sz w:val="24"/>
          <w:lang w:val="en-US"/>
        </w:rPr>
        <w:t xml:space="preserve">five–six </w:t>
      </w:r>
      <w:r w:rsidRPr="00EF6EDC">
        <w:rPr>
          <w:rFonts w:ascii="Times New Roman" w:hAnsi="Times New Roman" w:cs="Times New Roman"/>
          <w:sz w:val="24"/>
          <w:lang w:val="en-US"/>
        </w:rPr>
        <w:t xml:space="preserve">times higher than those without cirrhosis, with variations depending on the extent of liver dysfunction. </w:t>
      </w:r>
      <w:r w:rsidR="00FF39FF" w:rsidRPr="00FF39FF">
        <w:rPr>
          <w:rFonts w:ascii="Times New Roman" w:hAnsi="Times New Roman" w:cs="Times New Roman"/>
          <w:sz w:val="24"/>
          <w:vertAlign w:val="superscript"/>
          <w:lang w:val="en-US"/>
        </w:rPr>
        <w:t>[3-5]</w:t>
      </w:r>
      <w:r w:rsidR="00FF39FF">
        <w:rPr>
          <w:rFonts w:ascii="Times New Roman" w:hAnsi="Times New Roman" w:cs="Times New Roman"/>
          <w:sz w:val="24"/>
          <w:lang w:val="en-US"/>
        </w:rPr>
        <w:t xml:space="preserve"> </w:t>
      </w:r>
      <w:r w:rsidR="003C5298" w:rsidRPr="003C5298">
        <w:rPr>
          <w:rFonts w:ascii="Times New Roman" w:hAnsi="Times New Roman" w:cs="Times New Roman"/>
          <w:sz w:val="24"/>
          <w:lang w:val="en-US"/>
        </w:rPr>
        <w:t>In gastrointestinal surgeries, the highest postoperative mortality rates are observed following colorectal resection (13%–26%), esophagectomy (11%–25%), and pancreaticoduodenectomy (11.9%–17%).</w:t>
      </w:r>
      <w:r w:rsidR="009C6BF5">
        <w:rPr>
          <w:rFonts w:ascii="Times New Roman" w:hAnsi="Times New Roman" w:cs="Times New Roman"/>
          <w:sz w:val="24"/>
          <w:lang w:val="en-US"/>
        </w:rPr>
        <w:t xml:space="preserve"> </w:t>
      </w:r>
      <w:r w:rsidR="009C6BF5" w:rsidRPr="009C6BF5">
        <w:rPr>
          <w:rFonts w:ascii="Times New Roman" w:hAnsi="Times New Roman" w:cs="Times New Roman"/>
          <w:sz w:val="24"/>
          <w:vertAlign w:val="superscript"/>
          <w:lang w:val="en-US"/>
        </w:rPr>
        <w:t>[6-7]</w:t>
      </w:r>
      <w:r w:rsidR="003C5298" w:rsidRPr="003C5298">
        <w:rPr>
          <w:rFonts w:ascii="Times New Roman" w:hAnsi="Times New Roman" w:cs="Times New Roman"/>
          <w:sz w:val="24"/>
          <w:lang w:val="en-US"/>
        </w:rPr>
        <w:t xml:space="preserve"> Conversely, the lowest postoperative mortality rates are typically associated with laparoscopic cholecystectomy and elective uncomplicated hernia repair (0% in most studies). </w:t>
      </w:r>
      <w:r w:rsidR="009C6BF5" w:rsidRPr="009C6BF5">
        <w:rPr>
          <w:rFonts w:ascii="Times New Roman" w:hAnsi="Times New Roman" w:cs="Times New Roman"/>
          <w:sz w:val="24"/>
          <w:vertAlign w:val="superscript"/>
          <w:lang w:val="en-US"/>
        </w:rPr>
        <w:t>[8]</w:t>
      </w:r>
      <w:r w:rsidR="009C6BF5">
        <w:rPr>
          <w:rFonts w:ascii="Times New Roman" w:hAnsi="Times New Roman" w:cs="Times New Roman"/>
          <w:sz w:val="24"/>
          <w:lang w:val="en-US"/>
        </w:rPr>
        <w:t xml:space="preserve"> </w:t>
      </w:r>
      <w:r w:rsidR="003C5298" w:rsidRPr="003C5298">
        <w:rPr>
          <w:rFonts w:ascii="Times New Roman" w:hAnsi="Times New Roman" w:cs="Times New Roman"/>
          <w:sz w:val="24"/>
          <w:lang w:val="en-US"/>
        </w:rPr>
        <w:t>Notably, coronary artery bypass graft and valvular heart surgeries demonstrate elevated mortality rates, while elective hip and knee replacements are charact</w:t>
      </w:r>
      <w:r w:rsidR="009C6BF5">
        <w:rPr>
          <w:rFonts w:ascii="Times New Roman" w:hAnsi="Times New Roman" w:cs="Times New Roman"/>
          <w:sz w:val="24"/>
          <w:lang w:val="en-US"/>
        </w:rPr>
        <w:t>erized by lower mortality rates</w:t>
      </w:r>
      <w:r w:rsidR="009C6BF5" w:rsidRPr="009C6BF5">
        <w:rPr>
          <w:rFonts w:ascii="Times New Roman" w:hAnsi="Times New Roman" w:cs="Times New Roman"/>
          <w:sz w:val="24"/>
          <w:vertAlign w:val="superscript"/>
          <w:lang w:val="en-US"/>
        </w:rPr>
        <w:t>[3]</w:t>
      </w:r>
      <w:r w:rsidR="009C6BF5">
        <w:rPr>
          <w:rFonts w:ascii="Times New Roman" w:hAnsi="Times New Roman" w:cs="Times New Roman"/>
          <w:sz w:val="24"/>
          <w:lang w:val="en-US"/>
        </w:rPr>
        <w:t xml:space="preserve">. </w:t>
      </w:r>
      <w:r w:rsidR="003C5298">
        <w:rPr>
          <w:rFonts w:ascii="Times New Roman" w:hAnsi="Times New Roman" w:cs="Times New Roman"/>
          <w:sz w:val="24"/>
          <w:lang w:val="en-US"/>
        </w:rPr>
        <w:t>P</w:t>
      </w:r>
      <w:r w:rsidR="00307020" w:rsidRPr="00307020">
        <w:rPr>
          <w:rFonts w:ascii="Times New Roman" w:hAnsi="Times New Roman" w:cs="Times New Roman"/>
          <w:sz w:val="24"/>
          <w:lang w:val="en-US"/>
        </w:rPr>
        <w:t>atients diagnosed with compensated cirrhosis (CTP Class A, or MELD&lt;10) and limited comorbidities typically exhibit favorable surgical tolerance. In the case of CTP Class B individuals (MELD 11–15), characterized by moderate risk, careful assessment of the risks and benefits of elective surgery is imperative. Preoperative optimization and vigilant perioperative monitoring are indispensable for this cohort. Conversely, patients categorized as CTP Class C (MELD&gt;15) face elevated mortality risks, necessitating consideration of liver transplantation or alternative therapeutic approaches over surgical intervention.</w:t>
      </w:r>
      <w:r w:rsidR="00117A5F">
        <w:rPr>
          <w:rFonts w:ascii="Times New Roman" w:hAnsi="Times New Roman" w:cs="Times New Roman"/>
          <w:sz w:val="24"/>
          <w:lang w:val="en-US"/>
        </w:rPr>
        <w:t xml:space="preserve"> </w:t>
      </w:r>
      <w:r w:rsidR="00117A5F" w:rsidRPr="00117A5F">
        <w:rPr>
          <w:rFonts w:ascii="Times New Roman" w:hAnsi="Times New Roman" w:cs="Times New Roman"/>
          <w:sz w:val="24"/>
          <w:vertAlign w:val="superscript"/>
          <w:lang w:val="en-US"/>
        </w:rPr>
        <w:t>[4-5]</w:t>
      </w:r>
      <w:r w:rsidRPr="00EF6EDC">
        <w:rPr>
          <w:rFonts w:ascii="Times New Roman" w:hAnsi="Times New Roman" w:cs="Times New Roman"/>
          <w:sz w:val="24"/>
          <w:lang w:val="en-US"/>
        </w:rPr>
        <w:t xml:space="preserve"> </w:t>
      </w:r>
      <w:r w:rsidR="003C5298" w:rsidRPr="003C5298">
        <w:rPr>
          <w:rFonts w:ascii="Times New Roman" w:hAnsi="Times New Roman" w:cs="Times New Roman"/>
          <w:sz w:val="24"/>
          <w:lang w:val="en-US"/>
        </w:rPr>
        <w:t xml:space="preserve">In cases where patients are potential candidates for transplantation and necessitate a non-urgent operation beforehand, it is advisable to initiate a transplant work-up before surgery. This approach facilitates prompt listing for organ transplantation should post-operative hepatic failure occur. Existing cohort studies predominantly focus on postoperative rescue transplantation, particularly in </w:t>
      </w:r>
      <w:r w:rsidR="003C5298" w:rsidRPr="003C5298">
        <w:rPr>
          <w:rFonts w:ascii="Times New Roman" w:hAnsi="Times New Roman" w:cs="Times New Roman"/>
          <w:sz w:val="24"/>
          <w:lang w:val="en-US"/>
        </w:rPr>
        <w:lastRenderedPageBreak/>
        <w:t>instances of post-hepatectomy acute liver failure.</w:t>
      </w:r>
      <w:r w:rsidR="00117A5F">
        <w:rPr>
          <w:rFonts w:ascii="Times New Roman" w:hAnsi="Times New Roman" w:cs="Times New Roman"/>
          <w:sz w:val="24"/>
          <w:lang w:val="en-US"/>
        </w:rPr>
        <w:t xml:space="preserve"> </w:t>
      </w:r>
      <w:r w:rsidR="00117A5F" w:rsidRPr="00117A5F">
        <w:rPr>
          <w:rFonts w:ascii="Times New Roman" w:hAnsi="Times New Roman" w:cs="Times New Roman"/>
          <w:sz w:val="24"/>
          <w:vertAlign w:val="superscript"/>
          <w:lang w:val="en-US"/>
        </w:rPr>
        <w:t>[8]</w:t>
      </w:r>
      <w:r w:rsidR="003C5298" w:rsidRPr="003C5298">
        <w:rPr>
          <w:rFonts w:ascii="Times New Roman" w:hAnsi="Times New Roman" w:cs="Times New Roman"/>
          <w:sz w:val="24"/>
          <w:lang w:val="en-US"/>
        </w:rPr>
        <w:t xml:space="preserve"> Despite the associated morbidity, transplantation emerges as a crucial, potentially life-saving intervention for a condition otherwise deemed fatal.</w:t>
      </w:r>
      <w:r w:rsidR="003C5298">
        <w:rPr>
          <w:rFonts w:ascii="Times New Roman" w:hAnsi="Times New Roman" w:cs="Times New Roman"/>
          <w:sz w:val="24"/>
          <w:lang w:val="en-US"/>
        </w:rPr>
        <w:t xml:space="preserve"> </w:t>
      </w:r>
      <w:r w:rsidRPr="00EF6EDC">
        <w:rPr>
          <w:rFonts w:ascii="Times New Roman" w:hAnsi="Times New Roman" w:cs="Times New Roman"/>
          <w:sz w:val="24"/>
          <w:lang w:val="en-US"/>
        </w:rPr>
        <w:t>Unfortunately, the available literature on perioperative management of cirrhotic patients is limited, primarily relying on case series and expert opinions for guidance. The existing risk calculators are deemed insufficient for comprehensive risk assessment in this population.</w:t>
      </w:r>
    </w:p>
    <w:p w14:paraId="44E8D844" w14:textId="77777777" w:rsidR="00EF6EDC" w:rsidRDefault="00EF6EDC" w:rsidP="00117A5F">
      <w:pPr>
        <w:spacing w:line="240" w:lineRule="auto"/>
        <w:ind w:firstLine="567"/>
        <w:jc w:val="both"/>
        <w:rPr>
          <w:rFonts w:ascii="Times New Roman" w:hAnsi="Times New Roman" w:cs="Times New Roman"/>
          <w:sz w:val="24"/>
          <w:lang w:val="en-US"/>
        </w:rPr>
      </w:pPr>
      <w:r w:rsidRPr="00EF6EDC">
        <w:rPr>
          <w:rFonts w:ascii="Times New Roman" w:hAnsi="Times New Roman" w:cs="Times New Roman"/>
          <w:i/>
          <w:sz w:val="24"/>
          <w:lang w:val="en-US"/>
        </w:rPr>
        <w:t>Conclusion</w:t>
      </w:r>
      <w:r>
        <w:rPr>
          <w:rFonts w:ascii="Times New Roman" w:hAnsi="Times New Roman" w:cs="Times New Roman"/>
          <w:sz w:val="24"/>
          <w:lang w:val="en-US"/>
        </w:rPr>
        <w:t xml:space="preserve">: </w:t>
      </w:r>
      <w:r w:rsidRPr="00EF6EDC">
        <w:rPr>
          <w:rFonts w:ascii="Times New Roman" w:hAnsi="Times New Roman" w:cs="Times New Roman"/>
          <w:sz w:val="24"/>
          <w:lang w:val="en-US"/>
        </w:rPr>
        <w:t>The severity of liver dysfunction, concurrent medical conditions, and the nature and complexity of the surgical procedure, particularly whether it is elective or emergent, collectively influence the perioperative mortality and morbidity rates in patients with cirrhosis. Existing clinical research on risk assessment and perioperative management in this population is subject to significant limitations, underscoring the need for further investigation and refinement.</w:t>
      </w:r>
    </w:p>
    <w:p w14:paraId="33BD8098" w14:textId="77777777" w:rsidR="00117A5F" w:rsidRPr="00117A5F" w:rsidRDefault="00117A5F" w:rsidP="00117A5F">
      <w:pPr>
        <w:spacing w:line="240" w:lineRule="auto"/>
        <w:ind w:firstLine="567"/>
        <w:jc w:val="both"/>
        <w:rPr>
          <w:rFonts w:ascii="Times New Roman" w:hAnsi="Times New Roman" w:cs="Times New Roman"/>
          <w:sz w:val="24"/>
          <w:lang w:val="en-US"/>
        </w:rPr>
      </w:pPr>
      <w:r w:rsidRPr="00117A5F">
        <w:rPr>
          <w:rFonts w:ascii="Times New Roman" w:hAnsi="Times New Roman" w:cs="Times New Roman"/>
          <w:i/>
          <w:sz w:val="24"/>
          <w:lang w:val="en-US"/>
        </w:rPr>
        <w:t>References</w:t>
      </w:r>
      <w:r w:rsidRPr="00117A5F">
        <w:rPr>
          <w:rFonts w:ascii="Times New Roman" w:hAnsi="Times New Roman" w:cs="Times New Roman"/>
          <w:sz w:val="24"/>
          <w:lang w:val="en-US"/>
        </w:rPr>
        <w:t xml:space="preserve">: </w:t>
      </w:r>
    </w:p>
    <w:p w14:paraId="07FB2389" w14:textId="77777777" w:rsidR="009F0949" w:rsidRPr="00215700" w:rsidRDefault="009F0949" w:rsidP="00117A5F">
      <w:pPr>
        <w:spacing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 xml:space="preserve">1. </w:t>
      </w:r>
      <w:r w:rsidRPr="009F0949">
        <w:rPr>
          <w:rFonts w:ascii="Times New Roman" w:hAnsi="Times New Roman" w:cs="Times New Roman"/>
          <w:sz w:val="24"/>
          <w:lang w:val="en-US"/>
        </w:rPr>
        <w:t xml:space="preserve">Northup PG, Friedman LS, Kamath PS. AGA Clinical Practice Update: Surgical Risk Assessment and Perioperative Management in Cirrhosis. </w:t>
      </w:r>
      <w:r w:rsidRPr="00215700">
        <w:rPr>
          <w:rFonts w:ascii="Times New Roman" w:hAnsi="Times New Roman" w:cs="Times New Roman"/>
          <w:sz w:val="24"/>
          <w:lang w:val="en-US"/>
        </w:rPr>
        <w:t>Clinical gastroenterology and hepatology. 2018</w:t>
      </w:r>
    </w:p>
    <w:p w14:paraId="488EE9DA" w14:textId="77777777" w:rsidR="009F0949" w:rsidRPr="00215700" w:rsidRDefault="009F0949" w:rsidP="00117A5F">
      <w:pPr>
        <w:spacing w:line="240" w:lineRule="auto"/>
        <w:ind w:firstLine="567"/>
        <w:jc w:val="both"/>
        <w:rPr>
          <w:rFonts w:ascii="Times New Roman" w:hAnsi="Times New Roman" w:cs="Times New Roman"/>
          <w:sz w:val="24"/>
          <w:lang w:val="en-US"/>
        </w:rPr>
      </w:pPr>
      <w:r w:rsidRPr="00215700">
        <w:rPr>
          <w:rFonts w:ascii="Times New Roman" w:hAnsi="Times New Roman" w:cs="Times New Roman"/>
          <w:sz w:val="24"/>
          <w:lang w:val="en-US"/>
        </w:rPr>
        <w:t xml:space="preserve">2. </w:t>
      </w:r>
      <w:r w:rsidR="00DA0641" w:rsidRPr="00DA0641">
        <w:rPr>
          <w:rFonts w:ascii="Times New Roman" w:hAnsi="Times New Roman" w:cs="Times New Roman"/>
          <w:sz w:val="24"/>
          <w:lang w:val="en-US"/>
        </w:rPr>
        <w:t>https</w:t>
      </w:r>
      <w:r w:rsidR="00DA0641" w:rsidRPr="00215700">
        <w:rPr>
          <w:rFonts w:ascii="Times New Roman" w:hAnsi="Times New Roman" w:cs="Times New Roman"/>
          <w:sz w:val="24"/>
          <w:lang w:val="en-US"/>
        </w:rPr>
        <w:t>://</w:t>
      </w:r>
      <w:r w:rsidR="00DA0641" w:rsidRPr="00DA0641">
        <w:rPr>
          <w:rFonts w:ascii="Times New Roman" w:hAnsi="Times New Roman" w:cs="Times New Roman"/>
          <w:sz w:val="24"/>
          <w:lang w:val="en-US"/>
        </w:rPr>
        <w:t>www</w:t>
      </w:r>
      <w:r w:rsidR="00DA0641" w:rsidRPr="00215700">
        <w:rPr>
          <w:rFonts w:ascii="Times New Roman" w:hAnsi="Times New Roman" w:cs="Times New Roman"/>
          <w:sz w:val="24"/>
          <w:lang w:val="en-US"/>
        </w:rPr>
        <w:t>.</w:t>
      </w:r>
      <w:r w:rsidR="00DA0641" w:rsidRPr="00DA0641">
        <w:rPr>
          <w:rFonts w:ascii="Times New Roman" w:hAnsi="Times New Roman" w:cs="Times New Roman"/>
          <w:sz w:val="24"/>
          <w:lang w:val="en-US"/>
        </w:rPr>
        <w:t>who</w:t>
      </w:r>
      <w:r w:rsidR="00DA0641" w:rsidRPr="00215700">
        <w:rPr>
          <w:rFonts w:ascii="Times New Roman" w:hAnsi="Times New Roman" w:cs="Times New Roman"/>
          <w:sz w:val="24"/>
          <w:lang w:val="en-US"/>
        </w:rPr>
        <w:t>.</w:t>
      </w:r>
      <w:r w:rsidR="00DA0641" w:rsidRPr="00DA0641">
        <w:rPr>
          <w:rFonts w:ascii="Times New Roman" w:hAnsi="Times New Roman" w:cs="Times New Roman"/>
          <w:sz w:val="24"/>
          <w:lang w:val="en-US"/>
        </w:rPr>
        <w:t>int</w:t>
      </w:r>
      <w:r w:rsidR="00DA0641" w:rsidRPr="00215700">
        <w:rPr>
          <w:rFonts w:ascii="Times New Roman" w:hAnsi="Times New Roman" w:cs="Times New Roman"/>
          <w:sz w:val="24"/>
          <w:lang w:val="en-US"/>
        </w:rPr>
        <w:t>/</w:t>
      </w:r>
      <w:r w:rsidR="00DA0641" w:rsidRPr="00DA0641">
        <w:rPr>
          <w:rFonts w:ascii="Times New Roman" w:hAnsi="Times New Roman" w:cs="Times New Roman"/>
          <w:sz w:val="24"/>
          <w:lang w:val="en-US"/>
        </w:rPr>
        <w:t>ru</w:t>
      </w:r>
      <w:r w:rsidR="00DA0641" w:rsidRPr="00215700">
        <w:rPr>
          <w:rFonts w:ascii="Times New Roman" w:hAnsi="Times New Roman" w:cs="Times New Roman"/>
          <w:sz w:val="24"/>
          <w:lang w:val="en-US"/>
        </w:rPr>
        <w:t>/</w:t>
      </w:r>
      <w:r w:rsidR="00DA0641" w:rsidRPr="00DA0641">
        <w:rPr>
          <w:rFonts w:ascii="Times New Roman" w:hAnsi="Times New Roman" w:cs="Times New Roman"/>
          <w:sz w:val="24"/>
          <w:lang w:val="en-US"/>
        </w:rPr>
        <w:t>news</w:t>
      </w:r>
      <w:r w:rsidR="00DA0641" w:rsidRPr="00215700">
        <w:rPr>
          <w:rFonts w:ascii="Times New Roman" w:hAnsi="Times New Roman" w:cs="Times New Roman"/>
          <w:sz w:val="24"/>
          <w:lang w:val="en-US"/>
        </w:rPr>
        <w:t>-</w:t>
      </w:r>
      <w:r w:rsidR="00DA0641" w:rsidRPr="00DA0641">
        <w:rPr>
          <w:rFonts w:ascii="Times New Roman" w:hAnsi="Times New Roman" w:cs="Times New Roman"/>
          <w:sz w:val="24"/>
          <w:lang w:val="en-US"/>
        </w:rPr>
        <w:t>room</w:t>
      </w:r>
      <w:r w:rsidR="00DA0641" w:rsidRPr="00215700">
        <w:rPr>
          <w:rFonts w:ascii="Times New Roman" w:hAnsi="Times New Roman" w:cs="Times New Roman"/>
          <w:sz w:val="24"/>
          <w:lang w:val="en-US"/>
        </w:rPr>
        <w:t>/</w:t>
      </w:r>
      <w:r w:rsidR="00DA0641" w:rsidRPr="00DA0641">
        <w:rPr>
          <w:rFonts w:ascii="Times New Roman" w:hAnsi="Times New Roman" w:cs="Times New Roman"/>
          <w:sz w:val="24"/>
          <w:lang w:val="en-US"/>
        </w:rPr>
        <w:t>feature</w:t>
      </w:r>
      <w:r w:rsidR="00DA0641" w:rsidRPr="00215700">
        <w:rPr>
          <w:rFonts w:ascii="Times New Roman" w:hAnsi="Times New Roman" w:cs="Times New Roman"/>
          <w:sz w:val="24"/>
          <w:lang w:val="en-US"/>
        </w:rPr>
        <w:t>-</w:t>
      </w:r>
      <w:r w:rsidR="00DA0641" w:rsidRPr="00DA0641">
        <w:rPr>
          <w:rFonts w:ascii="Times New Roman" w:hAnsi="Times New Roman" w:cs="Times New Roman"/>
          <w:sz w:val="24"/>
          <w:lang w:val="en-US"/>
        </w:rPr>
        <w:t>stories</w:t>
      </w:r>
      <w:r w:rsidR="00DA0641" w:rsidRPr="00215700">
        <w:rPr>
          <w:rFonts w:ascii="Times New Roman" w:hAnsi="Times New Roman" w:cs="Times New Roman"/>
          <w:sz w:val="24"/>
          <w:lang w:val="en-US"/>
        </w:rPr>
        <w:t>/</w:t>
      </w:r>
      <w:r w:rsidR="00DA0641" w:rsidRPr="00DA0641">
        <w:rPr>
          <w:rFonts w:ascii="Times New Roman" w:hAnsi="Times New Roman" w:cs="Times New Roman"/>
          <w:sz w:val="24"/>
          <w:lang w:val="en-US"/>
        </w:rPr>
        <w:t>detail</w:t>
      </w:r>
      <w:r w:rsidR="00DA0641" w:rsidRPr="00215700">
        <w:rPr>
          <w:rFonts w:ascii="Times New Roman" w:hAnsi="Times New Roman" w:cs="Times New Roman"/>
          <w:sz w:val="24"/>
          <w:lang w:val="en-US"/>
        </w:rPr>
        <w:t>/</w:t>
      </w:r>
      <w:r w:rsidR="00DA0641" w:rsidRPr="00DA0641">
        <w:rPr>
          <w:rFonts w:ascii="Times New Roman" w:hAnsi="Times New Roman" w:cs="Times New Roman"/>
          <w:sz w:val="24"/>
          <w:lang w:val="en-US"/>
        </w:rPr>
        <w:t>kazakhstan</w:t>
      </w:r>
      <w:r w:rsidR="00DA0641" w:rsidRPr="00215700">
        <w:rPr>
          <w:rFonts w:ascii="Times New Roman" w:hAnsi="Times New Roman" w:cs="Times New Roman"/>
          <w:sz w:val="24"/>
          <w:lang w:val="en-US"/>
        </w:rPr>
        <w:t>-</w:t>
      </w:r>
      <w:r w:rsidR="00DA0641" w:rsidRPr="00DA0641">
        <w:rPr>
          <w:rFonts w:ascii="Times New Roman" w:hAnsi="Times New Roman" w:cs="Times New Roman"/>
          <w:sz w:val="24"/>
          <w:lang w:val="en-US"/>
        </w:rPr>
        <w:t>is</w:t>
      </w:r>
      <w:r w:rsidR="00DA0641" w:rsidRPr="00215700">
        <w:rPr>
          <w:rFonts w:ascii="Times New Roman" w:hAnsi="Times New Roman" w:cs="Times New Roman"/>
          <w:sz w:val="24"/>
          <w:lang w:val="en-US"/>
        </w:rPr>
        <w:t>-</w:t>
      </w:r>
      <w:r w:rsidR="00DA0641" w:rsidRPr="00DA0641">
        <w:rPr>
          <w:rFonts w:ascii="Times New Roman" w:hAnsi="Times New Roman" w:cs="Times New Roman"/>
          <w:sz w:val="24"/>
          <w:lang w:val="en-US"/>
        </w:rPr>
        <w:t>leading</w:t>
      </w:r>
      <w:r w:rsidR="00DA0641" w:rsidRPr="00215700">
        <w:rPr>
          <w:rFonts w:ascii="Times New Roman" w:hAnsi="Times New Roman" w:cs="Times New Roman"/>
          <w:sz w:val="24"/>
          <w:lang w:val="en-US"/>
        </w:rPr>
        <w:t>-</w:t>
      </w:r>
      <w:r w:rsidR="00DA0641" w:rsidRPr="00DA0641">
        <w:rPr>
          <w:rFonts w:ascii="Times New Roman" w:hAnsi="Times New Roman" w:cs="Times New Roman"/>
          <w:sz w:val="24"/>
          <w:lang w:val="en-US"/>
        </w:rPr>
        <w:t>light</w:t>
      </w:r>
      <w:r w:rsidR="00DA0641" w:rsidRPr="00215700">
        <w:rPr>
          <w:rFonts w:ascii="Times New Roman" w:hAnsi="Times New Roman" w:cs="Times New Roman"/>
          <w:sz w:val="24"/>
          <w:lang w:val="en-US"/>
        </w:rPr>
        <w:t>-</w:t>
      </w:r>
      <w:r w:rsidR="00DA0641" w:rsidRPr="00DA0641">
        <w:rPr>
          <w:rFonts w:ascii="Times New Roman" w:hAnsi="Times New Roman" w:cs="Times New Roman"/>
          <w:sz w:val="24"/>
          <w:lang w:val="en-US"/>
        </w:rPr>
        <w:t>for</w:t>
      </w:r>
      <w:r w:rsidR="00DA0641" w:rsidRPr="00215700">
        <w:rPr>
          <w:rFonts w:ascii="Times New Roman" w:hAnsi="Times New Roman" w:cs="Times New Roman"/>
          <w:sz w:val="24"/>
          <w:lang w:val="en-US"/>
        </w:rPr>
        <w:t>-</w:t>
      </w:r>
      <w:r w:rsidR="00DA0641" w:rsidRPr="00DA0641">
        <w:rPr>
          <w:rFonts w:ascii="Times New Roman" w:hAnsi="Times New Roman" w:cs="Times New Roman"/>
          <w:sz w:val="24"/>
          <w:lang w:val="en-US"/>
        </w:rPr>
        <w:t>free</w:t>
      </w:r>
      <w:r w:rsidR="00DA0641" w:rsidRPr="00215700">
        <w:rPr>
          <w:rFonts w:ascii="Times New Roman" w:hAnsi="Times New Roman" w:cs="Times New Roman"/>
          <w:sz w:val="24"/>
          <w:lang w:val="en-US"/>
        </w:rPr>
        <w:t>-</w:t>
      </w:r>
      <w:r w:rsidR="00DA0641" w:rsidRPr="00DA0641">
        <w:rPr>
          <w:rFonts w:ascii="Times New Roman" w:hAnsi="Times New Roman" w:cs="Times New Roman"/>
          <w:sz w:val="24"/>
          <w:lang w:val="en-US"/>
        </w:rPr>
        <w:t>hepatitis</w:t>
      </w:r>
      <w:r w:rsidR="00DA0641" w:rsidRPr="00215700">
        <w:rPr>
          <w:rFonts w:ascii="Times New Roman" w:hAnsi="Times New Roman" w:cs="Times New Roman"/>
          <w:sz w:val="24"/>
          <w:lang w:val="en-US"/>
        </w:rPr>
        <w:t>-</w:t>
      </w:r>
      <w:r w:rsidR="00DA0641" w:rsidRPr="00DA0641">
        <w:rPr>
          <w:rFonts w:ascii="Times New Roman" w:hAnsi="Times New Roman" w:cs="Times New Roman"/>
          <w:sz w:val="24"/>
          <w:lang w:val="en-US"/>
        </w:rPr>
        <w:t>testing</w:t>
      </w:r>
      <w:r w:rsidR="00DA0641" w:rsidRPr="00215700">
        <w:rPr>
          <w:rFonts w:ascii="Times New Roman" w:hAnsi="Times New Roman" w:cs="Times New Roman"/>
          <w:sz w:val="24"/>
          <w:lang w:val="en-US"/>
        </w:rPr>
        <w:t>-</w:t>
      </w:r>
      <w:r w:rsidR="00DA0641" w:rsidRPr="00DA0641">
        <w:rPr>
          <w:rFonts w:ascii="Times New Roman" w:hAnsi="Times New Roman" w:cs="Times New Roman"/>
          <w:sz w:val="24"/>
          <w:lang w:val="en-US"/>
        </w:rPr>
        <w:t>and</w:t>
      </w:r>
      <w:r w:rsidR="00DA0641" w:rsidRPr="00215700">
        <w:rPr>
          <w:rFonts w:ascii="Times New Roman" w:hAnsi="Times New Roman" w:cs="Times New Roman"/>
          <w:sz w:val="24"/>
          <w:lang w:val="en-US"/>
        </w:rPr>
        <w:t>-</w:t>
      </w:r>
      <w:r w:rsidR="00DA0641" w:rsidRPr="00DA0641">
        <w:rPr>
          <w:rFonts w:ascii="Times New Roman" w:hAnsi="Times New Roman" w:cs="Times New Roman"/>
          <w:sz w:val="24"/>
          <w:lang w:val="en-US"/>
        </w:rPr>
        <w:t>treatment</w:t>
      </w:r>
      <w:r w:rsidR="00DA0641" w:rsidRPr="00215700">
        <w:rPr>
          <w:rFonts w:ascii="Times New Roman" w:hAnsi="Times New Roman" w:cs="Times New Roman"/>
          <w:sz w:val="24"/>
          <w:lang w:val="en-US"/>
        </w:rPr>
        <w:t>-</w:t>
      </w:r>
      <w:r w:rsidR="00DA0641" w:rsidRPr="00DA0641">
        <w:rPr>
          <w:rFonts w:ascii="Times New Roman" w:hAnsi="Times New Roman" w:cs="Times New Roman"/>
          <w:sz w:val="24"/>
          <w:lang w:val="en-US"/>
        </w:rPr>
        <w:t>in</w:t>
      </w:r>
      <w:r w:rsidR="00DA0641" w:rsidRPr="00215700">
        <w:rPr>
          <w:rFonts w:ascii="Times New Roman" w:hAnsi="Times New Roman" w:cs="Times New Roman"/>
          <w:sz w:val="24"/>
          <w:lang w:val="en-US"/>
        </w:rPr>
        <w:t>-</w:t>
      </w:r>
      <w:r w:rsidR="00DA0641" w:rsidRPr="00DA0641">
        <w:rPr>
          <w:rFonts w:ascii="Times New Roman" w:hAnsi="Times New Roman" w:cs="Times New Roman"/>
          <w:sz w:val="24"/>
          <w:lang w:val="en-US"/>
        </w:rPr>
        <w:t>central</w:t>
      </w:r>
      <w:r w:rsidR="00DA0641" w:rsidRPr="00215700">
        <w:rPr>
          <w:rFonts w:ascii="Times New Roman" w:hAnsi="Times New Roman" w:cs="Times New Roman"/>
          <w:sz w:val="24"/>
          <w:lang w:val="en-US"/>
        </w:rPr>
        <w:t>-</w:t>
      </w:r>
      <w:r w:rsidR="00DA0641" w:rsidRPr="00DA0641">
        <w:rPr>
          <w:rFonts w:ascii="Times New Roman" w:hAnsi="Times New Roman" w:cs="Times New Roman"/>
          <w:sz w:val="24"/>
          <w:lang w:val="en-US"/>
        </w:rPr>
        <w:t>asia</w:t>
      </w:r>
    </w:p>
    <w:p w14:paraId="2DAE3B0B" w14:textId="77777777" w:rsidR="00DA0641" w:rsidRDefault="009F0949" w:rsidP="00117A5F">
      <w:pPr>
        <w:spacing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 xml:space="preserve">3. </w:t>
      </w:r>
      <w:r w:rsidR="00DA0641" w:rsidRPr="00DA0641">
        <w:rPr>
          <w:rFonts w:ascii="Times New Roman" w:hAnsi="Times New Roman" w:cs="Times New Roman"/>
          <w:sz w:val="24"/>
          <w:lang w:val="en-US"/>
        </w:rPr>
        <w:t xml:space="preserve">Friedman LS. Surgery in the patient with liver disease. Transactions of the American Clinical and Climatological Association. 2010;121:192–204. [PubMed: 20697561] </w:t>
      </w:r>
    </w:p>
    <w:p w14:paraId="101BEF96" w14:textId="77777777" w:rsidR="00DA0641" w:rsidRDefault="00DA0641" w:rsidP="00117A5F">
      <w:pPr>
        <w:spacing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4</w:t>
      </w:r>
      <w:r w:rsidRPr="00DA0641">
        <w:rPr>
          <w:rFonts w:ascii="Times New Roman" w:hAnsi="Times New Roman" w:cs="Times New Roman"/>
          <w:sz w:val="24"/>
          <w:lang w:val="en-US"/>
        </w:rPr>
        <w:t xml:space="preserve">. de Goede B, Klitsie PJ, Lange JF, et al. Morbidity and mortality related to non-hepatic surgery in patients with liver cirrhosis: a systematic review. Best practice &amp; research Clinical gastroenterology. 2012;26(1):47–59. [PubMed: 22482525] </w:t>
      </w:r>
    </w:p>
    <w:p w14:paraId="1AC31820" w14:textId="77777777" w:rsidR="009F0949" w:rsidRPr="00215700" w:rsidRDefault="00DA0641" w:rsidP="00117A5F">
      <w:pPr>
        <w:spacing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5</w:t>
      </w:r>
      <w:r w:rsidRPr="00DA0641">
        <w:rPr>
          <w:rFonts w:ascii="Times New Roman" w:hAnsi="Times New Roman" w:cs="Times New Roman"/>
          <w:sz w:val="24"/>
          <w:lang w:val="en-US"/>
        </w:rPr>
        <w:t xml:space="preserve">. O’Leary JG, Yachimski PS, Friedman LS. Surgery in the patient with liver disease. Clinics in liver disease. </w:t>
      </w:r>
      <w:r w:rsidRPr="00215700">
        <w:rPr>
          <w:rFonts w:ascii="Times New Roman" w:hAnsi="Times New Roman" w:cs="Times New Roman"/>
          <w:sz w:val="24"/>
          <w:lang w:val="en-US"/>
        </w:rPr>
        <w:t>2009;13(2):211–31. [PubMed: 19442915]</w:t>
      </w:r>
    </w:p>
    <w:p w14:paraId="498133CE" w14:textId="77777777" w:rsidR="009C6BF5" w:rsidRPr="009C6BF5" w:rsidRDefault="009C6BF5" w:rsidP="00117A5F">
      <w:pPr>
        <w:spacing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 xml:space="preserve">6. </w:t>
      </w:r>
      <w:r w:rsidRPr="009C6BF5">
        <w:rPr>
          <w:rFonts w:ascii="Times New Roman" w:hAnsi="Times New Roman" w:cs="Times New Roman"/>
          <w:sz w:val="24"/>
          <w:lang w:val="en-US"/>
        </w:rPr>
        <w:t>Nguyen GC, Correia AJ, Thuluvath PJ. The impact of cirrhosis and portal hypertension on mortality following colorectal surgery: a nationwide, population-based study. Diseases of the colon and rectum. 2009;52(8):1367–74. [PubMed: 19617746]</w:t>
      </w:r>
    </w:p>
    <w:p w14:paraId="7CAD37CE" w14:textId="77777777" w:rsidR="009C6BF5" w:rsidRPr="009C6BF5" w:rsidRDefault="009C6BF5" w:rsidP="00117A5F">
      <w:pPr>
        <w:spacing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 xml:space="preserve">7. </w:t>
      </w:r>
      <w:r w:rsidRPr="009C6BF5">
        <w:rPr>
          <w:rFonts w:ascii="Times New Roman" w:hAnsi="Times New Roman" w:cs="Times New Roman"/>
          <w:sz w:val="24"/>
          <w:lang w:val="en-US"/>
        </w:rPr>
        <w:t>El Nakeeb A, Sultan AM, Salah T, et al. Impact of cirrhosis on surgical outcome after pancreaticoduodenectomy. World journal of gastroenterology. 2013;19(41):7129–37. [PubMed: 24222957]</w:t>
      </w:r>
    </w:p>
    <w:p w14:paraId="1C42CF1A" w14:textId="77777777" w:rsidR="009C6BF5" w:rsidRPr="009C6BF5" w:rsidRDefault="009C6BF5" w:rsidP="00117A5F">
      <w:pPr>
        <w:spacing w:line="240" w:lineRule="auto"/>
        <w:ind w:firstLine="567"/>
        <w:jc w:val="both"/>
        <w:rPr>
          <w:rFonts w:ascii="Times New Roman" w:hAnsi="Times New Roman" w:cs="Times New Roman"/>
          <w:sz w:val="24"/>
          <w:lang w:val="en-US"/>
        </w:rPr>
      </w:pPr>
      <w:r>
        <w:rPr>
          <w:rFonts w:ascii="Times New Roman" w:hAnsi="Times New Roman" w:cs="Times New Roman"/>
          <w:sz w:val="24"/>
          <w:lang w:val="en-US"/>
        </w:rPr>
        <w:t xml:space="preserve">8. </w:t>
      </w:r>
      <w:r w:rsidRPr="009C6BF5">
        <w:rPr>
          <w:rFonts w:ascii="Times New Roman" w:hAnsi="Times New Roman" w:cs="Times New Roman"/>
          <w:sz w:val="24"/>
          <w:lang w:val="en-US"/>
        </w:rPr>
        <w:t xml:space="preserve">Im GY, Lubezky N, Facciuto ME, et al. Surgery in patients with portal hypertension: a preoperative checklist and strategies for attenuating risk. </w:t>
      </w:r>
      <w:r w:rsidRPr="009C6BF5">
        <w:rPr>
          <w:rFonts w:ascii="Times New Roman" w:hAnsi="Times New Roman" w:cs="Times New Roman"/>
          <w:sz w:val="24"/>
        </w:rPr>
        <w:t>Clinics in liver disease. 2014;18(2):477–505. [PubMed: 24679507]</w:t>
      </w:r>
    </w:p>
    <w:sectPr w:rsidR="009C6BF5" w:rsidRPr="009C6BF5">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B69BB4" w16cex:dateUtc="2024-04-02T08:59:00Z"/>
  <w16cex:commentExtensible w16cex:durableId="29B69B7F" w16cex:dateUtc="2024-04-02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9FB683" w16cid:durableId="29B69BB4"/>
  <w16cid:commentId w16cid:paraId="6914D757" w16cid:durableId="29B69B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5C"/>
    <w:rsid w:val="0000413C"/>
    <w:rsid w:val="00117A5F"/>
    <w:rsid w:val="00215700"/>
    <w:rsid w:val="00307020"/>
    <w:rsid w:val="00310819"/>
    <w:rsid w:val="003C5298"/>
    <w:rsid w:val="0049737B"/>
    <w:rsid w:val="00566DE7"/>
    <w:rsid w:val="005A7FA1"/>
    <w:rsid w:val="00684AC4"/>
    <w:rsid w:val="006D4D2A"/>
    <w:rsid w:val="008025E0"/>
    <w:rsid w:val="00810E61"/>
    <w:rsid w:val="008B4270"/>
    <w:rsid w:val="008D56FA"/>
    <w:rsid w:val="009829A3"/>
    <w:rsid w:val="009C6BF5"/>
    <w:rsid w:val="009F0949"/>
    <w:rsid w:val="00A61D16"/>
    <w:rsid w:val="00B41662"/>
    <w:rsid w:val="00B6755C"/>
    <w:rsid w:val="00B846FE"/>
    <w:rsid w:val="00BE77D8"/>
    <w:rsid w:val="00DA0641"/>
    <w:rsid w:val="00DB1B67"/>
    <w:rsid w:val="00DE26AE"/>
    <w:rsid w:val="00E92746"/>
    <w:rsid w:val="00EC6A4B"/>
    <w:rsid w:val="00EF6EDC"/>
    <w:rsid w:val="00FF39FF"/>
    <w:rsid w:val="00FF5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9C8F"/>
  <w15:chartTrackingRefBased/>
  <w15:docId w15:val="{78351D68-9238-4909-9B41-2DAAFF3E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0949"/>
    <w:rPr>
      <w:color w:val="0563C1" w:themeColor="hyperlink"/>
      <w:u w:val="single"/>
    </w:rPr>
  </w:style>
  <w:style w:type="character" w:styleId="a4">
    <w:name w:val="FollowedHyperlink"/>
    <w:basedOn w:val="a0"/>
    <w:uiPriority w:val="99"/>
    <w:semiHidden/>
    <w:unhideWhenUsed/>
    <w:rsid w:val="009F0949"/>
    <w:rPr>
      <w:color w:val="954F72" w:themeColor="followedHyperlink"/>
      <w:u w:val="single"/>
    </w:rPr>
  </w:style>
  <w:style w:type="character" w:styleId="a5">
    <w:name w:val="annotation reference"/>
    <w:basedOn w:val="a0"/>
    <w:uiPriority w:val="99"/>
    <w:semiHidden/>
    <w:unhideWhenUsed/>
    <w:rsid w:val="00215700"/>
    <w:rPr>
      <w:sz w:val="16"/>
      <w:szCs w:val="16"/>
    </w:rPr>
  </w:style>
  <w:style w:type="paragraph" w:styleId="a6">
    <w:name w:val="annotation text"/>
    <w:basedOn w:val="a"/>
    <w:link w:val="a7"/>
    <w:uiPriority w:val="99"/>
    <w:semiHidden/>
    <w:unhideWhenUsed/>
    <w:rsid w:val="00215700"/>
    <w:pPr>
      <w:spacing w:line="240" w:lineRule="auto"/>
    </w:pPr>
    <w:rPr>
      <w:sz w:val="20"/>
      <w:szCs w:val="20"/>
    </w:rPr>
  </w:style>
  <w:style w:type="character" w:customStyle="1" w:styleId="a7">
    <w:name w:val="Текст примечания Знак"/>
    <w:basedOn w:val="a0"/>
    <w:link w:val="a6"/>
    <w:uiPriority w:val="99"/>
    <w:semiHidden/>
    <w:rsid w:val="00215700"/>
    <w:rPr>
      <w:sz w:val="20"/>
      <w:szCs w:val="20"/>
    </w:rPr>
  </w:style>
  <w:style w:type="paragraph" w:styleId="a8">
    <w:name w:val="annotation subject"/>
    <w:basedOn w:val="a6"/>
    <w:next w:val="a6"/>
    <w:link w:val="a9"/>
    <w:uiPriority w:val="99"/>
    <w:semiHidden/>
    <w:unhideWhenUsed/>
    <w:rsid w:val="00215700"/>
    <w:rPr>
      <w:b/>
      <w:bCs/>
    </w:rPr>
  </w:style>
  <w:style w:type="character" w:customStyle="1" w:styleId="a9">
    <w:name w:val="Тема примечания Знак"/>
    <w:basedOn w:val="a7"/>
    <w:link w:val="a8"/>
    <w:uiPriority w:val="99"/>
    <w:semiHidden/>
    <w:rsid w:val="00215700"/>
    <w:rPr>
      <w:b/>
      <w:bCs/>
      <w:sz w:val="20"/>
      <w:szCs w:val="20"/>
    </w:rPr>
  </w:style>
  <w:style w:type="paragraph" w:styleId="aa">
    <w:name w:val="Balloon Text"/>
    <w:basedOn w:val="a"/>
    <w:link w:val="ab"/>
    <w:uiPriority w:val="99"/>
    <w:semiHidden/>
    <w:unhideWhenUsed/>
    <w:rsid w:val="0021570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157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C2173-26A4-4C2D-B5BF-0CB98480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Pages>
  <Words>994</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2024-03-29T09:14:00Z</dcterms:created>
  <dcterms:modified xsi:type="dcterms:W3CDTF">2024-04-05T12:05:00Z</dcterms:modified>
</cp:coreProperties>
</file>