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C" w:rsidRDefault="008241CC" w:rsidP="008241CC">
      <w:pPr>
        <w:tabs>
          <w:tab w:val="left" w:pos="100"/>
        </w:tabs>
        <w:ind w:right="13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6"/>
          <w:szCs w:val="16"/>
        </w:rPr>
        <w:t xml:space="preserve">МАТЕРИАЛИ ЗА XVII МЕЖДУНАРОДНА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НАУЧНА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ПРАКТИЧНА КОНФЕРЕНЦИЯ</w:t>
      </w:r>
      <w:r>
        <w:rPr>
          <w:sz w:val="20"/>
          <w:szCs w:val="20"/>
        </w:rPr>
        <w:tab/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★ </w:t>
      </w:r>
      <w:r>
        <w:rPr>
          <w:rFonts w:ascii="Arial" w:eastAsia="Arial" w:hAnsi="Arial" w:cs="Arial"/>
          <w:b/>
          <w:bCs/>
          <w:sz w:val="16"/>
          <w:szCs w:val="16"/>
        </w:rPr>
        <w:t>17 -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25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март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, 2021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72" w:lineRule="exact"/>
        <w:rPr>
          <w:sz w:val="20"/>
          <w:szCs w:val="20"/>
        </w:rPr>
      </w:pPr>
    </w:p>
    <w:p w:rsidR="008241CC" w:rsidRDefault="008241CC" w:rsidP="008241CC">
      <w:pPr>
        <w:ind w:right="-66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243F60"/>
          <w:sz w:val="28"/>
          <w:szCs w:val="28"/>
        </w:rPr>
        <w:t>Майчин</w:t>
      </w:r>
      <w:proofErr w:type="spellEnd"/>
      <w:r>
        <w:rPr>
          <w:rFonts w:ascii="Arial" w:eastAsia="Arial" w:hAnsi="Arial" w:cs="Arial"/>
          <w:b/>
          <w:bCs/>
          <w:color w:val="243F6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43F60"/>
          <w:sz w:val="28"/>
          <w:szCs w:val="28"/>
        </w:rPr>
        <w:t>език</w:t>
      </w:r>
      <w:proofErr w:type="spellEnd"/>
      <w:r>
        <w:rPr>
          <w:rFonts w:ascii="Arial" w:eastAsia="Arial" w:hAnsi="Arial" w:cs="Arial"/>
          <w:b/>
          <w:bCs/>
          <w:color w:val="243F60"/>
          <w:sz w:val="28"/>
          <w:szCs w:val="28"/>
        </w:rPr>
        <w:t xml:space="preserve"> и литература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50" w:lineRule="exact"/>
        <w:rPr>
          <w:sz w:val="20"/>
          <w:szCs w:val="20"/>
        </w:rPr>
      </w:pPr>
    </w:p>
    <w:p w:rsidR="008241CC" w:rsidRDefault="008241CC" w:rsidP="008241CC">
      <w:pPr>
        <w:ind w:left="37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Д.ф.н. Абдулина А.Б.</w:t>
      </w:r>
    </w:p>
    <w:p w:rsidR="008241CC" w:rsidRDefault="008241CC" w:rsidP="008241CC">
      <w:pPr>
        <w:spacing w:line="196" w:lineRule="exact"/>
        <w:rPr>
          <w:sz w:val="20"/>
          <w:szCs w:val="20"/>
        </w:rPr>
      </w:pPr>
    </w:p>
    <w:p w:rsidR="008241CC" w:rsidRDefault="008241CC" w:rsidP="008241CC">
      <w:pPr>
        <w:ind w:left="8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Казахский национальный университет им. аль-Фараби, Казахстан</w:t>
      </w:r>
    </w:p>
    <w:p w:rsidR="008241CC" w:rsidRDefault="008241CC" w:rsidP="008241CC">
      <w:pPr>
        <w:spacing w:line="283" w:lineRule="exact"/>
        <w:rPr>
          <w:sz w:val="20"/>
          <w:szCs w:val="20"/>
        </w:rPr>
      </w:pPr>
    </w:p>
    <w:p w:rsidR="008241CC" w:rsidRDefault="008241CC" w:rsidP="008241CC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СТИЛЕВОЕ СВОЕОБРАЗИЕ ПРОЗЫ САТИМЖАНА САНБАЕВА</w:t>
      </w:r>
    </w:p>
    <w:p w:rsidR="008241CC" w:rsidRDefault="008241CC" w:rsidP="008241CC">
      <w:pPr>
        <w:spacing w:line="291" w:lineRule="exact"/>
        <w:rPr>
          <w:sz w:val="20"/>
          <w:szCs w:val="20"/>
        </w:rPr>
      </w:pPr>
    </w:p>
    <w:p w:rsidR="008241CC" w:rsidRDefault="008241CC" w:rsidP="008241CC">
      <w:pPr>
        <w:spacing w:line="311" w:lineRule="auto"/>
        <w:ind w:left="7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Творчество Сатимжана Санбаева служит показательным материалом для ответа на многие вопросы теории и истории современной литературы, в том числе по стилевым характеристикам. Рассказы, повести и романы писателя известны более чем в 30 странах мира. Получили широкое признание его романы «Ещё одно лето», «Таких дождей здесь не бывало», «Лист, скользящий по снегу», «Времена года нашей жизни», цикл повестей «Белая </w:t>
      </w:r>
      <w:proofErr w:type="spellStart"/>
      <w:r>
        <w:rPr>
          <w:rFonts w:eastAsia="Times New Roman"/>
          <w:sz w:val="28"/>
          <w:szCs w:val="28"/>
        </w:rPr>
        <w:t>аруана</w:t>
      </w:r>
      <w:proofErr w:type="spellEnd"/>
      <w:r>
        <w:rPr>
          <w:rFonts w:eastAsia="Times New Roman"/>
          <w:sz w:val="28"/>
          <w:szCs w:val="28"/>
        </w:rPr>
        <w:t xml:space="preserve">», прозаические переложения казахского богатырского и лирического эпоса, переводы Абая, </w:t>
      </w:r>
      <w:proofErr w:type="spellStart"/>
      <w:r>
        <w:rPr>
          <w:rFonts w:eastAsia="Times New Roman"/>
          <w:sz w:val="28"/>
          <w:szCs w:val="28"/>
        </w:rPr>
        <w:t>Ауэзова</w:t>
      </w:r>
      <w:proofErr w:type="spellEnd"/>
      <w:r>
        <w:rPr>
          <w:rFonts w:eastAsia="Times New Roman"/>
          <w:sz w:val="28"/>
          <w:szCs w:val="28"/>
        </w:rPr>
        <w:t xml:space="preserve"> и многих других авторов. Сатимжан </w:t>
      </w:r>
      <w:proofErr w:type="spellStart"/>
      <w:r>
        <w:rPr>
          <w:rFonts w:eastAsia="Times New Roman"/>
          <w:sz w:val="28"/>
          <w:szCs w:val="28"/>
        </w:rPr>
        <w:t>Камзиевич</w:t>
      </w:r>
      <w:proofErr w:type="spellEnd"/>
      <w:r>
        <w:rPr>
          <w:rFonts w:eastAsia="Times New Roman"/>
          <w:sz w:val="28"/>
          <w:szCs w:val="28"/>
        </w:rPr>
        <w:t xml:space="preserve">, классик казахской литературы, известен как киноактёр и кинодраматург, публицист и общественный деятель, лауреат престижных премий, в том числе </w:t>
      </w:r>
      <w:r>
        <w:rPr>
          <w:rFonts w:eastAsia="Times New Roman"/>
          <w:sz w:val="28"/>
          <w:szCs w:val="28"/>
          <w:u w:val="single"/>
        </w:rPr>
        <w:t>Союза писателей СССР</w:t>
      </w:r>
      <w:r>
        <w:rPr>
          <w:rFonts w:eastAsia="Times New Roman"/>
          <w:sz w:val="28"/>
          <w:szCs w:val="28"/>
        </w:rPr>
        <w:t xml:space="preserve"> за лучший роман о человеке труда «Медный колосс». В художественной структуре и стилевой ткани произведений писателя присутствуют как отчетливо различимые признаки романтизма, так и выраженные фольклорные мотивы. [1]</w:t>
      </w:r>
    </w:p>
    <w:p w:rsidR="008241CC" w:rsidRDefault="008241CC" w:rsidP="008241CC">
      <w:pPr>
        <w:spacing w:line="48" w:lineRule="exact"/>
        <w:rPr>
          <w:sz w:val="20"/>
          <w:szCs w:val="20"/>
        </w:rPr>
      </w:pPr>
    </w:p>
    <w:p w:rsidR="008241CC" w:rsidRDefault="008241CC" w:rsidP="008241CC">
      <w:pPr>
        <w:ind w:left="9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Определяющая для художественной философии писателя идея «жизни»</w:t>
      </w:r>
    </w:p>
    <w:p w:rsidR="008241CC" w:rsidRDefault="008241CC" w:rsidP="008241CC">
      <w:pPr>
        <w:spacing w:line="109" w:lineRule="exact"/>
        <w:rPr>
          <w:sz w:val="20"/>
          <w:szCs w:val="20"/>
        </w:rPr>
      </w:pPr>
    </w:p>
    <w:p w:rsidR="008241CC" w:rsidRDefault="008241CC" w:rsidP="008241CC">
      <w:pPr>
        <w:numPr>
          <w:ilvl w:val="0"/>
          <w:numId w:val="1"/>
        </w:numPr>
        <w:tabs>
          <w:tab w:val="left" w:pos="248"/>
        </w:tabs>
        <w:spacing w:line="323" w:lineRule="auto"/>
        <w:ind w:left="7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«свободы» порождает специфический способ художественного мышления, который является по своему существу философским и предполагает оригинальную установку на изображение жизни и связей человека с окружающим миром, с историческим прошлым, с судьбой Родины и народа. Стиль Санбаева – удивительное соединение стремительного развития сюжета, тонкого изящества литературного языка и яркого в своей точности и уместности «национального стиля» или второго стилевого слоя (по определению Ю. Борева).</w:t>
      </w:r>
    </w:p>
    <w:p w:rsidR="008241CC" w:rsidRDefault="008241CC" w:rsidP="008241CC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[2, 134 с.]</w:t>
      </w:r>
    </w:p>
    <w:p w:rsidR="008241CC" w:rsidRDefault="008241CC" w:rsidP="008241CC">
      <w:pPr>
        <w:spacing w:line="150" w:lineRule="exact"/>
        <w:rPr>
          <w:sz w:val="20"/>
          <w:szCs w:val="20"/>
        </w:rPr>
      </w:pPr>
    </w:p>
    <w:p w:rsidR="008241CC" w:rsidRDefault="008241CC" w:rsidP="008241CC">
      <w:pPr>
        <w:spacing w:line="307" w:lineRule="auto"/>
        <w:ind w:left="7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Художественная точность автора имеет выраженную эмоционально-психологическую основу. Выверенный отбор лексических единиц, из которых он конструирует реальность, реальность своего «вольного мира», подчинен</w:t>
      </w:r>
    </w:p>
    <w:p w:rsidR="008241CC" w:rsidRDefault="008241CC" w:rsidP="008241CC">
      <w:pPr>
        <w:spacing w:line="100" w:lineRule="exact"/>
        <w:rPr>
          <w:sz w:val="20"/>
          <w:szCs w:val="20"/>
        </w:rPr>
      </w:pPr>
    </w:p>
    <w:p w:rsidR="008241CC" w:rsidRDefault="008241CC" w:rsidP="008241CC">
      <w:pPr>
        <w:ind w:left="51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29</w:t>
      </w:r>
    </w:p>
    <w:p w:rsidR="008241CC" w:rsidRDefault="008241CC" w:rsidP="008241CC">
      <w:pPr>
        <w:sectPr w:rsidR="008241CC">
          <w:pgSz w:w="11900" w:h="16838"/>
          <w:pgMar w:top="442" w:right="1126" w:bottom="470" w:left="1133" w:header="0" w:footer="0" w:gutter="0"/>
          <w:cols w:space="720" w:equalWidth="0">
            <w:col w:w="9647"/>
          </w:cols>
        </w:sectPr>
      </w:pPr>
    </w:p>
    <w:p w:rsidR="008241CC" w:rsidRDefault="008241CC" w:rsidP="008241CC">
      <w:pPr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lastRenderedPageBreak/>
        <w:t>Найновите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научни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 постижения - 2021 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>★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Volume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 6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83" w:lineRule="exact"/>
        <w:rPr>
          <w:sz w:val="20"/>
          <w:szCs w:val="20"/>
        </w:rPr>
      </w:pPr>
    </w:p>
    <w:p w:rsidR="008241CC" w:rsidRDefault="008241CC" w:rsidP="008241CC">
      <w:pPr>
        <w:spacing w:line="30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четкому раскрытию образной перспективы. Особенно удаются писателю пейзажные зарисовки, в которых природа с её великолепием и одновременно реальными «некрасивостями» вторит переживаниям человека. Для художественного метода Санбаева характерно употребление ярких броских образных сравнений, метафор, эпитетов и определений:</w:t>
      </w:r>
    </w:p>
    <w:p w:rsidR="008241CC" w:rsidRDefault="008241CC" w:rsidP="008241CC">
      <w:pPr>
        <w:spacing w:line="61" w:lineRule="exact"/>
        <w:rPr>
          <w:sz w:val="20"/>
          <w:szCs w:val="20"/>
        </w:rPr>
      </w:pPr>
    </w:p>
    <w:p w:rsidR="008241CC" w:rsidRDefault="008241CC" w:rsidP="008241CC">
      <w:pPr>
        <w:spacing w:line="302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Саргыз</w:t>
      </w:r>
      <w:proofErr w:type="spellEnd"/>
      <w:r>
        <w:rPr>
          <w:rFonts w:eastAsia="Times New Roman"/>
          <w:sz w:val="28"/>
          <w:szCs w:val="28"/>
        </w:rPr>
        <w:t>, высокая и стройная, женщина удивительной красоты, стояла в тени дуба и задумчиво наблюдала за поединком» [1, 43 c.];</w:t>
      </w:r>
    </w:p>
    <w:p w:rsidR="008241CC" w:rsidRDefault="008241CC" w:rsidP="008241CC">
      <w:pPr>
        <w:spacing w:line="68" w:lineRule="exact"/>
        <w:rPr>
          <w:sz w:val="20"/>
          <w:szCs w:val="20"/>
        </w:rPr>
      </w:pPr>
    </w:p>
    <w:p w:rsidR="008241CC" w:rsidRDefault="008241CC" w:rsidP="008241CC">
      <w:pPr>
        <w:spacing w:line="301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«Серый в яблоках жеребец, редкой барсовой масти, скакал, кивая точеной головой и водя вокруг огненным взглядом» [1, 50 c.];</w:t>
      </w:r>
    </w:p>
    <w:p w:rsidR="008241CC" w:rsidRDefault="008241CC" w:rsidP="008241CC">
      <w:pPr>
        <w:spacing w:line="69" w:lineRule="exact"/>
        <w:rPr>
          <w:sz w:val="20"/>
          <w:szCs w:val="20"/>
        </w:rPr>
      </w:pPr>
    </w:p>
    <w:p w:rsidR="008241CC" w:rsidRDefault="008241CC" w:rsidP="008241CC">
      <w:pPr>
        <w:spacing w:line="322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«Длинноволосый юноша и жеребец удалились в искрометном беге, исчезли за очередным каменным водопадом, устроенным ими самими, растаяли, словно призраки, и вскоре гул лавины заглушил топот копыт» [1, 51 c.].</w:t>
      </w:r>
    </w:p>
    <w:p w:rsidR="008241CC" w:rsidRDefault="008241CC" w:rsidP="008241CC">
      <w:pPr>
        <w:spacing w:line="46" w:lineRule="exact"/>
        <w:rPr>
          <w:sz w:val="20"/>
          <w:szCs w:val="20"/>
        </w:rPr>
      </w:pPr>
    </w:p>
    <w:p w:rsidR="008241CC" w:rsidRDefault="008241CC" w:rsidP="008241CC">
      <w:pPr>
        <w:spacing w:line="30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Подобные поразительно пластичные, </w:t>
      </w:r>
      <w:proofErr w:type="spellStart"/>
      <w:r>
        <w:rPr>
          <w:rFonts w:eastAsia="Times New Roman"/>
          <w:sz w:val="28"/>
          <w:szCs w:val="28"/>
        </w:rPr>
        <w:t>полифоничные</w:t>
      </w:r>
      <w:proofErr w:type="spellEnd"/>
      <w:r>
        <w:rPr>
          <w:rFonts w:eastAsia="Times New Roman"/>
          <w:sz w:val="28"/>
          <w:szCs w:val="28"/>
        </w:rPr>
        <w:t>, рельефные фрагменты и составляют суть стилевого своеобразия и изящной художественности произведений Сатимжана Санбаева. Повышают экспрессию сравнения и метафоры, образные прилагательные, определяющие степень признаков, субъективную или объективную эмоциональную оценку:</w:t>
      </w:r>
    </w:p>
    <w:p w:rsidR="008241CC" w:rsidRDefault="008241CC" w:rsidP="008241CC">
      <w:pPr>
        <w:spacing w:line="61" w:lineRule="exact"/>
        <w:rPr>
          <w:sz w:val="20"/>
          <w:szCs w:val="20"/>
        </w:rPr>
      </w:pPr>
    </w:p>
    <w:p w:rsidR="008241CC" w:rsidRDefault="008241CC" w:rsidP="008241CC">
      <w:pPr>
        <w:spacing w:line="301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отрывистые трели жаворонков пронзали воздух, подобно ракетам, рвущим ночную тьму;</w:t>
      </w:r>
    </w:p>
    <w:p w:rsidR="008241CC" w:rsidRDefault="008241CC" w:rsidP="008241CC">
      <w:pPr>
        <w:spacing w:line="69" w:lineRule="exact"/>
        <w:rPr>
          <w:sz w:val="20"/>
          <w:szCs w:val="20"/>
        </w:rPr>
      </w:pPr>
    </w:p>
    <w:p w:rsidR="008241CC" w:rsidRDefault="008241CC" w:rsidP="008241CC">
      <w:pPr>
        <w:numPr>
          <w:ilvl w:val="0"/>
          <w:numId w:val="2"/>
        </w:numPr>
        <w:tabs>
          <w:tab w:val="left" w:pos="1042"/>
        </w:tabs>
        <w:spacing w:line="331" w:lineRule="auto"/>
        <w:ind w:left="840" w:right="320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низине с беззвучным плачем умирал ковыль; плескалась песня в гончарных мастерских;</w:t>
      </w:r>
    </w:p>
    <w:p w:rsidR="008241CC" w:rsidRDefault="008241CC" w:rsidP="008241CC">
      <w:pPr>
        <w:spacing w:line="29" w:lineRule="exact"/>
        <w:rPr>
          <w:sz w:val="20"/>
          <w:szCs w:val="20"/>
        </w:rPr>
      </w:pPr>
    </w:p>
    <w:p w:rsidR="008241CC" w:rsidRDefault="008241CC" w:rsidP="008241CC">
      <w:pPr>
        <w:spacing w:line="302" w:lineRule="auto"/>
        <w:ind w:right="20" w:firstLine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бродила легенда, прикасаясь ладонями к горам, холмам, людям и мазарам.</w:t>
      </w:r>
    </w:p>
    <w:p w:rsidR="008241CC" w:rsidRDefault="008241CC" w:rsidP="008241CC">
      <w:pPr>
        <w:spacing w:line="55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Цветопись буквально пронизывает прозаические миниатюры Санбаева.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голубоватое марево, голубое небо, синее поднебесье;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серые облака;</w:t>
      </w:r>
    </w:p>
    <w:p w:rsidR="008241CC" w:rsidRDefault="008241CC" w:rsidP="008241CC">
      <w:pPr>
        <w:spacing w:line="137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зелено-синяя степь;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белое пламя, белые горы Актау;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оранжево-красное дерево;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пепельно-голубая полынь; голубые цветочки – </w:t>
      </w:r>
      <w:proofErr w:type="spellStart"/>
      <w:r>
        <w:rPr>
          <w:rFonts w:eastAsia="Times New Roman"/>
          <w:sz w:val="28"/>
          <w:szCs w:val="28"/>
        </w:rPr>
        <w:t>кокгуль</w:t>
      </w:r>
      <w:proofErr w:type="spellEnd"/>
      <w:r>
        <w:rPr>
          <w:rFonts w:eastAsia="Times New Roman"/>
          <w:sz w:val="28"/>
          <w:szCs w:val="28"/>
        </w:rPr>
        <w:t>;</w:t>
      </w:r>
    </w:p>
    <w:p w:rsidR="008241CC" w:rsidRDefault="008241CC" w:rsidP="008241CC">
      <w:pPr>
        <w:spacing w:line="136" w:lineRule="exact"/>
        <w:rPr>
          <w:sz w:val="20"/>
          <w:szCs w:val="20"/>
        </w:rPr>
      </w:pPr>
    </w:p>
    <w:p w:rsidR="008241CC" w:rsidRDefault="008241CC" w:rsidP="008241CC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изумрудная стрельчатая трава;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35" w:lineRule="exact"/>
        <w:rPr>
          <w:sz w:val="20"/>
          <w:szCs w:val="20"/>
        </w:rPr>
      </w:pPr>
    </w:p>
    <w:p w:rsidR="008241CC" w:rsidRDefault="008241CC" w:rsidP="008241CC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</w:t>
      </w:r>
    </w:p>
    <w:p w:rsidR="008241CC" w:rsidRDefault="008241CC" w:rsidP="008241CC">
      <w:pPr>
        <w:sectPr w:rsidR="008241CC">
          <w:pgSz w:w="11900" w:h="16838"/>
          <w:pgMar w:top="443" w:right="1126" w:bottom="470" w:left="1140" w:header="0" w:footer="0" w:gutter="0"/>
          <w:cols w:space="720" w:equalWidth="0">
            <w:col w:w="9640"/>
          </w:cols>
        </w:sectPr>
      </w:pPr>
    </w:p>
    <w:p w:rsidR="008241CC" w:rsidRDefault="008241CC" w:rsidP="008241CC">
      <w:pPr>
        <w:tabs>
          <w:tab w:val="left" w:pos="100"/>
        </w:tabs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 xml:space="preserve">МАТЕРИАЛИ ЗА XVII МЕЖДУНАРОДНА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НАУЧНА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ПРАКТИЧНА КОНФЕРЕНЦИЯ</w:t>
      </w:r>
      <w:r>
        <w:rPr>
          <w:sz w:val="20"/>
          <w:szCs w:val="20"/>
        </w:rPr>
        <w:tab/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★ </w:t>
      </w:r>
      <w:r>
        <w:rPr>
          <w:rFonts w:ascii="Arial" w:eastAsia="Arial" w:hAnsi="Arial" w:cs="Arial"/>
          <w:b/>
          <w:bCs/>
          <w:sz w:val="16"/>
          <w:szCs w:val="16"/>
        </w:rPr>
        <w:t>17 -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25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март</w:t>
      </w:r>
      <w:r>
        <w:rPr>
          <w:rFonts w:ascii="Segoe UI Symbol" w:eastAsia="Segoe UI Symbol" w:hAnsi="Segoe UI Symbol" w:cs="Segoe UI Symbo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, 2021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8241CC" w:rsidRDefault="008241CC" w:rsidP="008241CC">
      <w:pPr>
        <w:spacing w:line="283" w:lineRule="exact"/>
        <w:rPr>
          <w:sz w:val="20"/>
          <w:szCs w:val="20"/>
        </w:rPr>
      </w:pPr>
    </w:p>
    <w:p w:rsidR="008241CC" w:rsidRDefault="008241CC" w:rsidP="008241CC">
      <w:pPr>
        <w:spacing w:line="303" w:lineRule="auto"/>
        <w:ind w:firstLine="85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меняющиеся от коричневого и кроваво-красного до цвета слоновой кости и, наконец, белые скалы; красная; светло-коричневая скала.</w:t>
      </w:r>
      <w:proofErr w:type="gramEnd"/>
    </w:p>
    <w:p w:rsidR="008241CC" w:rsidRDefault="008241CC" w:rsidP="008241CC">
      <w:pPr>
        <w:spacing w:line="66" w:lineRule="exact"/>
        <w:rPr>
          <w:sz w:val="20"/>
          <w:szCs w:val="20"/>
        </w:rPr>
      </w:pPr>
    </w:p>
    <w:p w:rsidR="008241CC" w:rsidRDefault="008241CC" w:rsidP="008241CC">
      <w:pPr>
        <w:spacing w:line="321" w:lineRule="auto"/>
        <w:ind w:right="20" w:firstLine="85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Динамика цвета подчеркивает экспрессию каждой образной картины, читатель ощущает в их быстрой смене бесконечное движение, движение во всем</w:t>
      </w:r>
    </w:p>
    <w:p w:rsidR="008241CC" w:rsidRDefault="008241CC" w:rsidP="008241CC">
      <w:pPr>
        <w:spacing w:line="7" w:lineRule="exact"/>
        <w:rPr>
          <w:sz w:val="20"/>
          <w:szCs w:val="20"/>
        </w:rPr>
      </w:pPr>
    </w:p>
    <w:p w:rsidR="008241CC" w:rsidRDefault="008241CC" w:rsidP="008241CC">
      <w:pPr>
        <w:spacing w:line="322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– в природе, в жизни степи и казаха-кочевника. Мир как безмерность в «разноцветных сполохах» и «</w:t>
      </w:r>
      <w:proofErr w:type="spellStart"/>
      <w:r>
        <w:rPr>
          <w:rFonts w:eastAsia="Times New Roman"/>
          <w:sz w:val="27"/>
          <w:szCs w:val="27"/>
        </w:rPr>
        <w:t>нетускнеющих</w:t>
      </w:r>
      <w:proofErr w:type="spellEnd"/>
      <w:r>
        <w:rPr>
          <w:rFonts w:eastAsia="Times New Roman"/>
          <w:sz w:val="27"/>
          <w:szCs w:val="27"/>
        </w:rPr>
        <w:t>, впитанных в камень красках», символ «</w:t>
      </w:r>
      <w:proofErr w:type="spellStart"/>
      <w:r>
        <w:rPr>
          <w:rFonts w:eastAsia="Times New Roman"/>
          <w:sz w:val="27"/>
          <w:szCs w:val="27"/>
        </w:rPr>
        <w:t>всецветного</w:t>
      </w:r>
      <w:proofErr w:type="spellEnd"/>
      <w:r>
        <w:rPr>
          <w:rFonts w:eastAsia="Times New Roman"/>
          <w:sz w:val="27"/>
          <w:szCs w:val="27"/>
        </w:rPr>
        <w:t>» и «вечно-живого бытия», подчиненного ритмам природы,</w:t>
      </w:r>
    </w:p>
    <w:p w:rsidR="008241CC" w:rsidRDefault="008241CC" w:rsidP="008241CC">
      <w:pPr>
        <w:spacing w:line="5" w:lineRule="exact"/>
        <w:rPr>
          <w:sz w:val="20"/>
          <w:szCs w:val="20"/>
        </w:rPr>
      </w:pPr>
    </w:p>
    <w:p w:rsidR="008241CC" w:rsidRDefault="008241CC" w:rsidP="008241CC">
      <w:pPr>
        <w:spacing w:line="30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является фоном </w:t>
      </w:r>
      <w:r>
        <w:rPr>
          <w:rFonts w:ascii="Times" w:eastAsia="Times" w:hAnsi="Times" w:cs="Times"/>
          <w:sz w:val="28"/>
          <w:szCs w:val="28"/>
        </w:rPr>
        <w:t xml:space="preserve">и важным компонентом </w:t>
      </w:r>
      <w:proofErr w:type="spellStart"/>
      <w:r>
        <w:rPr>
          <w:rFonts w:ascii="Times" w:eastAsia="Times" w:hAnsi="Times" w:cs="Times"/>
          <w:sz w:val="28"/>
          <w:szCs w:val="28"/>
        </w:rPr>
        <w:t>полистилистики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как ведущего способа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sz w:val="28"/>
          <w:szCs w:val="28"/>
        </w:rPr>
        <w:t>текстообразования</w:t>
      </w:r>
      <w:proofErr w:type="spellEnd"/>
      <w:r>
        <w:rPr>
          <w:rFonts w:ascii="Times" w:eastAsia="Times" w:hAnsi="Times" w:cs="Times"/>
          <w:sz w:val="28"/>
          <w:szCs w:val="28"/>
        </w:rPr>
        <w:t>.</w:t>
      </w:r>
    </w:p>
    <w:p w:rsidR="008241CC" w:rsidRDefault="008241CC" w:rsidP="008241CC">
      <w:pPr>
        <w:spacing w:line="96" w:lineRule="exact"/>
        <w:rPr>
          <w:sz w:val="20"/>
          <w:szCs w:val="20"/>
        </w:rPr>
      </w:pPr>
    </w:p>
    <w:p w:rsidR="008241CC" w:rsidRDefault="008241CC" w:rsidP="008241CC">
      <w:pPr>
        <w:spacing w:line="376" w:lineRule="exact"/>
        <w:ind w:left="4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Литература:</w:t>
      </w:r>
    </w:p>
    <w:p w:rsidR="008241CC" w:rsidRDefault="008241CC" w:rsidP="008241CC">
      <w:pPr>
        <w:spacing w:line="316" w:lineRule="exact"/>
        <w:rPr>
          <w:sz w:val="20"/>
          <w:szCs w:val="20"/>
        </w:rPr>
      </w:pPr>
    </w:p>
    <w:p w:rsidR="008241CC" w:rsidRDefault="008241CC" w:rsidP="008241CC">
      <w:pPr>
        <w:numPr>
          <w:ilvl w:val="0"/>
          <w:numId w:val="3"/>
        </w:numPr>
        <w:tabs>
          <w:tab w:val="left" w:pos="1420"/>
        </w:tabs>
        <w:ind w:left="14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Санбаев С.. Белая </w:t>
      </w:r>
      <w:proofErr w:type="spellStart"/>
      <w:r>
        <w:rPr>
          <w:rFonts w:eastAsia="Times New Roman"/>
          <w:sz w:val="28"/>
          <w:szCs w:val="28"/>
        </w:rPr>
        <w:t>аруана</w:t>
      </w:r>
      <w:proofErr w:type="spellEnd"/>
      <w:r>
        <w:rPr>
          <w:rFonts w:eastAsia="Times New Roman"/>
          <w:sz w:val="28"/>
          <w:szCs w:val="28"/>
        </w:rPr>
        <w:t>. - М., 2003. - С. 314.</w:t>
      </w:r>
    </w:p>
    <w:p w:rsidR="008241CC" w:rsidRDefault="008241CC" w:rsidP="008241CC">
      <w:pPr>
        <w:spacing w:line="162" w:lineRule="exact"/>
        <w:rPr>
          <w:rFonts w:eastAsia="Times New Roman"/>
          <w:sz w:val="28"/>
          <w:szCs w:val="28"/>
        </w:rPr>
      </w:pPr>
    </w:p>
    <w:p w:rsidR="008241CC" w:rsidRDefault="008241CC" w:rsidP="008241CC">
      <w:pPr>
        <w:numPr>
          <w:ilvl w:val="0"/>
          <w:numId w:val="3"/>
        </w:numPr>
        <w:tabs>
          <w:tab w:val="left" w:pos="1420"/>
        </w:tabs>
        <w:ind w:left="1420" w:hanging="359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Борев</w:t>
      </w:r>
      <w:proofErr w:type="spellEnd"/>
      <w:r>
        <w:rPr>
          <w:rFonts w:eastAsia="Times New Roman"/>
          <w:sz w:val="28"/>
          <w:szCs w:val="28"/>
        </w:rPr>
        <w:t>, Ю. Б. Эстетика. - М., 2002. - С. 511.</w:t>
      </w:r>
    </w:p>
    <w:p w:rsidR="008241CC" w:rsidRDefault="008241CC" w:rsidP="008241CC">
      <w:pPr>
        <w:spacing w:line="200" w:lineRule="exact"/>
        <w:rPr>
          <w:sz w:val="20"/>
          <w:szCs w:val="20"/>
        </w:rPr>
      </w:pPr>
    </w:p>
    <w:p w:rsidR="00A443C0" w:rsidRDefault="00A443C0"/>
    <w:sectPr w:rsidR="00A4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4DCCE000"/>
    <w:lvl w:ilvl="0" w:tplc="F6107AEA">
      <w:start w:val="1"/>
      <w:numFmt w:val="bullet"/>
      <w:lvlText w:val="-"/>
      <w:lvlJc w:val="left"/>
    </w:lvl>
    <w:lvl w:ilvl="1" w:tplc="D74C2DE2">
      <w:numFmt w:val="decimal"/>
      <w:lvlText w:val=""/>
      <w:lvlJc w:val="left"/>
    </w:lvl>
    <w:lvl w:ilvl="2" w:tplc="90D237EA">
      <w:numFmt w:val="decimal"/>
      <w:lvlText w:val=""/>
      <w:lvlJc w:val="left"/>
    </w:lvl>
    <w:lvl w:ilvl="3" w:tplc="68F03754">
      <w:numFmt w:val="decimal"/>
      <w:lvlText w:val=""/>
      <w:lvlJc w:val="left"/>
    </w:lvl>
    <w:lvl w:ilvl="4" w:tplc="FBD02832">
      <w:numFmt w:val="decimal"/>
      <w:lvlText w:val=""/>
      <w:lvlJc w:val="left"/>
    </w:lvl>
    <w:lvl w:ilvl="5" w:tplc="5588B32E">
      <w:numFmt w:val="decimal"/>
      <w:lvlText w:val=""/>
      <w:lvlJc w:val="left"/>
    </w:lvl>
    <w:lvl w:ilvl="6" w:tplc="8F0EB984">
      <w:numFmt w:val="decimal"/>
      <w:lvlText w:val=""/>
      <w:lvlJc w:val="left"/>
    </w:lvl>
    <w:lvl w:ilvl="7" w:tplc="865C0E4A">
      <w:numFmt w:val="decimal"/>
      <w:lvlText w:val=""/>
      <w:lvlJc w:val="left"/>
    </w:lvl>
    <w:lvl w:ilvl="8" w:tplc="94B0C8A2">
      <w:numFmt w:val="decimal"/>
      <w:lvlText w:val=""/>
      <w:lvlJc w:val="left"/>
    </w:lvl>
  </w:abstractNum>
  <w:abstractNum w:abstractNumId="1">
    <w:nsid w:val="0000368E"/>
    <w:multiLevelType w:val="hybridMultilevel"/>
    <w:tmpl w:val="70025CE2"/>
    <w:lvl w:ilvl="0" w:tplc="BF022C30">
      <w:start w:val="1"/>
      <w:numFmt w:val="decimal"/>
      <w:lvlText w:val="%1."/>
      <w:lvlJc w:val="left"/>
    </w:lvl>
    <w:lvl w:ilvl="1" w:tplc="BA20D506">
      <w:numFmt w:val="decimal"/>
      <w:lvlText w:val=""/>
      <w:lvlJc w:val="left"/>
    </w:lvl>
    <w:lvl w:ilvl="2" w:tplc="CED090A4">
      <w:numFmt w:val="decimal"/>
      <w:lvlText w:val=""/>
      <w:lvlJc w:val="left"/>
    </w:lvl>
    <w:lvl w:ilvl="3" w:tplc="6654031E">
      <w:numFmt w:val="decimal"/>
      <w:lvlText w:val=""/>
      <w:lvlJc w:val="left"/>
    </w:lvl>
    <w:lvl w:ilvl="4" w:tplc="F900347A">
      <w:numFmt w:val="decimal"/>
      <w:lvlText w:val=""/>
      <w:lvlJc w:val="left"/>
    </w:lvl>
    <w:lvl w:ilvl="5" w:tplc="BBC04A84">
      <w:numFmt w:val="decimal"/>
      <w:lvlText w:val=""/>
      <w:lvlJc w:val="left"/>
    </w:lvl>
    <w:lvl w:ilvl="6" w:tplc="3A9AB35E">
      <w:numFmt w:val="decimal"/>
      <w:lvlText w:val=""/>
      <w:lvlJc w:val="left"/>
    </w:lvl>
    <w:lvl w:ilvl="7" w:tplc="95705D1A">
      <w:numFmt w:val="decimal"/>
      <w:lvlText w:val=""/>
      <w:lvlJc w:val="left"/>
    </w:lvl>
    <w:lvl w:ilvl="8" w:tplc="25DA718E">
      <w:numFmt w:val="decimal"/>
      <w:lvlText w:val=""/>
      <w:lvlJc w:val="left"/>
    </w:lvl>
  </w:abstractNum>
  <w:abstractNum w:abstractNumId="2">
    <w:nsid w:val="0000422D"/>
    <w:multiLevelType w:val="hybridMultilevel"/>
    <w:tmpl w:val="9F228854"/>
    <w:lvl w:ilvl="0" w:tplc="88D82A7A">
      <w:start w:val="1"/>
      <w:numFmt w:val="bullet"/>
      <w:lvlText w:val="в"/>
      <w:lvlJc w:val="left"/>
    </w:lvl>
    <w:lvl w:ilvl="1" w:tplc="DD28E87C">
      <w:numFmt w:val="decimal"/>
      <w:lvlText w:val=""/>
      <w:lvlJc w:val="left"/>
    </w:lvl>
    <w:lvl w:ilvl="2" w:tplc="8618B3A6">
      <w:numFmt w:val="decimal"/>
      <w:lvlText w:val=""/>
      <w:lvlJc w:val="left"/>
    </w:lvl>
    <w:lvl w:ilvl="3" w:tplc="5B984064">
      <w:numFmt w:val="decimal"/>
      <w:lvlText w:val=""/>
      <w:lvlJc w:val="left"/>
    </w:lvl>
    <w:lvl w:ilvl="4" w:tplc="A3D0E4D8">
      <w:numFmt w:val="decimal"/>
      <w:lvlText w:val=""/>
      <w:lvlJc w:val="left"/>
    </w:lvl>
    <w:lvl w:ilvl="5" w:tplc="EF680A3A">
      <w:numFmt w:val="decimal"/>
      <w:lvlText w:val=""/>
      <w:lvlJc w:val="left"/>
    </w:lvl>
    <w:lvl w:ilvl="6" w:tplc="CBF2A720">
      <w:numFmt w:val="decimal"/>
      <w:lvlText w:val=""/>
      <w:lvlJc w:val="left"/>
    </w:lvl>
    <w:lvl w:ilvl="7" w:tplc="FD925F5C">
      <w:numFmt w:val="decimal"/>
      <w:lvlText w:val=""/>
      <w:lvlJc w:val="left"/>
    </w:lvl>
    <w:lvl w:ilvl="8" w:tplc="B22E36B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C"/>
    <w:rsid w:val="00627A43"/>
    <w:rsid w:val="006F6E68"/>
    <w:rsid w:val="008241CC"/>
    <w:rsid w:val="00A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2021-03-09T09:50:00Z</cp:lastPrinted>
  <dcterms:created xsi:type="dcterms:W3CDTF">2021-03-09T09:47:00Z</dcterms:created>
  <dcterms:modified xsi:type="dcterms:W3CDTF">2021-03-09T09:50:00Z</dcterms:modified>
</cp:coreProperties>
</file>