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704" w:rsidRPr="002B7110" w:rsidRDefault="009E0704" w:rsidP="009E0704">
      <w:pPr>
        <w:spacing w:after="0" w:line="240" w:lineRule="auto"/>
        <w:jc w:val="center"/>
        <w:rPr>
          <w:rFonts w:ascii="Times New Roman" w:hAnsi="Times New Roman" w:cs="Times New Roman"/>
          <w:b/>
          <w:sz w:val="24"/>
          <w:szCs w:val="24"/>
        </w:rPr>
      </w:pPr>
      <w:bookmarkStart w:id="0" w:name="_GoBack"/>
      <w:r w:rsidRPr="002B7110">
        <w:rPr>
          <w:rFonts w:ascii="Times New Roman" w:hAnsi="Times New Roman" w:cs="Times New Roman"/>
          <w:b/>
          <w:sz w:val="24"/>
          <w:szCs w:val="24"/>
        </w:rPr>
        <w:t xml:space="preserve">СИСТЕМА ГОСУДАРСТВЕННОГО ФИНАНСОВОГО </w:t>
      </w:r>
    </w:p>
    <w:p w:rsidR="009E0704" w:rsidRPr="002B7110" w:rsidRDefault="009E0704" w:rsidP="009E0704">
      <w:pPr>
        <w:spacing w:after="0" w:line="240" w:lineRule="auto"/>
        <w:jc w:val="center"/>
        <w:rPr>
          <w:rFonts w:ascii="Times New Roman" w:hAnsi="Times New Roman" w:cs="Times New Roman"/>
          <w:b/>
          <w:sz w:val="24"/>
          <w:szCs w:val="24"/>
        </w:rPr>
      </w:pPr>
      <w:r w:rsidRPr="002B7110">
        <w:rPr>
          <w:rFonts w:ascii="Times New Roman" w:hAnsi="Times New Roman" w:cs="Times New Roman"/>
          <w:b/>
          <w:sz w:val="24"/>
          <w:szCs w:val="24"/>
        </w:rPr>
        <w:t>КОНТРОЛЯ В СТРАНАХ СНГ И МЕЖДУНАРОДНЫЙ ОПЫТ</w:t>
      </w:r>
    </w:p>
    <w:bookmarkEnd w:id="0"/>
    <w:p w:rsidR="009E0704" w:rsidRPr="002B7110" w:rsidRDefault="009E0704" w:rsidP="009E0704">
      <w:pPr>
        <w:spacing w:after="0" w:line="240" w:lineRule="auto"/>
        <w:jc w:val="center"/>
        <w:rPr>
          <w:rFonts w:ascii="Times New Roman" w:hAnsi="Times New Roman" w:cs="Times New Roman"/>
          <w:b/>
          <w:sz w:val="24"/>
          <w:szCs w:val="24"/>
        </w:rPr>
      </w:pPr>
    </w:p>
    <w:p w:rsidR="009E0704" w:rsidRPr="002B7110" w:rsidRDefault="009E0704" w:rsidP="009E0704">
      <w:pPr>
        <w:spacing w:after="0" w:line="240" w:lineRule="auto"/>
        <w:jc w:val="right"/>
        <w:rPr>
          <w:rFonts w:ascii="Times New Roman" w:hAnsi="Times New Roman" w:cs="Times New Roman"/>
          <w:sz w:val="24"/>
          <w:szCs w:val="24"/>
        </w:rPr>
      </w:pPr>
      <w:r w:rsidRPr="002B7110">
        <w:rPr>
          <w:rFonts w:ascii="Times New Roman" w:hAnsi="Times New Roman" w:cs="Times New Roman"/>
          <w:sz w:val="24"/>
          <w:szCs w:val="24"/>
        </w:rPr>
        <w:t>Берикболова М.А.</w:t>
      </w:r>
    </w:p>
    <w:p w:rsidR="009E0704" w:rsidRDefault="009E0704" w:rsidP="009E0704">
      <w:pPr>
        <w:spacing w:after="0" w:line="240" w:lineRule="auto"/>
        <w:jc w:val="right"/>
        <w:rPr>
          <w:rFonts w:ascii="Times New Roman" w:hAnsi="Times New Roman" w:cs="Times New Roman"/>
          <w:color w:val="000000" w:themeColor="text1"/>
          <w:sz w:val="24"/>
          <w:szCs w:val="24"/>
          <w:lang w:val="kk-KZ"/>
        </w:rPr>
      </w:pPr>
      <w:r w:rsidRPr="00B44B2B">
        <w:rPr>
          <w:rFonts w:ascii="Times New Roman" w:hAnsi="Times New Roman" w:cs="Times New Roman"/>
          <w:color w:val="000000" w:themeColor="text1"/>
          <w:sz w:val="24"/>
          <w:szCs w:val="24"/>
        </w:rPr>
        <w:t>КазНУ</w:t>
      </w:r>
      <w:r>
        <w:rPr>
          <w:rFonts w:ascii="Times New Roman" w:hAnsi="Times New Roman" w:cs="Times New Roman"/>
          <w:color w:val="000000" w:themeColor="text1"/>
          <w:sz w:val="24"/>
          <w:szCs w:val="24"/>
          <w:lang w:val="kk-KZ"/>
        </w:rPr>
        <w:t>,</w:t>
      </w:r>
      <w:r w:rsidRPr="00BF5BBE">
        <w:rPr>
          <w:rFonts w:ascii="Times New Roman" w:hAnsi="Times New Roman" w:cs="Times New Roman"/>
          <w:color w:val="000000" w:themeColor="text1"/>
          <w:sz w:val="24"/>
          <w:szCs w:val="24"/>
        </w:rPr>
        <w:t xml:space="preserve"> </w:t>
      </w:r>
      <w:r w:rsidRPr="00B44B2B">
        <w:rPr>
          <w:rFonts w:ascii="Times New Roman" w:hAnsi="Times New Roman" w:cs="Times New Roman"/>
          <w:color w:val="000000" w:themeColor="text1"/>
          <w:sz w:val="24"/>
          <w:szCs w:val="24"/>
        </w:rPr>
        <w:t>ВШЭиБ</w:t>
      </w:r>
    </w:p>
    <w:p w:rsidR="009E0704" w:rsidRDefault="009E0704" w:rsidP="009E0704">
      <w:pPr>
        <w:spacing w:after="0" w:line="240" w:lineRule="auto"/>
        <w:jc w:val="right"/>
        <w:rPr>
          <w:rFonts w:ascii="Times New Roman" w:hAnsi="Times New Roman" w:cs="Times New Roman"/>
          <w:sz w:val="24"/>
          <w:szCs w:val="24"/>
        </w:rPr>
      </w:pPr>
      <w:r w:rsidRPr="002B7110">
        <w:rPr>
          <w:rFonts w:ascii="Times New Roman" w:hAnsi="Times New Roman" w:cs="Times New Roman"/>
          <w:sz w:val="24"/>
          <w:szCs w:val="24"/>
        </w:rPr>
        <w:t xml:space="preserve">2 курс после колледжа </w:t>
      </w:r>
    </w:p>
    <w:p w:rsidR="009E0704" w:rsidRPr="002B7110" w:rsidRDefault="009E0704" w:rsidP="009E0704">
      <w:pPr>
        <w:spacing w:after="0" w:line="240" w:lineRule="auto"/>
        <w:jc w:val="right"/>
        <w:rPr>
          <w:rFonts w:ascii="Times New Roman" w:hAnsi="Times New Roman" w:cs="Times New Roman"/>
          <w:sz w:val="24"/>
          <w:szCs w:val="24"/>
        </w:rPr>
      </w:pPr>
      <w:r w:rsidRPr="002B7110">
        <w:rPr>
          <w:rFonts w:ascii="Times New Roman" w:hAnsi="Times New Roman" w:cs="Times New Roman"/>
          <w:sz w:val="24"/>
          <w:szCs w:val="24"/>
        </w:rPr>
        <w:t>специальность Финансы</w:t>
      </w:r>
    </w:p>
    <w:p w:rsidR="009E0704" w:rsidRDefault="009E0704" w:rsidP="009E0704">
      <w:pPr>
        <w:spacing w:after="0" w:line="240" w:lineRule="auto"/>
        <w:jc w:val="right"/>
        <w:rPr>
          <w:rFonts w:ascii="Times New Roman" w:hAnsi="Times New Roman" w:cs="Times New Roman"/>
          <w:sz w:val="24"/>
          <w:szCs w:val="24"/>
        </w:rPr>
      </w:pPr>
    </w:p>
    <w:p w:rsidR="009E0704" w:rsidRPr="002B7110" w:rsidRDefault="009E0704" w:rsidP="009E0704">
      <w:pPr>
        <w:spacing w:after="0" w:line="240" w:lineRule="auto"/>
        <w:jc w:val="right"/>
        <w:rPr>
          <w:rFonts w:ascii="Times New Roman" w:hAnsi="Times New Roman" w:cs="Times New Roman"/>
          <w:sz w:val="24"/>
          <w:szCs w:val="24"/>
        </w:rPr>
      </w:pPr>
      <w:r w:rsidRPr="002B7110">
        <w:rPr>
          <w:rFonts w:ascii="Times New Roman" w:hAnsi="Times New Roman" w:cs="Times New Roman"/>
          <w:sz w:val="24"/>
          <w:szCs w:val="24"/>
        </w:rPr>
        <w:t>Научный руководитель: Сырлыбаева Н.Ш.</w:t>
      </w:r>
    </w:p>
    <w:p w:rsidR="009E0704" w:rsidRDefault="009E0704" w:rsidP="009E0704">
      <w:pPr>
        <w:spacing w:after="0" w:line="240" w:lineRule="auto"/>
        <w:jc w:val="right"/>
        <w:rPr>
          <w:rFonts w:ascii="Times New Roman" w:hAnsi="Times New Roman" w:cs="Times New Roman"/>
          <w:sz w:val="24"/>
          <w:szCs w:val="24"/>
        </w:rPr>
      </w:pPr>
      <w:r w:rsidRPr="002B7110">
        <w:rPr>
          <w:rFonts w:ascii="Times New Roman" w:hAnsi="Times New Roman" w:cs="Times New Roman"/>
          <w:sz w:val="24"/>
          <w:szCs w:val="24"/>
        </w:rPr>
        <w:t>к.э.н., доцент</w:t>
      </w:r>
    </w:p>
    <w:p w:rsidR="009E0704" w:rsidRPr="002B7110" w:rsidRDefault="009E0704" w:rsidP="009E0704">
      <w:pPr>
        <w:spacing w:after="0" w:line="240" w:lineRule="auto"/>
        <w:jc w:val="right"/>
        <w:rPr>
          <w:rFonts w:ascii="Times New Roman" w:hAnsi="Times New Roman" w:cs="Times New Roman"/>
          <w:sz w:val="24"/>
          <w:szCs w:val="24"/>
        </w:rPr>
      </w:pP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Актуальность данной статьи заключается в том, что международный опыт свидетельствует, что на различных уровнях власти в государстве весьма эффективно действуют контролирующие органы и, главным образом, в бюджетно-финансовой сфере. Действующая система государственного финансового контроля, которая сложилась в конкретной стране, имеет свои особенности, связанные с историческими аспектами развития государства. Более того, в мировой практике органы государственного финансового контроля уже давно стали неотъемлемой составляющей демократического общества и обязательным элементом управления общественными финансовыми средствами.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Государственный контроль в сфере управления финансами — один из наиболее действенных инструментов, обеспечивающий эффективность управления государственными финансовыми ресурсами.</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 Государственный финансовый контроль — это деятельность органов государственной власти и управления всех уровней, установленная</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 законодательством с целью выявления, пресечения и предупреждения:    злоупотреблений и ошибок в управлении государственными денежными и материальными ресурсами, которые используются в хозяйственной деятельности, отчуждаемыми нематериальными объектами государственной собственности, а также государственными имущественными правами, которые могут повлечь прямой или косвенный финансовый и/ или материальный ущерб государству;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 нарушений финансово-хозяйственного законодательства (главным образом бюджетного);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 изъянов в организации систем управления финансово-хозяйственной деятельностью государственных организаций и их объединений, организаций с государственным участием или особо связанных с деятельностью государства;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-государственного и муниципального финансового контроля относят: – контроль за поступлением бюджетных средств; контроль за расходованием бюджетных средств; контроль за использованием государственной и муниципальной собственности, проведением ее приватизации, национализации; контроль за использованием государственных и муниципальных внебюджетных фондов; контроль за движением средств бюджета и внебюджетных фондов в банках и иных кредитных учреждениях; контроль эффективности предоставления и законности использования льгот по налогообложению и полученных дотаций; пресечение финансовых нарушений и злоупотреблений.  </w:t>
      </w:r>
    </w:p>
    <w:p w:rsidR="009E0704" w:rsidRDefault="009E0704" w:rsidP="009E0704">
      <w:pPr>
        <w:spacing w:after="0" w:line="240" w:lineRule="auto"/>
        <w:ind w:firstLine="708"/>
        <w:jc w:val="both"/>
        <w:rPr>
          <w:rFonts w:ascii="Times New Roman" w:hAnsi="Times New Roman" w:cs="Times New Roman"/>
          <w:sz w:val="24"/>
          <w:szCs w:val="24"/>
        </w:rPr>
      </w:pPr>
      <w:r w:rsidRPr="00B250E5">
        <w:rPr>
          <w:rFonts w:ascii="Times New Roman" w:hAnsi="Times New Roman" w:cs="Times New Roman"/>
          <w:sz w:val="24"/>
          <w:szCs w:val="24"/>
        </w:rPr>
        <w:t>Финансовый контроль в странах СНГ</w:t>
      </w:r>
      <w:r>
        <w:rPr>
          <w:rFonts w:ascii="Times New Roman" w:hAnsi="Times New Roman" w:cs="Times New Roman"/>
          <w:sz w:val="24"/>
          <w:szCs w:val="24"/>
        </w:rPr>
        <w:t xml:space="preserve">. </w:t>
      </w:r>
      <w:r w:rsidRPr="002B7110">
        <w:rPr>
          <w:rFonts w:ascii="Times New Roman" w:hAnsi="Times New Roman" w:cs="Times New Roman"/>
          <w:sz w:val="24"/>
          <w:szCs w:val="24"/>
        </w:rPr>
        <w:t xml:space="preserve">Особый интерес представляют ВОФК государств — участников Содружества Независимых Государств, таких как Украина, Азербайджанская Республика, Республика Армения, Республика Казахстан, Республика Белоруссия. В этих странах, ранее входивших в состав Союза Советских Социалистических Республик, финансовый контроль в бюджетной сфере осуществлялся органами обшей компетенции.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lastRenderedPageBreak/>
        <w:t xml:space="preserve">Под влиянием зарубежных стандартов контроля большинство государств — участников СНГ осуществляют бюджетный контроль парламентского типа. В Республике Молдова, Украине, Азербайджанской Республике, Кыргызской Республике и Республике Узбекистан, как и в Российской Федерации, высшим органом финансового контроля является счетная палата. В Украине (не входит в СНГ) бюджетный контроль осуществляет Счетная палата парламента Украины (Верховной Рады). Здесь ВОФК является единственным независимым конституционным органом государственного финансового контроля, который образован законодательной властью в 1997 г. и подотчетен ей. Это обстоятельство определяет функции по выполнению контроля и обязывает в соответствии с действующим законодательством осуществлять анализ всех стадий бюджетного процесса. Такого рода деятельность обеспечивает обратную связь между Правительством, с одной стороны, и парламентом, Президентом и гражданами Украины — с другой. Счетная палата осуществляет свои полномочия в соответствии с Конституцией Украины и Законом Украины от 11 июля 1996 г. № 315/96-ВР «О Счетной палате Верховной Рады Украины». Конституционная реформа расширила полномочия Счетной палаты: так, если раньше Палата контролировала только расходную часть бюджета, то теперь ей позволено изучать и доходные статьи. Согласно ст. 98 Конституции Украины «контроль от имени Верховной Рады Украины за поступлением средств в Государственный бюджет Украины и их использованием осуществляет Счетная палата».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Палата по поручению Верховной Рады Украины выполняет контроль за исполнением государственного бюджета Украины; контролирует эффективность управления средствами бюджета Украины Государственным казначейством Украины, законность и своевременность движения средств бюджета; разрабатывает мероприятия по изысканию возможностей и новых источников привлечения дополнительных поступлений в бюджет республики и вносит соответствующие предложения Министерству финансов Украины; осуществляет оперативный контроль за использованием средств государственного бюджета за отчетный период; проводит комплексные ревизии и тематические проверки по отдельным разделам и статьям государственного бюджета Украины, в том числе бюджетов общегосударственных целевых фондов; осуществляет экспертизу проектов государственного бюджета и др.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Особенностью деятельности ВОФК является анализ бюджетного процесса путем проведения контрольно-ревизионных, контрольно-аналитических и экспертных мероприятий, связанных с анализом и оценкой показателей доходных и расходных статей государственного бюджета. В Азербайджанской Республике ВОФК является Счетная палата, а в Республике Армения — Контрольная палата парламента (Национального Собрания).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В Республике Казахстан ВОФК является Счетный комитет по контролю за исполнением республиканского бюджета. Его правовое положение определяется Конституцией Республики Казахстан. Деятельность Счетного комитета регламентируется Указом Президента Республики от 5 августа 2002 г. № 917 «Об утверждении положения о Счетном комитете по контролю за исполнением республиканского бюджета». Конституция Республики Казахстан отражает порядок формирования и подотчетности Счетного комитета. Комитет непосредственно подчинен и подотчетен Президенту Республики Казахстан. Председатель и два члена Счетного комитета назначаются на должность Президентом сроком на пять лет, шесть членов — назначаются сроком на пять лет Парламентом, по три члена от каждой палаты. Отчет ВОФК утверждается на совместном заседании палат Парламента страны.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Основными задачами указанного Комитета являются: контроль за соблюдением требований бюджетного законодательства и иных нормативных правовых актов, регулирующих вопросы исполнения республиканского бюджета; контроль за целевым и эффективным использованием средств республиканского бюджета, кредитов, государственных и гарантированных государством займов, предназначенных для </w:t>
      </w:r>
      <w:r w:rsidRPr="002B7110">
        <w:rPr>
          <w:rFonts w:ascii="Times New Roman" w:hAnsi="Times New Roman" w:cs="Times New Roman"/>
          <w:sz w:val="24"/>
          <w:szCs w:val="24"/>
        </w:rPr>
        <w:lastRenderedPageBreak/>
        <w:t xml:space="preserve">выполнения государственных и отраслевых программ правительства и других расходов в соответствии с единой бюджетной классификацией; контроль за полнотой и своевременностью поступлений в республиканский бюджет. Счетный комитет принимает активное участие в процессе совершенствования системы государственного финансового контроля, выступая инициатором принятия новых нормативных правовых актов, а также внесения изменений и дополнений в действующие акты. К примеру, Счетный комитет является одним из разработчиков Бюджетного кодекса Республики Казахстан. Благодаря активному участию Счетного комитета в разработке и обсуждении проекта Бюджетного кодекса его статус, компетенция, полномочия и функции значительно расширены и приведены в соответствие с международными стандартами.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Государственный и муниципальный финансовый контроль в</w:t>
      </w:r>
      <w:r>
        <w:rPr>
          <w:rFonts w:ascii="Times New Roman" w:hAnsi="Times New Roman" w:cs="Times New Roman"/>
          <w:sz w:val="24"/>
          <w:szCs w:val="24"/>
        </w:rPr>
        <w:t xml:space="preserve"> </w:t>
      </w:r>
      <w:r w:rsidRPr="002B7110">
        <w:rPr>
          <w:rFonts w:ascii="Times New Roman" w:hAnsi="Times New Roman" w:cs="Times New Roman"/>
          <w:sz w:val="24"/>
          <w:szCs w:val="24"/>
        </w:rPr>
        <w:t xml:space="preserve">зарубежных странах выстраивается по различным моделям, однако в общем для развития этой системы свойственна тенденция децентрализации и выделения аудита либо его элементов в самостоятельную ветвь контрольной деятельности, в процессе осуществления которой определяются целесообразность и надлежащее распределение доходов и расходование средств бюджетов разных уровней, выполнение принятых решений, а также положений соответствующих законодательных актов, эффективность деятельности органов власти при исполнении возложенных на них функций.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На сегодняшний день в развитых странах большинство органов государственного финансового контроля широко использует аудит эффективности как один из важнейших методов проведения государственного бюджетного контроля. Важнейшей его целью является определение социально значимого результата от использования имеющихся государственных ресурсов, к примеру, в виде улучшения здоровья и качества жизни населения, повышения качества образования или снижения уровня преступности. Доля аудита эффективности в общем количестве проверок высших органов финансового контроля в ряде развитых стран превышает 50 %.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Основными признаками, которыми обладают большинство контрольно-счетных органов за рубежом, являются: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46339E">
        <w:rPr>
          <w:rFonts w:ascii="Times New Roman" w:hAnsi="Times New Roman" w:cs="Times New Roman"/>
          <w:sz w:val="24"/>
          <w:szCs w:val="24"/>
        </w:rPr>
        <w:t>-</w:t>
      </w:r>
      <w:r w:rsidRPr="002B7110">
        <w:rPr>
          <w:rFonts w:ascii="Times New Roman" w:hAnsi="Times New Roman" w:cs="Times New Roman"/>
          <w:sz w:val="24"/>
          <w:szCs w:val="24"/>
        </w:rPr>
        <w:t xml:space="preserve">независимость органов финансового контроля от законодательной и исполнительной власти;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46339E">
        <w:rPr>
          <w:rFonts w:ascii="Times New Roman" w:hAnsi="Times New Roman" w:cs="Times New Roman"/>
          <w:sz w:val="24"/>
          <w:szCs w:val="24"/>
        </w:rPr>
        <w:t>-</w:t>
      </w:r>
      <w:r w:rsidRPr="002B7110">
        <w:rPr>
          <w:rFonts w:ascii="Times New Roman" w:hAnsi="Times New Roman" w:cs="Times New Roman"/>
          <w:sz w:val="24"/>
          <w:szCs w:val="24"/>
        </w:rPr>
        <w:t>особое внимание уделяется целевому использованию, эффективности и экономичности программ расходования финансовых ресурсов;</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46339E">
        <w:rPr>
          <w:rFonts w:ascii="Times New Roman" w:hAnsi="Times New Roman" w:cs="Times New Roman"/>
          <w:sz w:val="24"/>
          <w:szCs w:val="24"/>
        </w:rPr>
        <w:t>-</w:t>
      </w:r>
      <w:r w:rsidRPr="002B7110">
        <w:rPr>
          <w:rFonts w:ascii="Times New Roman" w:hAnsi="Times New Roman" w:cs="Times New Roman"/>
          <w:sz w:val="24"/>
          <w:szCs w:val="24"/>
        </w:rPr>
        <w:t xml:space="preserve"> эффективность деятельности контрольных органов определяется с помощью сравнения средств, потраченных на ее осуществление и полученных в результате «доходов» (денежные средства, возвращенные в бюджет и/или не израсходованные с нарушением бюджетного законодательства, возможная упущенная выгода от распоряжения государственным или муниципальным имуществом).</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Контролирующие органы некоторых зарубежных государств взаимодействуют или пытаются найти линии разграничения своих функций с функциями омбудсменов. В свою очередь, последние — независимые структуры, которые образуются парламентами. Однако существуют своего рода административные омбудсмены. В частности, во Франции медиатор назначается Советом Министров и выступает в качестве посредника между аппаратом управления и гражданами. Ему оказывают помощь специально выделяемые в министерствах и департаментах корреспонденты. В США исполнительные омбудсмены штатов назначаются губернаторами, а часто с участием легислатур. В Австрии президент назначает членов аппарата Коллегии народной правозащиты.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В некоторых государствах (Австрия, США, Германия, Великобритания) система государственного и муниципального финансового контроля построена как единая система, которая базируется на единых принципах и стандартах. Стандартизация выступает в качестве фактора обеспечения системности взаимодействия органов государственного финансового контроля в мировой практике; формирует организационно-методическую базу их специализации и кооперирования, придает их системе свойства самоорганизации; </w:t>
      </w:r>
      <w:r w:rsidRPr="002B7110">
        <w:rPr>
          <w:rFonts w:ascii="Times New Roman" w:hAnsi="Times New Roman" w:cs="Times New Roman"/>
          <w:sz w:val="24"/>
          <w:szCs w:val="24"/>
        </w:rPr>
        <w:lastRenderedPageBreak/>
        <w:t xml:space="preserve">определяет синергетический эффект в системе государственного финансового контроля; осуществляет профессионально-интегративную функцию, объединяющую сотрудников органов государственного финансового контроля. В международной практике также действуют органы регионального финансового контроля, которые существуют в двух основных формах: </w:t>
      </w:r>
    </w:p>
    <w:p w:rsidR="009E0704" w:rsidRPr="002B7110"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 xml:space="preserve">1.Централизованная система финансового контроля (в виде единой структуры), т. е. региональные финансово-контрольные учреждения находятся в прямом организационном подчинении у высшего органа финансового контроля государства. Модель этого типа обеспечивает осуществление бюджетно-финансового контроля на всей территории страны по единому системному плану, на основании единых критериев анализа, гарантируя законное и целесообразное управление всеми государственными финансами. </w:t>
      </w:r>
    </w:p>
    <w:p w:rsidR="009E0704" w:rsidRDefault="009E0704" w:rsidP="009E0704">
      <w:pPr>
        <w:spacing w:after="0" w:line="240" w:lineRule="auto"/>
        <w:ind w:firstLine="708"/>
        <w:jc w:val="both"/>
        <w:rPr>
          <w:rFonts w:ascii="Times New Roman" w:hAnsi="Times New Roman" w:cs="Times New Roman"/>
          <w:sz w:val="24"/>
          <w:szCs w:val="24"/>
        </w:rPr>
      </w:pPr>
      <w:r w:rsidRPr="002B7110">
        <w:rPr>
          <w:rFonts w:ascii="Times New Roman" w:hAnsi="Times New Roman" w:cs="Times New Roman"/>
          <w:sz w:val="24"/>
          <w:szCs w:val="24"/>
        </w:rPr>
        <w:t>2.Децентрализованная система финансового контроля в виде отдельно существующих региональных контрольно-счетных палат, предназначенных для того, чтобы проводить контроль за бюджетными средствами государства в его административно-территориальном образовании, включая муниципалитеты, не составляя при этом единой системы общегосударственного государственного финансового контроля и не подчиняясь высшему финансово-контрольному органу государства.</w:t>
      </w:r>
    </w:p>
    <w:p w:rsidR="009E0704" w:rsidRDefault="009E0704" w:rsidP="009E0704">
      <w:pPr>
        <w:spacing w:after="0" w:line="240" w:lineRule="auto"/>
        <w:ind w:firstLine="708"/>
        <w:jc w:val="both"/>
        <w:rPr>
          <w:rFonts w:ascii="Times New Roman" w:hAnsi="Times New Roman" w:cs="Times New Roman"/>
          <w:sz w:val="24"/>
          <w:szCs w:val="24"/>
        </w:rPr>
      </w:pPr>
    </w:p>
    <w:p w:rsidR="009E0704" w:rsidRPr="00B44B2B" w:rsidRDefault="009E0704" w:rsidP="009E0704">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Список использованной литературы: </w:t>
      </w:r>
    </w:p>
    <w:p w:rsidR="009E0704" w:rsidRPr="008F6C0E" w:rsidRDefault="009E0704" w:rsidP="009E0704">
      <w:pPr>
        <w:spacing w:after="0" w:line="240" w:lineRule="auto"/>
        <w:jc w:val="both"/>
        <w:rPr>
          <w:rFonts w:ascii="Times New Roman" w:hAnsi="Times New Roman" w:cs="Times New Roman"/>
          <w:sz w:val="24"/>
          <w:szCs w:val="24"/>
        </w:rPr>
      </w:pPr>
      <w:r w:rsidRPr="003143FE">
        <w:rPr>
          <w:rFonts w:ascii="Times New Roman" w:hAnsi="Times New Roman" w:cs="Times New Roman"/>
          <w:sz w:val="24"/>
          <w:szCs w:val="24"/>
        </w:rPr>
        <w:t>1.</w:t>
      </w:r>
      <w:r w:rsidRPr="003143FE">
        <w:rPr>
          <w:sz w:val="24"/>
          <w:szCs w:val="24"/>
        </w:rPr>
        <w:t xml:space="preserve"> </w:t>
      </w:r>
      <w:r w:rsidRPr="003143FE">
        <w:rPr>
          <w:rFonts w:ascii="Times New Roman" w:hAnsi="Times New Roman" w:cs="Times New Roman"/>
          <w:sz w:val="24"/>
          <w:szCs w:val="24"/>
        </w:rPr>
        <w:t>Межгосударственный совет руководителей высших органов финансового контроля государств – участников Содружества Независимых Государств-</w:t>
      </w:r>
      <w:hyperlink r:id="rId4" w:history="1">
        <w:r w:rsidRPr="008F6C0E">
          <w:rPr>
            <w:rStyle w:val="a3"/>
            <w:rFonts w:ascii="Times New Roman" w:hAnsi="Times New Roman" w:cs="Times New Roman"/>
          </w:rPr>
          <w:t>https://e-cis.info/cooperation/3122/</w:t>
        </w:r>
      </w:hyperlink>
    </w:p>
    <w:p w:rsidR="009E0704" w:rsidRPr="008F6C0E" w:rsidRDefault="009E0704" w:rsidP="009E0704">
      <w:pPr>
        <w:spacing w:after="0" w:line="240" w:lineRule="auto"/>
        <w:jc w:val="both"/>
        <w:rPr>
          <w:rFonts w:ascii="Times New Roman" w:hAnsi="Times New Roman" w:cs="Times New Roman"/>
          <w:sz w:val="24"/>
          <w:szCs w:val="24"/>
        </w:rPr>
      </w:pPr>
      <w:r w:rsidRPr="008F6C0E">
        <w:rPr>
          <w:rFonts w:ascii="Times New Roman" w:hAnsi="Times New Roman" w:cs="Times New Roman"/>
          <w:sz w:val="24"/>
          <w:szCs w:val="24"/>
        </w:rPr>
        <w:t>2.</w:t>
      </w:r>
      <w:hyperlink r:id="rId5" w:history="1">
        <w:r w:rsidRPr="008F6C0E">
          <w:rPr>
            <w:rStyle w:val="a3"/>
            <w:rFonts w:ascii="Times New Roman" w:hAnsi="Times New Roman" w:cs="Times New Roman"/>
          </w:rPr>
          <w:t>http://rufincontrol.ru/</w:t>
        </w:r>
      </w:hyperlink>
    </w:p>
    <w:p w:rsidR="009E0704" w:rsidRPr="008F6C0E" w:rsidRDefault="009E0704" w:rsidP="009E0704">
      <w:pPr>
        <w:spacing w:after="0" w:line="240" w:lineRule="auto"/>
        <w:jc w:val="both"/>
        <w:rPr>
          <w:rFonts w:ascii="Times New Roman" w:hAnsi="Times New Roman" w:cs="Times New Roman"/>
          <w:sz w:val="24"/>
          <w:szCs w:val="24"/>
        </w:rPr>
      </w:pPr>
      <w:r w:rsidRPr="008F6C0E">
        <w:rPr>
          <w:rFonts w:ascii="Times New Roman" w:hAnsi="Times New Roman" w:cs="Times New Roman"/>
          <w:sz w:val="24"/>
          <w:szCs w:val="24"/>
        </w:rPr>
        <w:t xml:space="preserve">3.Совет руководителей высших органов финансового контроля государств – участников Содружества Независимых Государств- </w:t>
      </w:r>
      <w:hyperlink r:id="rId6" w:history="1">
        <w:r w:rsidRPr="008F6C0E">
          <w:rPr>
            <w:rStyle w:val="a3"/>
            <w:rFonts w:ascii="Times New Roman" w:hAnsi="Times New Roman" w:cs="Times New Roman"/>
          </w:rPr>
          <w:t>http://old.ach.gov.ru/activities/international/ cooperation-with-foreign-sais/</w:t>
        </w:r>
      </w:hyperlink>
    </w:p>
    <w:p w:rsidR="009E0704" w:rsidRPr="003B3646" w:rsidRDefault="009E0704" w:rsidP="009E0704">
      <w:pPr>
        <w:spacing w:after="0" w:line="240" w:lineRule="auto"/>
        <w:ind w:firstLine="708"/>
        <w:jc w:val="both"/>
        <w:rPr>
          <w:rFonts w:ascii="Times New Roman" w:hAnsi="Times New Roman" w:cs="Times New Roman"/>
          <w:sz w:val="24"/>
          <w:szCs w:val="24"/>
        </w:rPr>
      </w:pPr>
    </w:p>
    <w:p w:rsidR="00161ADB" w:rsidRDefault="00161ADB"/>
    <w:sectPr w:rsidR="00161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56"/>
    <w:rsid w:val="00161ADB"/>
    <w:rsid w:val="004F2E56"/>
    <w:rsid w:val="00795A14"/>
    <w:rsid w:val="007B11D8"/>
    <w:rsid w:val="009E0704"/>
    <w:rsid w:val="00D74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2EE4F-4302-4715-8C5A-4FDB6529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E0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d.ach.gov.ru/activities/international/%20cooperation-with-foreign-sais/" TargetMode="External"/><Relationship Id="rId5" Type="http://schemas.openxmlformats.org/officeDocument/2006/relationships/hyperlink" Target="http://rufincontrol.ru/" TargetMode="External"/><Relationship Id="rId4" Type="http://schemas.openxmlformats.org/officeDocument/2006/relationships/hyperlink" Target="https://e-cis.info/cooperation/3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1865</Words>
  <Characters>10633</Characters>
  <Application>Microsoft Office Word</Application>
  <DocSecurity>0</DocSecurity>
  <Lines>88</Lines>
  <Paragraphs>24</Paragraphs>
  <ScaleCrop>false</ScaleCrop>
  <Company>SPecialiST RePack</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2020-05-22T18:54:00Z</dcterms:created>
  <dcterms:modified xsi:type="dcterms:W3CDTF">2020-05-22T18:55:00Z</dcterms:modified>
</cp:coreProperties>
</file>