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07B" w:rsidRPr="004D6B85" w:rsidRDefault="000A007B" w:rsidP="000A007B">
      <w:pPr>
        <w:pStyle w:val="a7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D6B85">
        <w:rPr>
          <w:rFonts w:ascii="Times New Roman" w:hAnsi="Times New Roman" w:cs="Times New Roman"/>
          <w:sz w:val="24"/>
          <w:szCs w:val="24"/>
          <w:lang w:val="ru-RU"/>
        </w:rPr>
        <w:t>ЛИЯНИЕ ШЕЛКОВОГО ПУТИ</w:t>
      </w:r>
      <w:r w:rsidRPr="004D6B85">
        <w:rPr>
          <w:rFonts w:ascii="Times New Roman" w:eastAsia="SimSun" w:hAnsi="Times New Roman" w:cs="Times New Roman"/>
          <w:color w:val="212121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212121"/>
          <w:kern w:val="0"/>
          <w:sz w:val="24"/>
          <w:szCs w:val="24"/>
          <w:lang w:val="ru-RU"/>
        </w:rPr>
        <w:t>НА Ф</w:t>
      </w:r>
      <w:r w:rsidRPr="004D6B85">
        <w:rPr>
          <w:rFonts w:ascii="Times New Roman" w:eastAsia="SimSun" w:hAnsi="Times New Roman" w:cs="Times New Roman"/>
          <w:color w:val="212121"/>
          <w:kern w:val="0"/>
          <w:sz w:val="24"/>
          <w:szCs w:val="24"/>
          <w:lang w:val="ru-RU"/>
        </w:rPr>
        <w:t xml:space="preserve">ИНАНСОВЫЙ РЫНОК </w:t>
      </w:r>
      <w:r>
        <w:rPr>
          <w:rFonts w:ascii="Times New Roman" w:eastAsia="SimSun" w:hAnsi="Times New Roman" w:cs="Times New Roman"/>
          <w:color w:val="212121"/>
          <w:kern w:val="0"/>
          <w:sz w:val="24"/>
          <w:szCs w:val="24"/>
          <w:lang w:val="ru-RU"/>
        </w:rPr>
        <w:t>КАЗАХСТАНА</w:t>
      </w:r>
      <w:bookmarkEnd w:id="0"/>
    </w:p>
    <w:p w:rsidR="000A007B" w:rsidRPr="004D6B85" w:rsidRDefault="000A007B" w:rsidP="000A007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07B" w:rsidRPr="004D6B85" w:rsidRDefault="000A007B" w:rsidP="000A007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Сюе Ченьбо</w:t>
      </w:r>
    </w:p>
    <w:p w:rsidR="000A007B" w:rsidRDefault="000A007B" w:rsidP="000A007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90F17">
        <w:rPr>
          <w:rFonts w:ascii="Times New Roman" w:hAnsi="Times New Roman" w:cs="Times New Roman"/>
          <w:color w:val="000000" w:themeColor="text1"/>
          <w:sz w:val="24"/>
          <w:szCs w:val="24"/>
        </w:rPr>
        <w:t>КазНУ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</w:t>
      </w:r>
      <w:r w:rsidRPr="00890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ВШЭиБ</w:t>
      </w:r>
    </w:p>
    <w:p w:rsidR="000A007B" w:rsidRDefault="000A007B" w:rsidP="000A007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D6B85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4D6B85">
        <w:rPr>
          <w:rFonts w:ascii="Times New Roman" w:hAnsi="Times New Roman" w:cs="Times New Roman"/>
          <w:sz w:val="24"/>
          <w:szCs w:val="24"/>
        </w:rPr>
        <w:t xml:space="preserve"> курса </w:t>
      </w:r>
    </w:p>
    <w:p w:rsidR="000A007B" w:rsidRPr="004D6B85" w:rsidRDefault="000A007B" w:rsidP="000A007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D6B85">
        <w:rPr>
          <w:rFonts w:ascii="Times New Roman" w:hAnsi="Times New Roman" w:cs="Times New Roman"/>
          <w:sz w:val="24"/>
          <w:szCs w:val="24"/>
        </w:rPr>
        <w:t>специальность Финансы</w:t>
      </w:r>
    </w:p>
    <w:p w:rsidR="000A007B" w:rsidRDefault="000A007B" w:rsidP="000A007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A007B" w:rsidRPr="004D6B85" w:rsidRDefault="000A007B" w:rsidP="000A007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D6B85"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r w:rsidRPr="004D6B85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Сырлыбаева Н.Ш.</w:t>
      </w:r>
    </w:p>
    <w:p w:rsidR="000A007B" w:rsidRDefault="000A007B" w:rsidP="000A007B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SimSun" w:hAnsi="Times New Roman" w:cs="Times New Roman"/>
          <w:color w:val="212121"/>
          <w:sz w:val="24"/>
          <w:szCs w:val="24"/>
        </w:rPr>
      </w:pPr>
      <w:r w:rsidRPr="004D6B85">
        <w:rPr>
          <w:rFonts w:ascii="Times New Roman" w:hAnsi="Times New Roman" w:cs="Times New Roman"/>
          <w:sz w:val="24"/>
          <w:szCs w:val="24"/>
        </w:rPr>
        <w:t>к.э.н., доцент</w:t>
      </w:r>
    </w:p>
    <w:p w:rsidR="000A007B" w:rsidRDefault="000A007B" w:rsidP="000A007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SimSun" w:hAnsi="Times New Roman" w:cs="Times New Roman"/>
          <w:color w:val="212121"/>
          <w:sz w:val="24"/>
          <w:szCs w:val="24"/>
        </w:rPr>
      </w:pPr>
    </w:p>
    <w:p w:rsidR="000A007B" w:rsidRPr="008F6C0E" w:rsidRDefault="000A007B" w:rsidP="000A007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8F6C0E">
        <w:rPr>
          <w:rFonts w:ascii="Times New Roman" w:eastAsia="SimSun" w:hAnsi="Times New Roman" w:cs="Times New Roman"/>
          <w:sz w:val="24"/>
          <w:szCs w:val="24"/>
        </w:rPr>
        <w:t>Финансовый рынок представляет собой чрезвычайно сложную систему, в которой деньги и другие финансовые активы предприятий и других его участников обращаются самостоятельно, независимо от характера обращения реальных товаров. Этот рынок оперирует многообразными финансовыми инструментами, обслуживается специфическими финансовыми институтами, располагает довольно разветвленной и разнообразной финансовой инфраструктурой.</w:t>
      </w:r>
    </w:p>
    <w:p w:rsidR="000A007B" w:rsidRPr="008F6C0E" w:rsidRDefault="000A007B" w:rsidP="000A007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8F6C0E">
        <w:rPr>
          <w:rFonts w:ascii="Times New Roman" w:eastAsia="SimSun" w:hAnsi="Times New Roman" w:cs="Times New Roman"/>
          <w:sz w:val="24"/>
          <w:szCs w:val="24"/>
        </w:rPr>
        <w:t>В экономической системе страны, функционирующей на рыночных принципах, финансовый рынок играет большую роль, которая определяется следующими основными его </w:t>
      </w:r>
      <w:r w:rsidRPr="008F6C0E">
        <w:rPr>
          <w:rFonts w:ascii="Times New Roman" w:eastAsia="SimSun" w:hAnsi="Times New Roman" w:cs="Times New Roman"/>
          <w:bCs/>
          <w:sz w:val="24"/>
          <w:szCs w:val="24"/>
          <w:bdr w:val="none" w:sz="0" w:space="0" w:color="auto" w:frame="1"/>
        </w:rPr>
        <w:t>функциями</w:t>
      </w:r>
      <w:r w:rsidRPr="008F6C0E">
        <w:rPr>
          <w:rFonts w:ascii="Times New Roman" w:eastAsia="SimSun" w:hAnsi="Times New Roman" w:cs="Times New Roman"/>
          <w:sz w:val="24"/>
          <w:szCs w:val="24"/>
        </w:rPr>
        <w:t>:</w:t>
      </w:r>
    </w:p>
    <w:p w:rsidR="000A007B" w:rsidRPr="008F6C0E" w:rsidRDefault="000A007B" w:rsidP="000A007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8F6C0E">
        <w:rPr>
          <w:rFonts w:ascii="Times New Roman" w:eastAsia="SimSun" w:hAnsi="Times New Roman" w:cs="Times New Roman"/>
          <w:sz w:val="24"/>
          <w:szCs w:val="24"/>
        </w:rPr>
        <w:t>Активной </w:t>
      </w:r>
      <w:r w:rsidRPr="008F6C0E">
        <w:rPr>
          <w:rFonts w:ascii="Times New Roman" w:eastAsia="SimSun" w:hAnsi="Times New Roman" w:cs="Times New Roman"/>
          <w:i/>
          <w:iCs/>
          <w:sz w:val="24"/>
          <w:szCs w:val="24"/>
          <w:bdr w:val="none" w:sz="0" w:space="0" w:color="auto" w:frame="1"/>
        </w:rPr>
        <w:t>мобилизацией временно свободного капитала из многообразных источников</w:t>
      </w:r>
      <w:r w:rsidRPr="008F6C0E">
        <w:rPr>
          <w:rFonts w:ascii="Times New Roman" w:eastAsia="SimSun" w:hAnsi="Times New Roman" w:cs="Times New Roman"/>
          <w:sz w:val="24"/>
          <w:szCs w:val="24"/>
        </w:rPr>
        <w:t>. Этот свободный капитал, находящийся в форме общественных сбережений, т.е. денежных и других финансовых ресурсов населения, предприятий, государственных органов, не истраченных на текущее потребление и реальное инвестирование, вовлекается через механизм финансового рынка отдельными его участниками для последующего эффективного использования в экономике страны.</w:t>
      </w:r>
    </w:p>
    <w:p w:rsidR="000A007B" w:rsidRPr="008F6C0E" w:rsidRDefault="000A007B" w:rsidP="000A007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8F6C0E">
        <w:rPr>
          <w:rFonts w:ascii="Times New Roman" w:eastAsia="SimSun" w:hAnsi="Times New Roman" w:cs="Times New Roman"/>
          <w:sz w:val="24"/>
          <w:szCs w:val="24"/>
        </w:rPr>
        <w:t>Эффективным </w:t>
      </w:r>
      <w:r w:rsidRPr="008F6C0E">
        <w:rPr>
          <w:rFonts w:ascii="Times New Roman" w:eastAsia="SimSun" w:hAnsi="Times New Roman" w:cs="Times New Roman"/>
          <w:i/>
          <w:iCs/>
          <w:sz w:val="24"/>
          <w:szCs w:val="24"/>
          <w:bdr w:val="none" w:sz="0" w:space="0" w:color="auto" w:frame="1"/>
        </w:rPr>
        <w:t>распределением аккумулированного свободного капитала</w:t>
      </w:r>
      <w:r w:rsidRPr="008F6C0E">
        <w:rPr>
          <w:rFonts w:ascii="Times New Roman" w:eastAsia="SimSun" w:hAnsi="Times New Roman" w:cs="Times New Roman"/>
          <w:sz w:val="24"/>
          <w:szCs w:val="24"/>
        </w:rPr>
        <w:t> между многочисленными конечными его потребителями. Механизм функционирования финансового рынка обеспечивает выявление объема и структуры спроса на отдельные финансовые активы и своевременное его удовлетворение в разрезе всех категорий потребителей, временно нуждающихся в привлечении капитала из внешних источников.</w:t>
      </w:r>
    </w:p>
    <w:p w:rsidR="000A007B" w:rsidRPr="008F6C0E" w:rsidRDefault="000A007B" w:rsidP="000A007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8F6C0E">
        <w:rPr>
          <w:rFonts w:ascii="Times New Roman" w:eastAsia="SimSun" w:hAnsi="Times New Roman" w:cs="Times New Roman"/>
          <w:sz w:val="24"/>
          <w:szCs w:val="24"/>
        </w:rPr>
        <w:t>Определением наиболее </w:t>
      </w:r>
      <w:r w:rsidRPr="008F6C0E">
        <w:rPr>
          <w:rFonts w:ascii="Times New Roman" w:eastAsia="SimSun" w:hAnsi="Times New Roman" w:cs="Times New Roman"/>
          <w:i/>
          <w:iCs/>
          <w:sz w:val="24"/>
          <w:szCs w:val="24"/>
          <w:bdr w:val="none" w:sz="0" w:space="0" w:color="auto" w:frame="1"/>
        </w:rPr>
        <w:t>эффективных направлений использования капитала в инвестиционной сфере</w:t>
      </w:r>
      <w:r w:rsidRPr="008F6C0E">
        <w:rPr>
          <w:rFonts w:ascii="Times New Roman" w:eastAsia="SimSun" w:hAnsi="Times New Roman" w:cs="Times New Roman"/>
          <w:sz w:val="24"/>
          <w:szCs w:val="24"/>
        </w:rPr>
        <w:t>. Удовлетворяя значительный объем и обширнейший круг инвестиционных потребностей хозяйствующих субъектов, механизм финансового рынка через систему ценообразования на отдельные инвестиционные инструменты выявляет наиболее эффективные сферы и направления инвестиционных потоков с позиций обеспечения высокого уровня доходности используемого в этих целях капитала.</w:t>
      </w:r>
    </w:p>
    <w:p w:rsidR="000A007B" w:rsidRPr="008F6C0E" w:rsidRDefault="000A007B" w:rsidP="000A007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8F6C0E">
        <w:rPr>
          <w:rFonts w:ascii="Times New Roman" w:eastAsia="SimSun" w:hAnsi="Times New Roman" w:cs="Times New Roman"/>
          <w:i/>
          <w:iCs/>
          <w:sz w:val="24"/>
          <w:szCs w:val="24"/>
          <w:bdr w:val="none" w:sz="0" w:space="0" w:color="auto" w:frame="1"/>
        </w:rPr>
        <w:t>Формированием рыночных цен на отдельные финансовые инструменты</w:t>
      </w:r>
      <w:r w:rsidRPr="008F6C0E">
        <w:rPr>
          <w:rFonts w:ascii="Times New Roman" w:eastAsia="SimSun" w:hAnsi="Times New Roman" w:cs="Times New Roman"/>
          <w:sz w:val="24"/>
          <w:szCs w:val="24"/>
        </w:rPr>
        <w:t> и услуги, наиболее объективно отражающим складывающееся соотношение между их предложением и спросом. Рыночный механизм ценообразования совершенно противоположен государственному, хотя и находится под определенным воздействием государственного регулирования. Этот рыночный механизм позволяет полностью учесть текущее соотношение спроса и предложения по разнообразным финансовым инструментам, формирующее соответствующий уровень цен на них; в максимальной степени удовлетворить экономические интересы продавцов и покупателей финансовых активов.</w:t>
      </w:r>
    </w:p>
    <w:p w:rsidR="000A007B" w:rsidRPr="008F6C0E" w:rsidRDefault="000A007B" w:rsidP="000A007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8F6C0E">
        <w:rPr>
          <w:rFonts w:ascii="Times New Roman" w:eastAsia="SimSun" w:hAnsi="Times New Roman" w:cs="Times New Roman"/>
          <w:i/>
          <w:iCs/>
          <w:sz w:val="24"/>
          <w:szCs w:val="24"/>
          <w:bdr w:val="none" w:sz="0" w:space="0" w:color="auto" w:frame="1"/>
        </w:rPr>
        <w:t>Осуществлением квалифицированного посредничества между продавцом и покупателем финансовых инструментов</w:t>
      </w:r>
      <w:r w:rsidRPr="008F6C0E">
        <w:rPr>
          <w:rFonts w:ascii="Times New Roman" w:eastAsia="SimSun" w:hAnsi="Times New Roman" w:cs="Times New Roman"/>
          <w:sz w:val="24"/>
          <w:szCs w:val="24"/>
        </w:rPr>
        <w:t xml:space="preserve">. В системе финансового рынка получили "прописку" специальные финансовые институты, осуществляющие такое посредничество. Такие финансовые посредники хорошо ознакомлены с состоянием текущей финансовой конъюнктуры, условиями осуществления сделок по различным финансовым инструментам и в кратчайшие сроки могут обеспечить связь продавцов и покупателей. Финансовое </w:t>
      </w:r>
      <w:r w:rsidRPr="008F6C0E">
        <w:rPr>
          <w:rFonts w:ascii="Times New Roman" w:eastAsia="SimSun" w:hAnsi="Times New Roman" w:cs="Times New Roman"/>
          <w:sz w:val="24"/>
          <w:szCs w:val="24"/>
        </w:rPr>
        <w:lastRenderedPageBreak/>
        <w:t>посредничество способствует ускорению не только финансовых, но и товарных потоков, обеспечивает минимизацию связанных с этим общественных затрат.</w:t>
      </w:r>
    </w:p>
    <w:p w:rsidR="000A007B" w:rsidRPr="008F6C0E" w:rsidRDefault="000A007B" w:rsidP="000A007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8F6C0E">
        <w:rPr>
          <w:rFonts w:ascii="Times New Roman" w:eastAsia="SimSun" w:hAnsi="Times New Roman" w:cs="Times New Roman"/>
          <w:i/>
          <w:iCs/>
          <w:sz w:val="24"/>
          <w:szCs w:val="24"/>
          <w:bdr w:val="none" w:sz="0" w:space="0" w:color="auto" w:frame="1"/>
        </w:rPr>
        <w:t>Формированием условий для минимизации финансового и коммерческого риска</w:t>
      </w:r>
      <w:r w:rsidRPr="008F6C0E">
        <w:rPr>
          <w:rFonts w:ascii="Times New Roman" w:eastAsia="SimSun" w:hAnsi="Times New Roman" w:cs="Times New Roman"/>
          <w:sz w:val="24"/>
          <w:szCs w:val="24"/>
        </w:rPr>
        <w:t>. Финансовый рынок выработал свой собственный механизм страхования ценового риска (и соответствующую систему специальных финансовых инструментов), который в условиях нестабильности экономического развития страны и конъюнктуры финансового и товарного рынков позволяют до минимума снизить финансовый и коммерческий риск продавцов и покупателей финансовых активов и реального товара, связанный с изменением цен на них. Кроме того, в системе финансового рынка получило широкое развитие предложение разнообразных страховых услуг.</w:t>
      </w:r>
    </w:p>
    <w:p w:rsidR="000A007B" w:rsidRPr="008F6C0E" w:rsidRDefault="000A007B" w:rsidP="000A007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8F6C0E">
        <w:rPr>
          <w:rFonts w:ascii="Times New Roman" w:eastAsia="SimSun" w:hAnsi="Times New Roman" w:cs="Times New Roman"/>
          <w:i/>
          <w:iCs/>
          <w:sz w:val="24"/>
          <w:szCs w:val="24"/>
          <w:bdr w:val="none" w:sz="0" w:space="0" w:color="auto" w:frame="1"/>
        </w:rPr>
        <w:t>Ускорением оборота капитала</w:t>
      </w:r>
      <w:r w:rsidRPr="008F6C0E">
        <w:rPr>
          <w:rFonts w:ascii="Times New Roman" w:eastAsia="SimSun" w:hAnsi="Times New Roman" w:cs="Times New Roman"/>
          <w:sz w:val="24"/>
          <w:szCs w:val="24"/>
        </w:rPr>
        <w:t>, способствующим активизации экономических процессов. Обеспечивая мобилизацию, распределение и эффективное использование свободного капитала, удовлетворение в кратчайшие сроки потребности в нем отдельных хозяйствующих субъектов, финансовый рынок способствует ускорению оборота используемого капитала, каждый цикл которого генерирует дополнительную прибыль и прирост национального дохода в целом.</w:t>
      </w:r>
    </w:p>
    <w:p w:rsidR="000A007B" w:rsidRPr="008F6C0E" w:rsidRDefault="000A007B" w:rsidP="000A007B">
      <w:pPr>
        <w:pStyle w:val="a7"/>
        <w:spacing w:before="0" w:after="0" w:line="240" w:lineRule="auto"/>
        <w:ind w:firstLineChars="450" w:firstLine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6C0E">
        <w:rPr>
          <w:rFonts w:ascii="Times New Roman" w:hAnsi="Times New Roman" w:cs="Times New Roman"/>
          <w:sz w:val="24"/>
          <w:szCs w:val="24"/>
          <w:lang w:val="ru-RU"/>
        </w:rPr>
        <w:t>Влияние шелкового пути</w:t>
      </w:r>
    </w:p>
    <w:p w:rsidR="000A007B" w:rsidRPr="008F6C0E" w:rsidRDefault="000A007B" w:rsidP="000A00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F6C0E"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Одним из ключевых партнеров Казахстана среди государств экономического пояса НШП выступает Китай. </w:t>
      </w:r>
      <w:r w:rsidRPr="008F6C0E">
        <w:rPr>
          <w:rFonts w:ascii="Times New Roman" w:eastAsia="SimSun" w:hAnsi="Times New Roman" w:cs="Times New Roman"/>
          <w:sz w:val="24"/>
          <w:szCs w:val="24"/>
        </w:rPr>
        <w:t>Китай занимает первое место в мире по экспорту и второе – по импорту товаров. В торгово-экономическом сотрудничестве Казахстана и Китая можно выделить четыре этапа: с 2002 по 2005 гг. – переход к долгосрочному сотрудничеству, наращивание китайского экономического присутствия в Казахстане; с 2005 по 2009 годы выстраивание основных стратегических направлений сотрудничества, внедрение в ключевые сектора казахстанской экономики (в 2005 году китайско-казахстанское сотрудничество было объявлено стратегическим). РК рассматривалась Китаем, как один из важнейших политических и экономических партнеров на постсоветском пространстве; с 2009 по 2015 гг. – реализация крупных совместных проектов (прежде всего нефтегазовых), закрепление позиций Китая в экономике РК; с 2015 года по настоящее время – расширение и углубление торгово-экономического сотрудничества в рамках </w:t>
      </w:r>
      <w:r w:rsidRPr="008F6C0E">
        <w:rPr>
          <w:rFonts w:ascii="Times New Roman" w:eastAsia="SimSun" w:hAnsi="Times New Roman" w:cs="Times New Roman"/>
          <w:b/>
          <w:bCs/>
          <w:sz w:val="24"/>
          <w:szCs w:val="24"/>
        </w:rPr>
        <w:t>«экономического пояса Нового Шелкового пути»</w:t>
      </w:r>
      <w:r w:rsidRPr="008F6C0E">
        <w:rPr>
          <w:rFonts w:ascii="Times New Roman" w:eastAsia="SimSun" w:hAnsi="Times New Roman" w:cs="Times New Roman"/>
          <w:sz w:val="24"/>
          <w:szCs w:val="24"/>
        </w:rPr>
        <w:t>. С 2015 года Китай стал вторым по значимости торговым партнером для Казахстана. На долю китайских партнеров приходилось в 2015 году 13,9% в общем объеме товарооборота Казахстана..</w:t>
      </w:r>
    </w:p>
    <w:p w:rsidR="000A007B" w:rsidRPr="008F6C0E" w:rsidRDefault="000A007B" w:rsidP="000A00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F6C0E"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За анализируемый период объем взаимного товарообоорта РК и КНР вырос в 12,9 раза. </w:t>
      </w:r>
      <w:r w:rsidRPr="008F6C0E">
        <w:rPr>
          <w:rFonts w:ascii="Times New Roman" w:eastAsia="SimSun" w:hAnsi="Times New Roman" w:cs="Times New Roman"/>
          <w:sz w:val="24"/>
          <w:szCs w:val="24"/>
        </w:rPr>
        <w:t>Хотя на на динамику этого показателя значительное влияние оказали последствия всемирного экономического кризиса. Так, если за 20012010гг. общий объем товарооборота имел тенденцию к росту, что видно по удельным весам товарооборота этой пары стран в общем объеме товарооборота РК (с 5,5% в 2001г. до 17,3% в 2010 г.),то в 2011г. наметилось некоторое снижение (до 16,9%), в 2012 г. – рост до 17%, но уже с 2013 года опять наблюдалось снижение доли Китая в объме товарооборота РК (с 17% до 13,9%).</w:t>
      </w:r>
    </w:p>
    <w:p w:rsidR="000A007B" w:rsidRPr="008F6C0E" w:rsidRDefault="000A007B" w:rsidP="000A007B">
      <w:pPr>
        <w:pStyle w:val="a5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6C0E">
        <w:rPr>
          <w:rFonts w:ascii="Times New Roman" w:hAnsi="Times New Roman" w:cs="Times New Roman"/>
          <w:sz w:val="24"/>
          <w:szCs w:val="24"/>
          <w:lang w:val="ru-RU"/>
        </w:rPr>
        <w:t>Развитие Шелкового Пути</w:t>
      </w:r>
    </w:p>
    <w:p w:rsidR="000A007B" w:rsidRPr="008F6C0E" w:rsidRDefault="000A007B" w:rsidP="000A00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F6C0E">
        <w:rPr>
          <w:rFonts w:ascii="Times New Roman" w:eastAsia="SimSun" w:hAnsi="Times New Roman" w:cs="Times New Roman"/>
          <w:sz w:val="24"/>
          <w:szCs w:val="24"/>
        </w:rPr>
        <w:t>По данным Главного таможенного управления КНР, товарооборот между РК и КНР в 2017 году составил 18,0 млрд долл., увеличившись на 37,4 % по сравнению с 2016 г., в том числе экспорт РК — 6,35 млрд. (+ 32,3 %), импорт РК — 11,64 млрд долл. (+40,4).</w:t>
      </w:r>
    </w:p>
    <w:p w:rsidR="000A007B" w:rsidRPr="008F6C0E" w:rsidRDefault="000A007B" w:rsidP="000A00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F6C0E">
        <w:rPr>
          <w:rFonts w:ascii="Times New Roman" w:eastAsia="SimSun" w:hAnsi="Times New Roman" w:cs="Times New Roman"/>
          <w:sz w:val="24"/>
          <w:szCs w:val="24"/>
        </w:rPr>
        <w:t>По данным Комитета государственных доходов Министерства финансов РК, торговый оборот РК-КНР в январе-декабре 2017 г. составил 10,4 млрд долл. США, увеличившись на 32,6 % по сравнению с аналогичным периодом 2016 г., включая экспорт РК — 5,7 млрд долл. (+36,6 %) и импорт — 4,7 млрд долл. (+27,9 %).</w:t>
      </w:r>
    </w:p>
    <w:p w:rsidR="000A007B" w:rsidRPr="008F6C0E" w:rsidRDefault="000A007B" w:rsidP="000A007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C0E">
        <w:rPr>
          <w:rFonts w:ascii="Times New Roman" w:hAnsi="Times New Roman" w:cs="Times New Roman"/>
          <w:sz w:val="24"/>
          <w:szCs w:val="24"/>
        </w:rPr>
        <w:t>Показатель расхождения в таможенной статистике Казахстана и Китая в 2017 году вырос в 1,5 раза, до 6,92 млрд долларов.</w:t>
      </w:r>
    </w:p>
    <w:p w:rsidR="000A007B" w:rsidRPr="008F6C0E" w:rsidRDefault="000A007B" w:rsidP="000A007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C0E">
        <w:rPr>
          <w:rFonts w:ascii="Times New Roman" w:hAnsi="Times New Roman" w:cs="Times New Roman"/>
          <w:sz w:val="24"/>
          <w:szCs w:val="24"/>
        </w:rPr>
        <w:t xml:space="preserve">Разночтения во взаимной торговле Казахстана и Китая в 2016 году составляли 4,6 млрд долларов и традиционно колебались на этом уровне. Однако итоги прошлого года демонстрируют тренд на переход расхождений в категорию существенных. Объем </w:t>
      </w:r>
      <w:r w:rsidRPr="008F6C0E">
        <w:rPr>
          <w:rFonts w:ascii="Times New Roman" w:hAnsi="Times New Roman" w:cs="Times New Roman"/>
          <w:sz w:val="24"/>
          <w:szCs w:val="24"/>
        </w:rPr>
        <w:lastRenderedPageBreak/>
        <w:t>взаимной торговли между странами в 2017 году вырос на треть (32,6%, +2,6 млрд долларов), до 10,5 млрд долларов, гласит статистика КГД. Положительное сальдо в торговле с КНР за прошлый год удвоилось, до 1,09 млрд долларов (экспорт – 5,8 млрд, импорт – 4,7 млрд долларов). Однако размер расхождений (6,92 млрд долларов) превысил 66% взаимного товарооборота, против 59% годом ранее. Основными экспортными товарными позициями Казахстана явились: рафинированная медь и сплавы из нее (1,1 млрд долларов), радиоактивные элементы (1,02 млрд), медные концентраты (915,7 млн), ферросплавы (867,6 млн), нефть (853,4 млн), цинк (325,5 млн) и газ (127,8 млн). Из КНР ввозятся преимущественно сотовые телефоны/аппараты (464,6 млн долларов), обувь (около 120 млн), а также ряд других товаров (в том числе автопокрышки, стиральные машины).</w:t>
      </w:r>
    </w:p>
    <w:p w:rsidR="000A007B" w:rsidRPr="008F6C0E" w:rsidRDefault="000A007B" w:rsidP="000A00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C0E">
        <w:rPr>
          <w:rFonts w:ascii="Times New Roman" w:hAnsi="Times New Roman" w:cs="Times New Roman"/>
          <w:sz w:val="24"/>
          <w:szCs w:val="24"/>
        </w:rPr>
        <w:t>Импорт из КНР в Казахстан, по китайской и казахстанской статистике, в 2017 году составлял $11,6 млрд и $4,7 млрд, или с разницей почти в 60%. Реальные показатели импорта китайской продукции в Казахстан занижены до 90% по социально значимым группам товаров (одежда, обувь, чулочно-носочная продукция, постельное белье, мебель, игрушки, транспортные средства и другое). В товарной номенклатуре наибольшая разница (на основе данных 2017 года) складывается по: обувь/гетры ($1,5 млрд), трикотажные ($800 млн) и не трикотажные (820 млн долларов)  изделия и одежда, игрушки (570 млн долларов) и транспортные средства ($340 млн). Наибольшее количество нестыковок в статданных стран наблюдается по таким группам товаров, как изделия из черных металлов, фармацевтические продукты, химические продукты, изделия из плас</w:t>
      </w:r>
      <w:r>
        <w:rPr>
          <w:rFonts w:ascii="Times New Roman" w:hAnsi="Times New Roman" w:cs="Times New Roman"/>
          <w:sz w:val="24"/>
          <w:szCs w:val="24"/>
        </w:rPr>
        <w:t xml:space="preserve">тмассы, подчеркивают </w:t>
      </w:r>
      <w:r w:rsidRPr="008F6C0E">
        <w:rPr>
          <w:rFonts w:ascii="Times New Roman" w:hAnsi="Times New Roman" w:cs="Times New Roman"/>
          <w:sz w:val="24"/>
          <w:szCs w:val="24"/>
        </w:rPr>
        <w:t>в Transparency International Казахстан.</w:t>
      </w:r>
      <w:r w:rsidRPr="008F6C0E">
        <w:rPr>
          <w:rFonts w:ascii="Times New Roman" w:hAnsi="Times New Roman" w:cs="Times New Roman"/>
          <w:sz w:val="24"/>
          <w:szCs w:val="24"/>
        </w:rPr>
        <w:br/>
      </w:r>
      <w:r w:rsidRPr="008F6C0E">
        <w:rPr>
          <w:rFonts w:ascii="Times New Roman" w:hAnsi="Times New Roman" w:cs="Times New Roman"/>
          <w:sz w:val="24"/>
          <w:szCs w:val="24"/>
        </w:rPr>
        <w:br/>
      </w:r>
      <w:r w:rsidRPr="008F6C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Список использованной литературы: </w:t>
      </w:r>
    </w:p>
    <w:p w:rsidR="000A007B" w:rsidRPr="008F6C0E" w:rsidRDefault="000A007B" w:rsidP="000A007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F6C0E">
        <w:rPr>
          <w:rStyle w:val="a3"/>
          <w:rFonts w:ascii="Times New Roman" w:hAnsi="Times New Roman" w:cs="Times New Roman"/>
          <w:sz w:val="24"/>
          <w:szCs w:val="24"/>
        </w:rPr>
        <w:t>1.</w:t>
      </w:r>
      <w:r w:rsidRPr="008F6C0E">
        <w:rPr>
          <w:rFonts w:ascii="Times New Roman" w:hAnsi="Times New Roman" w:cs="Times New Roman"/>
          <w:sz w:val="24"/>
          <w:szCs w:val="24"/>
        </w:rPr>
        <w:t xml:space="preserve"> </w:t>
      </w:r>
      <w:r w:rsidRPr="008F6C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Разница в таможенной статистике РК и КНР https://inbusiness.kz/ru/news/raznica-v-tamozhennoj-statistike-rk-i-knr-upala-do-6-mlrd</w:t>
      </w:r>
      <w:r w:rsidRPr="008F6C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6C0E">
        <w:rPr>
          <w:rStyle w:val="a3"/>
          <w:rFonts w:ascii="Times New Roman" w:hAnsi="Times New Roman" w:cs="Times New Roman"/>
          <w:sz w:val="24"/>
          <w:szCs w:val="24"/>
        </w:rPr>
        <w:t>2.</w:t>
      </w:r>
      <w:r w:rsidRPr="008F6C0E">
        <w:rPr>
          <w:rFonts w:ascii="Times New Roman" w:hAnsi="Times New Roman" w:cs="Times New Roman"/>
          <w:sz w:val="24"/>
          <w:szCs w:val="24"/>
        </w:rPr>
        <w:t xml:space="preserve"> </w:t>
      </w:r>
      <w:r w:rsidRPr="008F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Расхождения в таможенной статистике РК и КНР </w:t>
      </w:r>
      <w:hyperlink r:id="rId5" w:history="1">
        <w:r w:rsidRPr="008F6C0E">
          <w:rPr>
            <w:rStyle w:val="a3"/>
            <w:rFonts w:ascii="Times New Roman" w:hAnsi="Times New Roman" w:cs="Times New Roman"/>
            <w:sz w:val="24"/>
            <w:szCs w:val="24"/>
          </w:rPr>
          <w:t>https://inbusiness.kz/ru /news/rashozhdeniya-</w:t>
        </w:r>
      </w:hyperlink>
      <w:r w:rsidRPr="008F6C0E">
        <w:rPr>
          <w:rFonts w:ascii="Times New Roman" w:eastAsia="Times New Roman" w:hAnsi="Times New Roman" w:cs="Times New Roman"/>
          <w:sz w:val="24"/>
          <w:szCs w:val="24"/>
          <w:lang w:eastAsia="ru-RU"/>
        </w:rPr>
        <w:t>v-tamozhennoj-statistike-rk-i-knr-vyrosli-v-1-5-raza</w:t>
      </w:r>
      <w:r w:rsidRPr="008F6C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A007B" w:rsidRPr="008F6C0E" w:rsidRDefault="000A007B" w:rsidP="000A00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007B" w:rsidRPr="008F6C0E" w:rsidRDefault="000A007B" w:rsidP="000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07B" w:rsidRPr="008F6C0E" w:rsidRDefault="000A007B" w:rsidP="000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07B" w:rsidRPr="008F6C0E" w:rsidRDefault="000A007B" w:rsidP="000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07B" w:rsidRPr="008F6C0E" w:rsidRDefault="000A007B" w:rsidP="000A007B">
      <w:pPr>
        <w:rPr>
          <w:rStyle w:val="a4"/>
          <w:sz w:val="24"/>
          <w:szCs w:val="24"/>
          <w:lang w:val="kk-KZ"/>
        </w:rPr>
      </w:pPr>
      <w:r w:rsidRPr="008F6C0E">
        <w:rPr>
          <w:rStyle w:val="a4"/>
          <w:sz w:val="24"/>
          <w:szCs w:val="24"/>
          <w:lang w:val="kk-KZ"/>
        </w:rPr>
        <w:br w:type="page"/>
      </w:r>
    </w:p>
    <w:p w:rsidR="00161ADB" w:rsidRDefault="00161ADB"/>
    <w:sectPr w:rsidR="00161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D4EA2"/>
    <w:multiLevelType w:val="multilevel"/>
    <w:tmpl w:val="B20C1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8C"/>
    <w:rsid w:val="000A007B"/>
    <w:rsid w:val="0015418C"/>
    <w:rsid w:val="00161ADB"/>
    <w:rsid w:val="00795A14"/>
    <w:rsid w:val="007B11D8"/>
    <w:rsid w:val="00D7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347C6-6AE5-4694-A041-329326F0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0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A007B"/>
    <w:rPr>
      <w:color w:val="0000FF"/>
      <w:u w:val="single"/>
    </w:rPr>
  </w:style>
  <w:style w:type="character" w:styleId="a4">
    <w:name w:val="Emphasis"/>
    <w:basedOn w:val="a0"/>
    <w:uiPriority w:val="20"/>
    <w:qFormat/>
    <w:rsid w:val="000A007B"/>
    <w:rPr>
      <w:i/>
      <w:iCs/>
    </w:rPr>
  </w:style>
  <w:style w:type="paragraph" w:styleId="a5">
    <w:name w:val="Title"/>
    <w:basedOn w:val="a"/>
    <w:next w:val="a"/>
    <w:link w:val="a6"/>
    <w:uiPriority w:val="10"/>
    <w:qFormat/>
    <w:rsid w:val="000A007B"/>
    <w:pPr>
      <w:widowControl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  <w:lang w:val="en-US" w:eastAsia="zh-CN"/>
    </w:rPr>
  </w:style>
  <w:style w:type="character" w:customStyle="1" w:styleId="a6">
    <w:name w:val="Заголовок Знак"/>
    <w:basedOn w:val="a0"/>
    <w:link w:val="a5"/>
    <w:uiPriority w:val="10"/>
    <w:rsid w:val="000A007B"/>
    <w:rPr>
      <w:rFonts w:asciiTheme="majorHAnsi" w:eastAsiaTheme="majorEastAsia" w:hAnsiTheme="majorHAnsi" w:cstheme="majorBidi"/>
      <w:b/>
      <w:bCs/>
      <w:kern w:val="2"/>
      <w:sz w:val="32"/>
      <w:szCs w:val="32"/>
      <w:lang w:val="en-US" w:eastAsia="zh-CN"/>
    </w:rPr>
  </w:style>
  <w:style w:type="paragraph" w:styleId="a7">
    <w:name w:val="Subtitle"/>
    <w:basedOn w:val="a"/>
    <w:next w:val="a"/>
    <w:link w:val="a8"/>
    <w:uiPriority w:val="11"/>
    <w:qFormat/>
    <w:rsid w:val="000A007B"/>
    <w:pPr>
      <w:widowControl w:val="0"/>
      <w:spacing w:before="240" w:after="60" w:line="312" w:lineRule="auto"/>
      <w:jc w:val="center"/>
      <w:outlineLvl w:val="1"/>
    </w:pPr>
    <w:rPr>
      <w:rFonts w:eastAsiaTheme="minorEastAsia"/>
      <w:b/>
      <w:bCs/>
      <w:kern w:val="28"/>
      <w:sz w:val="32"/>
      <w:szCs w:val="32"/>
      <w:lang w:val="en-US" w:eastAsia="zh-CN"/>
    </w:rPr>
  </w:style>
  <w:style w:type="character" w:customStyle="1" w:styleId="a8">
    <w:name w:val="Подзаголовок Знак"/>
    <w:basedOn w:val="a0"/>
    <w:link w:val="a7"/>
    <w:uiPriority w:val="11"/>
    <w:rsid w:val="000A007B"/>
    <w:rPr>
      <w:rFonts w:eastAsiaTheme="minorEastAsia"/>
      <w:b/>
      <w:bCs/>
      <w:kern w:val="28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business.kz/ru%20/news/rashozhdeniya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1351</Words>
  <Characters>7707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2020-05-22T18:49:00Z</dcterms:created>
  <dcterms:modified xsi:type="dcterms:W3CDTF">2020-05-22T18:50:00Z</dcterms:modified>
</cp:coreProperties>
</file>