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56" w:rsidRDefault="00FF1456" w:rsidP="00FF1456">
      <w:pPr>
        <w:pStyle w:val="2"/>
        <w:spacing w:after="1" w:line="259" w:lineRule="auto"/>
        <w:ind w:left="1419" w:right="0"/>
        <w:jc w:val="center"/>
      </w:pPr>
      <w:r>
        <w:t xml:space="preserve">ҚАЗІРГІ КЕЗДЕГІ ГЕНДЕРЛІК ПСИХОЛОГИЯ МӘСЕЛЕЛЕРІ </w:t>
      </w:r>
      <w:proofErr w:type="gramStart"/>
      <w:r>
        <w:t>ЖӘНЕ  ОЛАРДЫҢ</w:t>
      </w:r>
      <w:proofErr w:type="gramEnd"/>
      <w:r>
        <w:t xml:space="preserve"> ПЕРСПЕКТИВАЛАРЫ</w:t>
      </w:r>
    </w:p>
    <w:p w:rsidR="00FF1456" w:rsidRDefault="00FF1456" w:rsidP="00FF14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FF1456" w:rsidRDefault="00FF1456" w:rsidP="00FF14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F145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Исақожа Б.Ж.</w:t>
      </w:r>
    </w:p>
    <w:p w:rsidR="00FF1456" w:rsidRPr="00FF1456" w:rsidRDefault="00FF1456" w:rsidP="00FF14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F145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Садықова Н.М.</w:t>
      </w:r>
      <w:r w:rsidRPr="00FF1456">
        <w:rPr>
          <w:rFonts w:ascii="Times New Roman" w:hAnsi="Times New Roman" w:cs="Times New Roman"/>
          <w:sz w:val="24"/>
          <w:szCs w:val="24"/>
          <w:lang w:val="kk-KZ"/>
        </w:rPr>
        <w:t>жетекшілігімен</w:t>
      </w:r>
    </w:p>
    <w:p w:rsidR="00FF1456" w:rsidRPr="00FF1456" w:rsidRDefault="00FF1456" w:rsidP="00FF14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F1456">
        <w:rPr>
          <w:rFonts w:ascii="Times New Roman" w:hAnsi="Times New Roman" w:cs="Times New Roman"/>
          <w:sz w:val="24"/>
          <w:szCs w:val="24"/>
          <w:lang w:val="kk-KZ"/>
        </w:rPr>
        <w:t>Әл</w:t>
      </w:r>
      <w:r w:rsidRPr="00FF1456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FF1456">
        <w:rPr>
          <w:rFonts w:ascii="Times New Roman" w:hAnsi="Times New Roman" w:cs="Times New Roman"/>
          <w:sz w:val="24"/>
          <w:szCs w:val="24"/>
          <w:lang w:val="kk-KZ"/>
        </w:rPr>
        <w:t>Фараби атындағы Қазақ ұлттық университеті, Алматы</w:t>
      </w:r>
      <w:r w:rsidRPr="00FF14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e-mail: </w:t>
      </w:r>
      <w:r w:rsidRPr="00FF1456">
        <w:rPr>
          <w:rFonts w:ascii="Times New Roman" w:eastAsia="Times New Roman" w:hAnsi="Times New Roman" w:cs="Times New Roman"/>
          <w:color w:val="0562C1"/>
          <w:sz w:val="24"/>
          <w:szCs w:val="24"/>
          <w:u w:val="single" w:color="0562C1"/>
          <w:lang w:val="kk-KZ"/>
        </w:rPr>
        <w:t>balgyni@gmail.com</w:t>
      </w:r>
    </w:p>
    <w:p w:rsidR="00FF1456" w:rsidRPr="00FF1456" w:rsidRDefault="00FF1456" w:rsidP="00FF14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психология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қарқынды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дамып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психология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ғылымындағы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салаларға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F1456">
        <w:rPr>
          <w:rFonts w:ascii="Times New Roman" w:hAnsi="Times New Roman" w:cs="Times New Roman"/>
          <w:sz w:val="24"/>
          <w:szCs w:val="24"/>
        </w:rPr>
        <w:t xml:space="preserve">педагогика, 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қарқында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дамуда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елдердея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Қаза</w:t>
      </w:r>
      <w:bookmarkStart w:id="0" w:name="_GoBack"/>
      <w:bookmarkEnd w:id="0"/>
      <w:r w:rsidRPr="00FF1456">
        <w:rPr>
          <w:rFonts w:ascii="Times New Roman" w:hAnsi="Times New Roman" w:cs="Times New Roman"/>
          <w:sz w:val="24"/>
          <w:szCs w:val="24"/>
        </w:rPr>
        <w:t>қстанда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конференциялар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жүргізілуде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елдерінде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психология ХХ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жартысында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қарқынды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елдерінде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елге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мәселелеріне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көптен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өткізілуде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институттандыру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елдерінде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1970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жылдардан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жүргізіле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басталды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әйелдерқозғалысының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толқынының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когнитивтік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дамыды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мәселеге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негізігі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: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Жыныстық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рөлдік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Sex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-role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eastAsia="Times New Roman" w:hAnsi="Times New Roman" w:cs="Times New Roman"/>
          <w:sz w:val="24"/>
          <w:szCs w:val="24"/>
        </w:rPr>
        <w:t>theory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FF1456" w:rsidRPr="00FF1456" w:rsidRDefault="00FF1456" w:rsidP="00FF1456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Түбегейлі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феминитсттік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көзқарастың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бейнесі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әйелдерді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studie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FF1456" w:rsidRPr="00FF1456" w:rsidRDefault="00FF1456" w:rsidP="00FF1456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феминисттік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қозғалыстар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әлеуметтікконструктивті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бағыттардың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институттандыру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[7, с. 21].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әйелдермен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еркектер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қарым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қатынасын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Сол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себепті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өтілген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мәселелердің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зерттеулердегі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тенденциясына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ХІХ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соңы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мен ХХ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ғалымдарының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П.Ф.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Каптерев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Вейнингер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Гейманс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объектісі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болмағандығын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жүргізілуін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қиындаттты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[3, с. 127]. ХХ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жартысынан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қалыптасқан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өзгере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психолог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әйелдердің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есімі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зерттуелерде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жыныстар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іргелі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айырмашылықтар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әйелдердің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кемшілігі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жалған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пікірлер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жоққа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шығарылды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танымал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ғалымдардың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Э. Эриксон, А. </w:t>
      </w:r>
      <w:proofErr w:type="gramStart"/>
      <w:r w:rsidRPr="00FF1456">
        <w:rPr>
          <w:rFonts w:ascii="Times New Roman" w:hAnsi="Times New Roman" w:cs="Times New Roman"/>
          <w:sz w:val="24"/>
          <w:szCs w:val="24"/>
        </w:rPr>
        <w:t xml:space="preserve">Адлер,   </w:t>
      </w:r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      К.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Хорни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жұмыстарында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еркектердің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ерекшеліктерінің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қалыптасуында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факторлардың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маңыздылығын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               М.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Мидтің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антропологиялық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жыныстық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рөлдік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әр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мәдениетте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өзгеруі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А. Адлер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құрметпен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қарауды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жасынан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қажеттігін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[1,1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14]. 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Л.С.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Выготскийдің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1920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 xml:space="preserve">1930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көрген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мәдени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концепциясын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. Л.С Выготский: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функциялардың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фактілеріне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біржақты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қате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көзқарастартар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фактілердітарихи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фактісі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қарастыра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алмауда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жаратылыс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1456">
        <w:rPr>
          <w:rFonts w:ascii="Times New Roman" w:hAnsi="Times New Roman" w:cs="Times New Roman"/>
          <w:sz w:val="24"/>
          <w:szCs w:val="24"/>
        </w:rPr>
        <w:t>фактілердің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дамуында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шатастыру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ажырата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алмау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зерттеліп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құбылыстың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ұстанымдарын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қате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түсінуде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»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[2, 513]. Осы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себепті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шарттардың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пікірлер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«гендер»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термині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қабылдауы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мінез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құлқы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біріне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келмейтін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сипатттауға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Кейінірек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«гендер»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термині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әлеуметтену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r w:rsidRPr="00FF1456">
        <w:rPr>
          <w:rFonts w:ascii="Times New Roman" w:hAnsi="Times New Roman" w:cs="Times New Roman"/>
          <w:sz w:val="24"/>
          <w:szCs w:val="24"/>
        </w:rPr>
        <w:lastRenderedPageBreak/>
        <w:t xml:space="preserve">мен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еркектердің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жынысытқ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рөлдік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сипаттауға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қолданыла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«Гендер»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терминін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1955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американдық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Джон Мани,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терминіне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балама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енгізді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Джон Мани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бүтін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бөлшектері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Джон Мани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табиғат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тәрбиені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қарама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қайшылық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қарастырмады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қалыптастыруда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табиғат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та,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деңгейінде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ештеңе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таза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таза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табылмайды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әрдайым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145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»[</w:t>
      </w:r>
      <w:proofErr w:type="gramEnd"/>
      <w:r w:rsidRPr="00FF1456">
        <w:rPr>
          <w:rFonts w:ascii="Times New Roman" w:hAnsi="Times New Roman" w:cs="Times New Roman"/>
          <w:sz w:val="24"/>
          <w:szCs w:val="24"/>
        </w:rPr>
        <w:t>8,60].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1968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Роберт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Столлер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тұжырымдамасын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тұжырымдамаға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бірінен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Сол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себепті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ал гендер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зерттелуі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Д. Мани и Р.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Столлер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тұжырымдарында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түбегейлі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өзгешелктер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Біріншіден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Р.Столлер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сәйкестілік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бөлді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ал Д. Мани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Екіншіден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, Мани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«гендер»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қарастырса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ал Р.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Столлер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қабылдады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Р.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Столлер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тұжырым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«гендер»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«Гендер»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анықтайтын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1456">
        <w:rPr>
          <w:rFonts w:ascii="Times New Roman" w:hAnsi="Times New Roman" w:cs="Times New Roman"/>
          <w:sz w:val="24"/>
          <w:szCs w:val="24"/>
        </w:rPr>
        <w:t>талдау,терминді</w:t>
      </w:r>
      <w:proofErr w:type="spellEnd"/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түсіндірудің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: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биодетерминацияланған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;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proofErr w:type="gram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;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 w:rsidRPr="00FF14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F1456">
        <w:rPr>
          <w:rFonts w:ascii="Times New Roman" w:eastAsia="Arial" w:hAnsi="Times New Roman" w:cs="Times New Roman"/>
          <w:sz w:val="24"/>
          <w:szCs w:val="24"/>
        </w:rPr>
        <w:tab/>
      </w:r>
      <w:r w:rsidRPr="00FF1456">
        <w:rPr>
          <w:rFonts w:ascii="Times New Roman" w:hAnsi="Times New Roman" w:cs="Times New Roman"/>
          <w:sz w:val="24"/>
          <w:szCs w:val="24"/>
        </w:rPr>
        <w:t xml:space="preserve">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дәрежеде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сипатта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 xml:space="preserve">ала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Д. Мани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санасында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үлгілермен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туылады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феминділікке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маскулинділікке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бағдарламаланған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есептеген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біргендерге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постнатальді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18 айда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асады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қайтымсыз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процесс [9,69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-70].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факторларды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айырмашылықтар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қалыптасатын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тірек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Р.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Столлер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көрсеткенімен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биология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санады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Р.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Столлер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тұжырымында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ядерлік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сәйкестілік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сәйкестендіруде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салдарға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әлеумеетік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салдар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Д. Майерс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сипаттамасының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қарастыруды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қамтамассыз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етуші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жынысымен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стереотиптермен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нормалармен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сйкестілікпен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анықталатын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[6,228].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Ш. Берн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келесідей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F1456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Психологияда</w:t>
      </w:r>
      <w:proofErr w:type="spellEnd"/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болғандықтан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психологтар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негіздемелерге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» [2, 21].</w:t>
      </w:r>
      <w:r w:rsidRPr="00FF14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И.С. Кон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гендерден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толығымен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орынсыз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[5,33].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қарастырылып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тастау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ұсынбайды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категорияға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бірін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толықтырушы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категориялар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факторлар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байқалуы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әр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қатысы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қоғаммен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қалыптастырылатын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Гендерге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бұндай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түсініктеме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постмодернисттік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философия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lastRenderedPageBreak/>
        <w:t xml:space="preserve">Р.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Ангер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терминін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аспектілерін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сипаттауға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ал «гендер»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терминін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психологиялыұ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аспектілерін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сипаттауға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аспектілер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қоғамәйелдер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еркектерге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қабылдаған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нормаларды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стереотиптерді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қасиеттерді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1456">
        <w:rPr>
          <w:rFonts w:ascii="Times New Roman" w:hAnsi="Times New Roman" w:cs="Times New Roman"/>
          <w:sz w:val="24"/>
          <w:szCs w:val="24"/>
        </w:rPr>
        <w:t>қалыптастырады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F1456">
        <w:rPr>
          <w:rFonts w:ascii="Times New Roman" w:hAnsi="Times New Roman" w:cs="Times New Roman"/>
          <w:sz w:val="24"/>
          <w:szCs w:val="24"/>
        </w:rPr>
        <w:t>2,42].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Д.В. Воронцов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1456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сексуалдылығының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аспектісі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мінез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құлық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мағынасымен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факторлармен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[4,23]. «Гендер»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бірін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қабылдауы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таныту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феномендер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біртекті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«гендер»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анықтаудан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көрініс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табады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пәнаралық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салаларда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: психология,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антропология,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әлеуметттану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философия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салада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қолдануда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Психология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салаларына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жаратылыстану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салаларының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ортасында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орналасқандықтан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себепті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анықтауда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салаларына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келсе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толықтай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сипаттай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Келешекте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психолгияның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интегративтік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тәсілдерді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әр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тұжырымдардың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әрекеттестігін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жыныстықгендерлік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зерттеулерде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қолдануды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Жүйелілік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негзігі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қолданылуы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ХХ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ғасырдағы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жыныстық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мәселенің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дамыуна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тұжырымдарға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мәселенің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детерменизмнен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конструктивизмге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дамыды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ХХ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өзгермейтін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өзгешелікті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анықтаушы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қарастырылса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ХХ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қалыптасушы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категория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өзгерістерге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ғаламдық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жетістіктер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себеп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бейнесінің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жыныстық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рөлдік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қарым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қатынастың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трансформациясына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келді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ХХ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ғасыр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өзгерістерге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ұшырда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жыныстың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бар: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генетикалық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хромосомалық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Э.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ФаустоСтерлинг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пікірі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еркек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вариацияларды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алғандағы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үздіксіздіктің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шеткі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нүктелері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бес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бар [8, 31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-32]. 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мағыналы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тұжырым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proofErr w:type="gramStart"/>
      <w:r w:rsidRPr="00FF1456">
        <w:rPr>
          <w:rFonts w:ascii="Times New Roman" w:hAnsi="Times New Roman" w:cs="Times New Roman"/>
          <w:sz w:val="24"/>
          <w:szCs w:val="24"/>
        </w:rPr>
        <w:t>еркектердің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мінез</w:t>
      </w:r>
      <w:proofErr w:type="gramEnd"/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құлық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бейнесін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қоғамға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нормаларды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анықтаушы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аспектілерді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қарастырады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Н.И.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Абубикирова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гендер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F1456">
        <w:rPr>
          <w:rFonts w:ascii="Times New Roman" w:hAnsi="Times New Roman" w:cs="Times New Roman"/>
          <w:sz w:val="24"/>
          <w:szCs w:val="24"/>
        </w:rPr>
        <w:t xml:space="preserve">тек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 xml:space="preserve">концепция»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ұғымдар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кешені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психология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іргелі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шешуді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1456">
        <w:rPr>
          <w:rFonts w:ascii="Times New Roman" w:hAnsi="Times New Roman" w:cs="Times New Roman"/>
          <w:sz w:val="24"/>
          <w:szCs w:val="24"/>
        </w:rPr>
        <w:t>маңызыдыларының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F1456">
        <w:rPr>
          <w:rFonts w:ascii="Times New Roman" w:hAnsi="Times New Roman" w:cs="Times New Roman"/>
          <w:sz w:val="24"/>
          <w:szCs w:val="24"/>
        </w:rPr>
        <w:t xml:space="preserve">гендер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теориялардың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қатынасы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шешуде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интегративті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психологияның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дамуында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мүмкіндіктерді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ашуы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eastAsia="Times New Roman" w:hAnsi="Times New Roman" w:cs="Times New Roman"/>
          <w:b/>
          <w:sz w:val="24"/>
          <w:szCs w:val="24"/>
        </w:rPr>
        <w:t>Пайдаланылған</w:t>
      </w:r>
      <w:proofErr w:type="spellEnd"/>
      <w:r w:rsidRPr="00FF14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1456">
        <w:rPr>
          <w:rFonts w:ascii="Times New Roman" w:eastAsia="Times New Roman" w:hAnsi="Times New Roman" w:cs="Times New Roman"/>
          <w:b/>
          <w:sz w:val="24"/>
          <w:szCs w:val="24"/>
        </w:rPr>
        <w:t>әдебиеттер</w:t>
      </w:r>
      <w:proofErr w:type="spellEnd"/>
      <w:r w:rsidRPr="00FF14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>Адлер, А. Воспитание детей. Взаимодействие полов [Электронный ресурс] / пер.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FF14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1456">
        <w:rPr>
          <w:rFonts w:ascii="Times New Roman" w:hAnsi="Times New Roman" w:cs="Times New Roman"/>
          <w:sz w:val="24"/>
          <w:szCs w:val="24"/>
        </w:rPr>
        <w:t>А</w:t>
      </w:r>
      <w:r w:rsidRPr="00FF14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1456">
        <w:rPr>
          <w:rFonts w:ascii="Times New Roman" w:hAnsi="Times New Roman" w:cs="Times New Roman"/>
          <w:sz w:val="24"/>
          <w:szCs w:val="24"/>
        </w:rPr>
        <w:t>А</w:t>
      </w:r>
      <w:r w:rsidRPr="00FF14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1456">
        <w:rPr>
          <w:rFonts w:ascii="Times New Roman" w:hAnsi="Times New Roman" w:cs="Times New Roman"/>
          <w:sz w:val="24"/>
          <w:szCs w:val="24"/>
        </w:rPr>
        <w:t>Валеева</w:t>
      </w:r>
      <w:r w:rsidRPr="00FF1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1456">
        <w:rPr>
          <w:rFonts w:ascii="Times New Roman" w:hAnsi="Times New Roman" w:cs="Times New Roman"/>
          <w:sz w:val="24"/>
          <w:szCs w:val="24"/>
        </w:rPr>
        <w:t>и</w:t>
      </w:r>
      <w:r w:rsidRPr="00FF1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1456">
        <w:rPr>
          <w:rFonts w:ascii="Times New Roman" w:hAnsi="Times New Roman" w:cs="Times New Roman"/>
          <w:sz w:val="24"/>
          <w:szCs w:val="24"/>
        </w:rPr>
        <w:t>Р</w:t>
      </w:r>
      <w:r w:rsidRPr="00FF14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1456">
        <w:rPr>
          <w:rFonts w:ascii="Times New Roman" w:hAnsi="Times New Roman" w:cs="Times New Roman"/>
          <w:sz w:val="24"/>
          <w:szCs w:val="24"/>
        </w:rPr>
        <w:t>А</w:t>
      </w:r>
      <w:r w:rsidRPr="00FF14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1456">
        <w:rPr>
          <w:rFonts w:ascii="Times New Roman" w:hAnsi="Times New Roman" w:cs="Times New Roman"/>
          <w:sz w:val="24"/>
          <w:szCs w:val="24"/>
        </w:rPr>
        <w:t>Валеевой</w:t>
      </w:r>
      <w:r w:rsidRPr="00FF1456">
        <w:rPr>
          <w:rFonts w:ascii="Times New Roman" w:hAnsi="Times New Roman" w:cs="Times New Roman"/>
          <w:sz w:val="24"/>
          <w:szCs w:val="24"/>
          <w:lang w:val="en-US"/>
        </w:rPr>
        <w:t xml:space="preserve"> (The Education of Children.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Editions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Bend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Indiana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, 1978).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lastRenderedPageBreak/>
        <w:t xml:space="preserve">Белкин, А. И. Третий пол. Судьбы пасынков Природы [Текст] / А. И. Белкин.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F145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Олимп.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2000. – </w:t>
      </w:r>
      <w:r w:rsidRPr="00FF1456">
        <w:rPr>
          <w:rFonts w:ascii="Times New Roman" w:hAnsi="Times New Roman" w:cs="Times New Roman"/>
          <w:sz w:val="24"/>
          <w:szCs w:val="24"/>
        </w:rPr>
        <w:t>432 с.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Вейнингер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, О. Пол и характер [Текст]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456">
        <w:rPr>
          <w:rFonts w:ascii="Times New Roman" w:hAnsi="Times New Roman" w:cs="Times New Roman"/>
          <w:sz w:val="24"/>
          <w:szCs w:val="24"/>
        </w:rPr>
        <w:t xml:space="preserve">/ О.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Вейнингер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/ пер. с нем. В.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Лихтенштадта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Ростовн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F1456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Феникс, 1998.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F1456">
        <w:rPr>
          <w:rFonts w:ascii="Times New Roman" w:hAnsi="Times New Roman" w:cs="Times New Roman"/>
          <w:sz w:val="24"/>
          <w:szCs w:val="24"/>
        </w:rPr>
        <w:t>606 с.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Воронцов, Д. В. Гендерная психология общения [Текст] / Д. В. Воронцов.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FF1456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Изд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1456">
        <w:rPr>
          <w:rFonts w:ascii="Times New Roman" w:hAnsi="Times New Roman" w:cs="Times New Roman"/>
          <w:sz w:val="24"/>
          <w:szCs w:val="24"/>
        </w:rPr>
        <w:t xml:space="preserve">во ЮФУ, 2008.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208 </w:t>
      </w:r>
      <w:r w:rsidRPr="00FF1456">
        <w:rPr>
          <w:rFonts w:ascii="Times New Roman" w:hAnsi="Times New Roman" w:cs="Times New Roman"/>
          <w:sz w:val="24"/>
          <w:szCs w:val="24"/>
        </w:rPr>
        <w:t>с.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Кон, И. С. Пол и гендер. Заметки о терминах [Текст] / И. С. Кон // Андрология и генитальная хирургия.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2004. – </w:t>
      </w:r>
      <w:r w:rsidRPr="00FF1456">
        <w:rPr>
          <w:rFonts w:ascii="Times New Roman" w:hAnsi="Times New Roman" w:cs="Times New Roman"/>
          <w:sz w:val="24"/>
          <w:szCs w:val="24"/>
        </w:rPr>
        <w:t>№ 1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–2. – </w:t>
      </w:r>
      <w:r w:rsidRPr="00FF1456">
        <w:rPr>
          <w:rFonts w:ascii="Times New Roman" w:hAnsi="Times New Roman" w:cs="Times New Roman"/>
          <w:sz w:val="24"/>
          <w:szCs w:val="24"/>
        </w:rPr>
        <w:t>С. 31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–35. </w:t>
      </w:r>
    </w:p>
    <w:p w:rsidR="00FF1456" w:rsidRPr="00FF1456" w:rsidRDefault="00FF1456" w:rsidP="00FF145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hAnsi="Times New Roman" w:cs="Times New Roman"/>
          <w:sz w:val="24"/>
          <w:szCs w:val="24"/>
        </w:rPr>
        <w:t xml:space="preserve">Майерс, Д. Социальная психология [Текст] / Д. Майерс [Пер. с англ.].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F1456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FF1456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Питер, 1997.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F1456">
        <w:rPr>
          <w:rFonts w:ascii="Times New Roman" w:hAnsi="Times New Roman" w:cs="Times New Roman"/>
          <w:sz w:val="24"/>
          <w:szCs w:val="24"/>
        </w:rPr>
        <w:t xml:space="preserve">688 </w:t>
      </w:r>
      <w:proofErr w:type="gramStart"/>
      <w:r w:rsidRPr="00FF1456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FF1456">
        <w:rPr>
          <w:rFonts w:ascii="Times New Roman" w:hAnsi="Times New Roman" w:cs="Times New Roman"/>
          <w:sz w:val="24"/>
          <w:szCs w:val="24"/>
        </w:rPr>
        <w:t xml:space="preserve"> ил.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hAnsi="Times New Roman" w:cs="Times New Roman"/>
          <w:sz w:val="24"/>
          <w:szCs w:val="24"/>
        </w:rPr>
        <w:t>Хоф</w:t>
      </w:r>
      <w:proofErr w:type="spellEnd"/>
      <w:r w:rsidRPr="00FF1456">
        <w:rPr>
          <w:rFonts w:ascii="Times New Roman" w:hAnsi="Times New Roman" w:cs="Times New Roman"/>
          <w:sz w:val="24"/>
          <w:szCs w:val="24"/>
        </w:rPr>
        <w:t xml:space="preserve"> Р. Возникновение и развитие гендерных исследований // Пол. Гендер. Культура. М., 1999.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56" w:rsidRPr="00FF1456" w:rsidRDefault="00FF1456" w:rsidP="00FF145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4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Diamond, M., Crawford, M. Sex and Gender: Same or Different? </w:t>
      </w:r>
      <w:proofErr w:type="spellStart"/>
      <w:r w:rsidRPr="00FF1456">
        <w:rPr>
          <w:rFonts w:ascii="Times New Roman" w:eastAsia="Times New Roman" w:hAnsi="Times New Roman" w:cs="Times New Roman"/>
          <w:sz w:val="24"/>
          <w:szCs w:val="24"/>
        </w:rPr>
        <w:t>Feminism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FF1456">
        <w:rPr>
          <w:rFonts w:ascii="Times New Roman" w:eastAsia="Times New Roman" w:hAnsi="Times New Roman" w:cs="Times New Roman"/>
          <w:sz w:val="24"/>
          <w:szCs w:val="24"/>
        </w:rPr>
        <w:t>Psychology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. 2000.Volume 10 (1). 46–54. </w:t>
      </w:r>
    </w:p>
    <w:p w:rsidR="00FF1456" w:rsidRPr="00FF1456" w:rsidRDefault="00FF1456" w:rsidP="00FF145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56">
        <w:rPr>
          <w:rFonts w:ascii="Times New Roman" w:eastAsia="Times New Roman" w:hAnsi="Times New Roman" w:cs="Times New Roman"/>
          <w:sz w:val="24"/>
          <w:szCs w:val="24"/>
          <w:lang w:val="en-US"/>
        </w:rPr>
        <w:t>Germon</w:t>
      </w:r>
      <w:proofErr w:type="spellEnd"/>
      <w:r w:rsidRPr="00FF14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Jennifer. Gender: </w:t>
      </w:r>
      <w:proofErr w:type="gramStart"/>
      <w:r w:rsidRPr="00FF145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FF14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Genealogy of an Idea. / Palgrave Macmillan. </w:t>
      </w:r>
      <w:r w:rsidRPr="00FF1456">
        <w:rPr>
          <w:rFonts w:ascii="Times New Roman" w:eastAsia="Times New Roman" w:hAnsi="Times New Roman" w:cs="Times New Roman"/>
          <w:sz w:val="24"/>
          <w:szCs w:val="24"/>
        </w:rPr>
        <w:t xml:space="preserve">2009. – 309 p. </w:t>
      </w:r>
    </w:p>
    <w:p w:rsidR="00FF1456" w:rsidRDefault="00FF1456" w:rsidP="00FF1456">
      <w:pPr>
        <w:spacing w:after="0"/>
        <w:ind w:left="386"/>
      </w:pPr>
      <w:r>
        <w:rPr>
          <w:rFonts w:ascii="Times New Roman" w:eastAsia="Times New Roman" w:hAnsi="Times New Roman" w:cs="Times New Roman"/>
        </w:rPr>
        <w:t xml:space="preserve"> </w:t>
      </w:r>
    </w:p>
    <w:p w:rsidR="008231BF" w:rsidRPr="007A7393" w:rsidRDefault="008231BF" w:rsidP="00FF14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231BF" w:rsidRPr="007A7393" w:rsidSect="001F6F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582B"/>
    <w:multiLevelType w:val="hybridMultilevel"/>
    <w:tmpl w:val="7B2A8CAE"/>
    <w:lvl w:ilvl="0" w:tplc="560C749E">
      <w:start w:val="1"/>
      <w:numFmt w:val="decimal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22BE3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8CAF2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728D7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47AC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4616C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24E8DA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22388A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EC963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A412B5"/>
    <w:multiLevelType w:val="hybridMultilevel"/>
    <w:tmpl w:val="39002AC8"/>
    <w:lvl w:ilvl="0" w:tplc="A1745F7A">
      <w:start w:val="196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AA0770"/>
    <w:multiLevelType w:val="hybridMultilevel"/>
    <w:tmpl w:val="A0B2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50285"/>
    <w:multiLevelType w:val="hybridMultilevel"/>
    <w:tmpl w:val="AC167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1442677"/>
    <w:multiLevelType w:val="hybridMultilevel"/>
    <w:tmpl w:val="BFC0DFCE"/>
    <w:lvl w:ilvl="0" w:tplc="79EAA5FA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02472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2FFD6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4F222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02280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C0006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8AF60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ED3D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AC32C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595B02"/>
    <w:multiLevelType w:val="hybridMultilevel"/>
    <w:tmpl w:val="5C5A5F6A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73903E27"/>
    <w:multiLevelType w:val="hybridMultilevel"/>
    <w:tmpl w:val="55C0FC70"/>
    <w:lvl w:ilvl="0" w:tplc="01AEE89C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AC870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C4226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A1546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DEC48E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E1274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20AA64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03C12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EDE56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0F"/>
    <w:rsid w:val="00033BFB"/>
    <w:rsid w:val="00043DE9"/>
    <w:rsid w:val="00072245"/>
    <w:rsid w:val="00094EBA"/>
    <w:rsid w:val="00095533"/>
    <w:rsid w:val="000F69DF"/>
    <w:rsid w:val="001A26FF"/>
    <w:rsid w:val="001F6FB5"/>
    <w:rsid w:val="002012A4"/>
    <w:rsid w:val="003104F9"/>
    <w:rsid w:val="003210BF"/>
    <w:rsid w:val="00375339"/>
    <w:rsid w:val="003F717E"/>
    <w:rsid w:val="00404210"/>
    <w:rsid w:val="004611A4"/>
    <w:rsid w:val="0046700F"/>
    <w:rsid w:val="005155E8"/>
    <w:rsid w:val="005D5DD8"/>
    <w:rsid w:val="005D6219"/>
    <w:rsid w:val="00632EE6"/>
    <w:rsid w:val="00676C77"/>
    <w:rsid w:val="006B0CD8"/>
    <w:rsid w:val="006C2C17"/>
    <w:rsid w:val="00701B69"/>
    <w:rsid w:val="00797AF9"/>
    <w:rsid w:val="007A1E57"/>
    <w:rsid w:val="007A7393"/>
    <w:rsid w:val="008231BF"/>
    <w:rsid w:val="00852764"/>
    <w:rsid w:val="00921AF5"/>
    <w:rsid w:val="00943E90"/>
    <w:rsid w:val="00953088"/>
    <w:rsid w:val="00957D03"/>
    <w:rsid w:val="00A33970"/>
    <w:rsid w:val="00A64F4A"/>
    <w:rsid w:val="00AD6931"/>
    <w:rsid w:val="00B62166"/>
    <w:rsid w:val="00B667B3"/>
    <w:rsid w:val="00B97DCB"/>
    <w:rsid w:val="00C25FA2"/>
    <w:rsid w:val="00C33C61"/>
    <w:rsid w:val="00D0105D"/>
    <w:rsid w:val="00DB1F32"/>
    <w:rsid w:val="00DD331E"/>
    <w:rsid w:val="00DF485A"/>
    <w:rsid w:val="00E04B6E"/>
    <w:rsid w:val="00E5386E"/>
    <w:rsid w:val="00E85BF0"/>
    <w:rsid w:val="00E949A9"/>
    <w:rsid w:val="00EC5C2B"/>
    <w:rsid w:val="00F27153"/>
    <w:rsid w:val="00FE6BDB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8D46"/>
  <w15:chartTrackingRefBased/>
  <w15:docId w15:val="{99848835-D620-4279-9C9C-ACDB75A1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FF1456"/>
    <w:pPr>
      <w:keepNext/>
      <w:keepLines/>
      <w:spacing w:after="3" w:line="267" w:lineRule="auto"/>
      <w:ind w:left="10" w:right="108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3DE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F1456"/>
    <w:rPr>
      <w:rFonts w:ascii="Times New Roman" w:eastAsia="Times New Roman" w:hAnsi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2019-03-17T15:34:00Z</dcterms:created>
  <dcterms:modified xsi:type="dcterms:W3CDTF">2019-05-11T08:37:00Z</dcterms:modified>
</cp:coreProperties>
</file>