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DA" w:rsidRPr="0009080D" w:rsidRDefault="002E79DA" w:rsidP="002E79DA">
      <w:pPr>
        <w:spacing w:after="0" w:line="240" w:lineRule="auto"/>
        <w:ind w:left="3969"/>
        <w:jc w:val="both"/>
        <w:rPr>
          <w:rFonts w:ascii="Times New Roman" w:hAnsi="Times New Roman"/>
          <w:b/>
          <w:sz w:val="25"/>
          <w:szCs w:val="25"/>
          <w:lang w:val="kk-KZ"/>
        </w:rPr>
      </w:pPr>
      <w:r w:rsidRPr="0009080D">
        <w:rPr>
          <w:rFonts w:ascii="Times New Roman" w:hAnsi="Times New Roman"/>
          <w:b/>
          <w:sz w:val="25"/>
          <w:szCs w:val="25"/>
          <w:lang w:val="kk-KZ"/>
        </w:rPr>
        <w:t xml:space="preserve">Қыдырбаева Ж. </w:t>
      </w:r>
      <w:r w:rsidRPr="0009080D">
        <w:rPr>
          <w:rFonts w:ascii="Times New Roman" w:hAnsi="Times New Roman"/>
          <w:b/>
          <w:color w:val="000000"/>
          <w:sz w:val="25"/>
          <w:szCs w:val="25"/>
          <w:lang w:val="kk-KZ"/>
        </w:rPr>
        <w:t xml:space="preserve">- </w:t>
      </w:r>
      <w:r w:rsidRPr="0009080D">
        <w:rPr>
          <w:rFonts w:ascii="Times New Roman" w:hAnsi="Times New Roman"/>
          <w:b/>
          <w:sz w:val="25"/>
          <w:szCs w:val="25"/>
          <w:lang w:val="kk-KZ"/>
        </w:rPr>
        <w:t xml:space="preserve"> әл-Фараби атындағы</w:t>
      </w:r>
    </w:p>
    <w:p w:rsidR="002E79DA" w:rsidRPr="0009080D" w:rsidRDefault="002E79DA" w:rsidP="002E79DA">
      <w:pPr>
        <w:spacing w:after="0" w:line="240" w:lineRule="auto"/>
        <w:ind w:left="3969"/>
        <w:jc w:val="both"/>
        <w:rPr>
          <w:rFonts w:ascii="Times New Roman" w:hAnsi="Times New Roman"/>
          <w:b/>
          <w:sz w:val="25"/>
          <w:szCs w:val="25"/>
          <w:lang w:val="kk-KZ" w:eastAsia="ko-KR"/>
        </w:rPr>
      </w:pPr>
      <w:r w:rsidRPr="0009080D">
        <w:rPr>
          <w:rFonts w:ascii="Times New Roman" w:hAnsi="Times New Roman"/>
          <w:b/>
          <w:sz w:val="25"/>
          <w:szCs w:val="25"/>
          <w:lang w:val="kk-KZ"/>
        </w:rPr>
        <w:t xml:space="preserve">ҚазҰУ-нің </w:t>
      </w:r>
      <w:r w:rsidRPr="0009080D">
        <w:rPr>
          <w:rFonts w:ascii="Times New Roman" w:hAnsi="Times New Roman"/>
          <w:b/>
          <w:sz w:val="25"/>
          <w:szCs w:val="25"/>
          <w:lang w:val="kk-KZ" w:eastAsia="ko-KR"/>
        </w:rPr>
        <w:t xml:space="preserve">Педагогика және психология </w:t>
      </w:r>
    </w:p>
    <w:p w:rsidR="002E79DA" w:rsidRPr="0009080D" w:rsidRDefault="002E79DA" w:rsidP="002E79DA">
      <w:pPr>
        <w:spacing w:after="0" w:line="240" w:lineRule="auto"/>
        <w:ind w:left="3969"/>
        <w:jc w:val="both"/>
        <w:rPr>
          <w:rFonts w:ascii="Times New Roman" w:hAnsi="Times New Roman"/>
          <w:b/>
          <w:sz w:val="25"/>
          <w:szCs w:val="25"/>
          <w:lang w:val="kk-KZ"/>
        </w:rPr>
      </w:pPr>
      <w:r w:rsidRPr="0009080D">
        <w:rPr>
          <w:rFonts w:ascii="Times New Roman" w:hAnsi="Times New Roman"/>
          <w:b/>
          <w:sz w:val="25"/>
          <w:szCs w:val="25"/>
          <w:lang w:val="kk-KZ" w:eastAsia="ko-KR"/>
        </w:rPr>
        <w:t>мамандығының 3 курс студенті</w:t>
      </w:r>
      <w:r w:rsidRPr="0009080D">
        <w:rPr>
          <w:rFonts w:ascii="Times New Roman" w:hAnsi="Times New Roman"/>
          <w:b/>
          <w:sz w:val="25"/>
          <w:szCs w:val="25"/>
          <w:lang w:val="kk-KZ"/>
        </w:rPr>
        <w:t xml:space="preserve">, </w:t>
      </w:r>
    </w:p>
    <w:p w:rsidR="002E79DA" w:rsidRPr="0009080D" w:rsidRDefault="002E79DA" w:rsidP="002E79DA">
      <w:pPr>
        <w:spacing w:after="0" w:line="240" w:lineRule="auto"/>
        <w:ind w:left="3969"/>
        <w:jc w:val="both"/>
        <w:rPr>
          <w:rFonts w:ascii="Times New Roman" w:hAnsi="Times New Roman"/>
          <w:b/>
          <w:sz w:val="25"/>
          <w:szCs w:val="25"/>
          <w:lang w:val="kk-KZ" w:eastAsia="ko-KR"/>
        </w:rPr>
      </w:pPr>
      <w:r w:rsidRPr="0009080D">
        <w:rPr>
          <w:rFonts w:ascii="Times New Roman" w:hAnsi="Times New Roman"/>
          <w:b/>
          <w:sz w:val="25"/>
          <w:szCs w:val="25"/>
          <w:lang w:val="kk-KZ"/>
        </w:rPr>
        <w:t>ғылыми жетекшісі:  Маханова П.Ш. - п.ғ.к., аға оқытушы</w:t>
      </w:r>
    </w:p>
    <w:p w:rsidR="002E79DA" w:rsidRPr="0009080D" w:rsidRDefault="002E79DA" w:rsidP="002E79DA">
      <w:pPr>
        <w:pStyle w:val="1"/>
        <w:spacing w:before="0"/>
        <w:jc w:val="both"/>
        <w:rPr>
          <w:rFonts w:ascii="Times New Roman" w:hAnsi="Times New Roman" w:cs="Times New Roman"/>
          <w:color w:val="auto"/>
          <w:sz w:val="25"/>
          <w:szCs w:val="25"/>
          <w:lang w:val="kk-KZ"/>
        </w:rPr>
      </w:pPr>
    </w:p>
    <w:p w:rsidR="002E79DA" w:rsidRPr="0009080D" w:rsidRDefault="002E79DA" w:rsidP="002E79DA">
      <w:pPr>
        <w:pStyle w:val="1"/>
        <w:spacing w:before="0"/>
        <w:ind w:firstLine="567"/>
        <w:jc w:val="center"/>
        <w:rPr>
          <w:rFonts w:ascii="Times New Roman" w:hAnsi="Times New Roman" w:cs="Times New Roman"/>
          <w:color w:val="auto"/>
          <w:sz w:val="25"/>
          <w:szCs w:val="25"/>
          <w:lang w:val="kk-KZ"/>
        </w:rPr>
      </w:pPr>
      <w:r w:rsidRPr="0009080D">
        <w:rPr>
          <w:rFonts w:ascii="Times New Roman" w:hAnsi="Times New Roman" w:cs="Times New Roman"/>
          <w:color w:val="auto"/>
          <w:sz w:val="25"/>
          <w:szCs w:val="25"/>
          <w:lang w:val="kk-KZ"/>
        </w:rPr>
        <w:t>КРЕАТИВТІЛІК МӘСЕЛЕСІНІҢ ТЕОРИЯЛЫҚ АСПЕКТІЛЕРІ</w:t>
      </w:r>
    </w:p>
    <w:p w:rsidR="002E79DA" w:rsidRPr="0009080D" w:rsidRDefault="002E79DA" w:rsidP="002E79DA">
      <w:pPr>
        <w:pStyle w:val="1"/>
        <w:spacing w:before="0"/>
        <w:ind w:firstLine="567"/>
        <w:jc w:val="both"/>
        <w:rPr>
          <w:rFonts w:ascii="Times New Roman" w:hAnsi="Times New Roman" w:cs="Times New Roman"/>
          <w:sz w:val="25"/>
          <w:szCs w:val="25"/>
          <w:lang w:val="kk-KZ"/>
        </w:rPr>
      </w:pP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Қазіргі кезде, дүниежүзінде білім сапасы – елдің экономикалық дамуының, қауіпсіздігінің, қоғамның тұрақты дамуының кепілі ретінде қарастырылуда. Қазақстан Республикасының білім беру саясаты білім беру жүйесін түбегейлі жаңартуға бағытталып, орта білім берудің 12 жылдық үлгісіне көшуді міндеттейді. Қазақстан Республикасында білім беруді дамытудың 2011–2020 жылдар арналған Мемлекеттік бағдарламасында 12 жылдық білім берудің стандарты коммуникативтік дағдыларды, ақпараттар мен технологияларды басқара білуді, проблемаларды шешуді, іскерлік пен креативтілікті қалыптастыратын білімді алудағы тұлғаның дамуын, дербестігін қамтамасыз ететін нәтижеге бағытталатыны белгіленген [1].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Осыған орай адамның өзгермелі өмірлік жағдаяттарға жылдам бейімделе алуына мүмкіндік беретін креативтілік мәселесін және тұлғаның креативтілік сипатын зерттеу педагогика ғылымының негізгі міндеттерінің біріне айналып отыр.Креативтіліктуралы ғылыми түсініктердің қарама-қайшылығы мен көпқырлылығы, мәселені теориялық негіздеуді қажет етеді.</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Креативтілік – ағылшынның “creativity” сөзінен аударғанда шығармашылық деген мағына береді.Креативтілік адамның жаңа идеяларды ойлап табуы, ерекше шешімдер қабылдауы мен дәстүрлі ойлау жүйесінен алшақтауы, бір сөзбен айтқанда шығармашылыққа іс-әрекетке қабілеттілік ретінде түсіндіріледі. Креативтілікті зерттеуге байланысты теориялық және практикалық тұрғыдан белгілі бір нәтижелерге қол жеткізген материалдардың көптігіне қарамастан, осы уақытқа дейін оның көпшілік қабылдаған нақты анықтамасы берілмеген.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Тейлор XXғ. 60-жылдарының өзінде креативтілікке 60 анықтама берілгенін анықтап, оларды алты түрге топтастырған: гештальттық, инновациялық, эстетикалық немесе экспрессивтік, психоаналитикалық немесе динамикалық, проблемалық және осы айтылғандарға кірмейтін анықтамалар [2].</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М.А. Холодная креативтілікті кең және тар мағынада қарастырылатынын атап көрсеткен. Тар мағынада креативтілік – бір мәселеге қатысты бірнеше дұрыс идеяларды ұсынуға дайындығымен ерекшеленетін дивергенттік ойлау. Кең мағынада – шығармашылық интеллектілік қабілеттер, оның ішінде тәжірибеге жаңалық енгізу, жаңа проблемаларды қою және шешуде ерекше идеялар ұсынуға қабілеттілік, олқылықтар мен қарама-қайшылықтарды түсіну, гипотеза ұсыну, сонымен қатар стереотиптік ойлаудан бас тартуға қабілеттілік [3].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Шетелдік психологтар креативтілік мәселесін төрт аспектіде: креативті үдеріс, креативті өнім, креативті тұлға және креативті орта тұрғысынан қарастырғанын атап өткен орынды. Креативті орта деп шығармашылық өніміне қойылатын талаптарды қалыптастыратын құрылымды, әлеуметтік контексті түсінеді.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Психологиялық-педагогикалық әдебиеттерге жүргізілген талдау негізінде ғалымдардың зерттеу мақсаттары мен міндеттеріне байланысты нақты ғылыми тұғыр аясында  «креативтілік» ұғымына анықтама бергендерін байқауға болады. Тұлғалық-мотивациялық тұғыр авторлары (А. Адлер, Т. Амбайл, Р. Ассаджиоли, В.Н. Дружинин, А. Маслоу, Г. Олпорт, К. Роджерс, Н.В. Хазратова, К. Юнг және т.б.) креативтілікті тұлға, тұлғаның даму мотивациясы, өзін-өзі белсендіруге қажеттілігі аясында </w:t>
      </w:r>
      <w:r w:rsidRPr="0009080D">
        <w:rPr>
          <w:sz w:val="25"/>
          <w:szCs w:val="25"/>
          <w:lang w:val="kk-KZ"/>
        </w:rPr>
        <w:lastRenderedPageBreak/>
        <w:t>қарастырады; үдерістік-іс-әрекеттік тұғырды жақтаушылар (Д.Б. Богоявленская, Е. Вард, В.В. Давыдов, A.M. Матюшкин, Я.А. Пономарев және т.б.) – шығармашылық үдерісітің механизмдері арқылы; әлеуметтік-мәдени тұғыр өкілдері (Д. Воллас, JI.C. Выготский, X. Груббер, Дж. Накамура, М. Чиксентмихайи және т.б.) – әлеуметтік байланыстар және мәдени ортаға байланысты; психометриялық теорияны ұстанушылар (М. Воллах, Дж. Гилфорд, Н. Коган, Д. Лаверт, С. Медник, Р. Стернберг, Е. Торренс және т.б.) стандартты тестілер арқылы өлшеуге болатын шығармашылық әлеуеттің генетикалық негіздеріне сүйенеді [4].</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Қазақстандық ғалым Б.Ә. Оспанова университетік білім беру жүйесінде болашақ маманнның креативтілігін қалыптастырудың педагогикалық негіздерін зерттеген.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Шетелдік зерттеушілердің креативтілікке берген анықтамалары мен ұғымдарын талдай және жалпылай отырып, Р. Холлменн былай дейді: «Креативтілік жаңа тәсілмен жүзеге асырылған қабылдау ағыны (Маккеллар), жаңа байланыстар табу қабілеті (Кюби), жаңа қарым-қатынастардың пайда болуы (Роджерс), жаңа шығармалардың туындауы (Меррей), жаңалықтар ашуға және оларды білуге қабілеті (Лассуэль), жаңа шешімдерге әкелетін ақыл-ой іс-әрекеті (Жерар), жаңа ұғымға тәжірибені көшіру (Тейлор), жаңа констелляциялық мағыналардың елесі (Гизелин)» [5].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Бірақ көптеген зерттеушілер креативтіліктің анықтамасында тұлғаның ерекшелігіне немесе қасиетіне басты назар аударады. Дж. Гилфорд креативтілік пен шығармашылық потенциалды табысты шығармашылық ойлауға ықпал ететін қабілеттер мен басқа ерекшеліктерініңжиынтығы тәрізді анықталуы мүмкін деп есептейді.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Креативтілікті – жаңа өнім немесе шығармашылық ойлаудың қорытындысы деген пікірді ұстанған ғалымдар таласы әлі де жалғасуда (К. Тейлор, В.А. Терехов, О.К. Тихомиров және т.б.). Басқа зерттеулерде жаңаны құруда шығармашылық процестің басымдығы көрінеді (Р. Арнгейм, А.В. Брушлинский, В.А. Моляко, В.Н. Пушкин, Р. Уоллес, П.М. Якобсон және т.б.). Бұл ұстаным әсіресе Р. Арнгеймнің еңбектерінде айқын көрінеді. Ол «Креативтілік – бұл білім, әрекет және тілектердің толық ашылуы», деген түсініктеме береді [6].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Психологиялық зерттеулерде креативтілік термині тұлғаның интеллектуалдық және өз бетінше мәселені көтеруі, ерекше идеяларды айтып, оларды өзгеше жолмен шешу ерекшеліктерінің кешенін білдіреді.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Креативтілік маңызды және ерекше феномен болып табылатын бұрынғы зерттеулер мен қазіргі зерттеулерде – тұлғаның интеллектуалдық және тұлғалық ерекшеліктері ретінде қарау беталысы айқындалады.Көптеген зерттеулерде психологиялық креативтілік механизмдері мен шығармашылық потенциалын, тұлғаның түрлі сандық және сапалық қасиеттерін анықтауға басты назар аударылады.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Сонымен, дәстүрлі психология мен педагогикада креативтілік тұлғалық категория ретінде қарастырылып, пікір-таластар негізінен түсініктемені айқындау жөнінде болды. Атап айтқанда креативтілік дивергенттік ойлау (Гилфорд, О.К. Тихомиров), интеллектуалдық белсенділік (Д.Б. Богоявленская, Л.Б. Ермолаева-Томина) немесе тұлғаның ықпалдастық сапасы (Я.А. Пономарев және т.б.) деп қарастырылады. </w:t>
      </w:r>
    </w:p>
    <w:p w:rsidR="002E79DA" w:rsidRPr="0009080D" w:rsidRDefault="002E79DA" w:rsidP="002E79DA">
      <w:pPr>
        <w:pStyle w:val="a3"/>
        <w:spacing w:before="0" w:beforeAutospacing="0" w:after="0" w:afterAutospacing="0"/>
        <w:ind w:firstLine="567"/>
        <w:jc w:val="both"/>
        <w:rPr>
          <w:sz w:val="25"/>
          <w:szCs w:val="25"/>
          <w:lang w:val="kk-KZ"/>
        </w:rPr>
      </w:pPr>
      <w:r w:rsidRPr="0009080D">
        <w:rPr>
          <w:iCs/>
          <w:sz w:val="25"/>
          <w:szCs w:val="25"/>
          <w:lang w:val="kk-KZ"/>
        </w:rPr>
        <w:t xml:space="preserve">Т.А. Барышева, Ю.А. Жигалов </w:t>
      </w:r>
      <w:r w:rsidRPr="0009080D">
        <w:rPr>
          <w:sz w:val="25"/>
          <w:szCs w:val="25"/>
          <w:lang w:val="kk-KZ"/>
        </w:rPr>
        <w:t xml:space="preserve"> креативтіліктіжүйелі (көпдеңгейлі, көпөлшемді) психикалық құрылым, ол интеллектуалдық әлеуетпен қатар, мотивациямен, эстетикалық даму деңгейімен, экзистенциалдық, коммуникативтік көрсеткіштермен, құзыреттілікпен және т.б. байланысты деген тұжырым жасайды.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lastRenderedPageBreak/>
        <w:t xml:space="preserve">В.Г. Каменская мен И.Е. Мельникова креативтіліктіжаңа материалдық және идеалдық өнім шығарудағы шығармашыл дарынды адамның тұлғалық ерекшеліктері ретінде түсінеді.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С.И. Макшанов және Н.Ю. Хрящева креативтілікке конструктивті, стандартты емес ойлау мен мінез-құлық, сондай-ақ өзінің тәжірибесін түсіну мен дамытуға қабілеттілік деген анықтама берген. Олар креативтілік қиялдың байлығы мен әзіл-оспақты түсіне білу, жоғары эстетикалық құндылықтарды ұстанушылықта көрініс табатынын атап өткен[2]. </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Көріп отырғанымыздай креативтілікке анықтама бергенде авторлар аз ғана өзгешеліктер қоса отырып, оған жаңа сапа беріп отыр. О.В.Буторина оларды мынадай ретте жүйелеуге талпыныс жасады:</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шығармашылыққа қабілеттілік;</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xml:space="preserve">• зияткерлік шығармашылық; </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айрықша, жаңа нәрсе;</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астарлы ассоциация;</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біртұтас жүйені қайта құрылымдау;</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ақпаратты ерекше кодтау;</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дивергенттік ойлау;</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тұлғаішілік шиеленіс нәтижесі;</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қазіргі бар білімнің аясынан шығу;</w:t>
      </w:r>
    </w:p>
    <w:p w:rsidR="002E79DA" w:rsidRPr="0009080D" w:rsidRDefault="002E79DA" w:rsidP="002E79DA">
      <w:pPr>
        <w:autoSpaceDE w:val="0"/>
        <w:autoSpaceDN w:val="0"/>
        <w:adjustRightInd w:val="0"/>
        <w:spacing w:after="0" w:line="240" w:lineRule="auto"/>
        <w:ind w:firstLine="567"/>
        <w:jc w:val="both"/>
        <w:rPr>
          <w:rFonts w:ascii="Times New Roman" w:hAnsi="Times New Roman"/>
          <w:sz w:val="25"/>
          <w:szCs w:val="25"/>
          <w:lang w:val="kk-KZ"/>
        </w:rPr>
      </w:pPr>
      <w:r w:rsidRPr="0009080D">
        <w:rPr>
          <w:rFonts w:ascii="Times New Roman" w:hAnsi="Times New Roman"/>
          <w:sz w:val="25"/>
          <w:szCs w:val="25"/>
          <w:lang w:val="kk-KZ"/>
        </w:rPr>
        <w:t>• проблеманы, жағдаятты жылдам шешуге мүмкіндік беретін дәстүрлі емес ойлау және т.б. Бұл тізім де толық емес.</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Егер креативтілік сипатталған ұстанымдардың тек біреуі арқылы ғана түсіндірілсе, онда мәселе бір жақты ғана қарастырылады. Креативтілік тұлғаның білімнің жан-жақтылығымен емес, қабылдау, мәселелерге сезімталдығы, жаңа идеяларды қабылдауға икемділігі мен жаңаны құру мақсатында тұрақтап қалған стереотиптерді өзгертіп, өмірлік проблемалардың күтпеген және кездейсоқ шешімін табумен айқындалады.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 xml:space="preserve">Әдебиеттерге жасалған талдау креативтілікті екі бағытта: психикалық үдеріс және өмірге шығармашылықпен қарау ретінде  қарастыруға болатынын көрсетті. </w:t>
      </w:r>
    </w:p>
    <w:p w:rsidR="002E79DA" w:rsidRPr="0009080D" w:rsidRDefault="002E79DA" w:rsidP="002E79DA">
      <w:pPr>
        <w:pStyle w:val="a3"/>
        <w:spacing w:before="0" w:beforeAutospacing="0" w:after="0" w:afterAutospacing="0"/>
        <w:ind w:firstLine="567"/>
        <w:jc w:val="both"/>
        <w:rPr>
          <w:sz w:val="25"/>
          <w:szCs w:val="25"/>
          <w:lang w:val="kk-KZ"/>
        </w:rPr>
      </w:pPr>
      <w:r w:rsidRPr="0009080D">
        <w:rPr>
          <w:sz w:val="25"/>
          <w:szCs w:val="25"/>
          <w:lang w:val="kk-KZ"/>
        </w:rPr>
        <w:t>Біз шығармашылықты ақпаратты конструктивті қайта құру және субъективті және объективті маңызды инновациялық нәтижелерді жасау үдерісі ретінде қарастыра отырып, креативтілік – шығармашылықтың субъективті детерминанты, жүйелі (көпөлшемді, көпдеңгейлі) психикалық құрылым деген анықтама береміз. Креативтілік адам өмірінің барлық саласында (таным, ойлау, қарым-қатынас, кәсіби іс-әрекет, өзін-өзі жетілдіру) және деңгейлерінде: тұлға – үдеріс – нәтиже ретінде көрініс табады. Шығармашылық үдерістің әртүрлі екі бағытты – жасауды және қиратуды біріктіретінін ескере отырып, тұлғаның креативті мінез-құлқын «жасампаз қирату» ретінде қарастыруға болады.</w:t>
      </w:r>
    </w:p>
    <w:p w:rsidR="002E79DA" w:rsidRPr="0009080D" w:rsidRDefault="002E79DA" w:rsidP="002E79DA">
      <w:pPr>
        <w:pStyle w:val="a3"/>
        <w:spacing w:before="0" w:beforeAutospacing="0" w:after="0" w:afterAutospacing="0"/>
        <w:ind w:firstLine="567"/>
        <w:jc w:val="both"/>
        <w:rPr>
          <w:sz w:val="25"/>
          <w:szCs w:val="25"/>
          <w:lang w:val="kk-KZ"/>
        </w:rPr>
      </w:pPr>
      <w:r w:rsidRPr="0009080D">
        <w:rPr>
          <w:i/>
          <w:sz w:val="25"/>
          <w:szCs w:val="25"/>
          <w:lang w:val="kk-KZ"/>
        </w:rPr>
        <w:t>Креативтілік</w:t>
      </w:r>
      <w:r w:rsidRPr="0009080D">
        <w:rPr>
          <w:sz w:val="25"/>
          <w:szCs w:val="25"/>
          <w:lang w:val="kk-KZ"/>
        </w:rPr>
        <w:t xml:space="preserve"> ұғымының мәні </w:t>
      </w:r>
      <w:r w:rsidRPr="0009080D">
        <w:rPr>
          <w:i/>
          <w:sz w:val="25"/>
          <w:szCs w:val="25"/>
          <w:lang w:val="kk-KZ"/>
        </w:rPr>
        <w:t>шығармашылық әлеуетке</w:t>
      </w:r>
      <w:r w:rsidRPr="0009080D">
        <w:rPr>
          <w:sz w:val="25"/>
          <w:szCs w:val="25"/>
          <w:lang w:val="kk-KZ"/>
        </w:rPr>
        <w:t xml:space="preserve">қарағанда кең, өйткені креативтілік феномені потенциалды және актуалды формада болады. Шығармашылық қабілеттер (интеллектуалдық, эстетикалық, коммуникативтік және т.б.) – креативтіліктің құрылымдық компоненттері. </w:t>
      </w:r>
    </w:p>
    <w:p w:rsidR="002E79DA" w:rsidRPr="0009080D" w:rsidRDefault="002E79DA" w:rsidP="002E79DA">
      <w:pPr>
        <w:pStyle w:val="a3"/>
        <w:spacing w:before="0" w:beforeAutospacing="0" w:after="0" w:afterAutospacing="0"/>
        <w:ind w:firstLine="567"/>
        <w:jc w:val="both"/>
        <w:rPr>
          <w:b/>
          <w:sz w:val="25"/>
          <w:szCs w:val="25"/>
          <w:lang w:val="kk-KZ"/>
        </w:rPr>
      </w:pPr>
    </w:p>
    <w:p w:rsidR="002E79DA" w:rsidRPr="0009080D" w:rsidRDefault="002E79DA" w:rsidP="002E79DA">
      <w:pPr>
        <w:pStyle w:val="a3"/>
        <w:spacing w:before="0" w:beforeAutospacing="0" w:after="0" w:afterAutospacing="0"/>
        <w:jc w:val="center"/>
        <w:rPr>
          <w:b/>
          <w:sz w:val="25"/>
          <w:szCs w:val="25"/>
          <w:lang w:val="kk-KZ"/>
        </w:rPr>
      </w:pPr>
      <w:r w:rsidRPr="0009080D">
        <w:rPr>
          <w:b/>
          <w:sz w:val="25"/>
          <w:szCs w:val="25"/>
          <w:lang w:val="kk-KZ"/>
        </w:rPr>
        <w:t>Қолданылған әдебиеттер тізімі</w:t>
      </w:r>
    </w:p>
    <w:p w:rsidR="002E79DA" w:rsidRPr="0009080D" w:rsidRDefault="002E79DA" w:rsidP="002E79DA">
      <w:pPr>
        <w:pStyle w:val="a3"/>
        <w:spacing w:before="0" w:beforeAutospacing="0" w:after="0" w:afterAutospacing="0"/>
        <w:jc w:val="center"/>
        <w:rPr>
          <w:b/>
          <w:sz w:val="25"/>
          <w:szCs w:val="25"/>
          <w:lang w:val="kk-KZ"/>
        </w:rPr>
      </w:pPr>
    </w:p>
    <w:p w:rsidR="002E79DA" w:rsidRPr="0009080D" w:rsidRDefault="002E79DA" w:rsidP="002E79DA">
      <w:pPr>
        <w:pStyle w:val="a3"/>
        <w:numPr>
          <w:ilvl w:val="0"/>
          <w:numId w:val="1"/>
        </w:numPr>
        <w:spacing w:before="0" w:beforeAutospacing="0" w:after="0" w:afterAutospacing="0"/>
        <w:jc w:val="both"/>
        <w:rPr>
          <w:sz w:val="25"/>
          <w:szCs w:val="25"/>
          <w:lang w:val="kk-KZ"/>
        </w:rPr>
      </w:pPr>
      <w:r w:rsidRPr="0009080D">
        <w:rPr>
          <w:sz w:val="25"/>
          <w:szCs w:val="25"/>
          <w:lang w:val="kk-KZ"/>
        </w:rPr>
        <w:t xml:space="preserve">Қазақстан Республикасында білім беруді дамытудың 2011–2020 жылдар арналған Мемлекеттік бағдарламасы // </w:t>
      </w:r>
      <w:r>
        <w:fldChar w:fldCharType="begin"/>
      </w:r>
      <w:r w:rsidRPr="00014A42">
        <w:rPr>
          <w:lang w:val="kk-KZ"/>
        </w:rPr>
        <w:instrText xml:space="preserve"> HYPERLINK "http://www.edu.gov.kz" </w:instrText>
      </w:r>
      <w:r>
        <w:fldChar w:fldCharType="separate"/>
      </w:r>
      <w:r w:rsidRPr="0009080D">
        <w:rPr>
          <w:rStyle w:val="a4"/>
          <w:sz w:val="25"/>
          <w:szCs w:val="25"/>
          <w:lang w:val="kk-KZ"/>
        </w:rPr>
        <w:t>www.edu.gov.kz</w:t>
      </w:r>
      <w:r>
        <w:rPr>
          <w:rStyle w:val="a4"/>
          <w:sz w:val="25"/>
          <w:szCs w:val="25"/>
          <w:lang w:val="kk-KZ"/>
        </w:rPr>
        <w:fldChar w:fldCharType="end"/>
      </w:r>
    </w:p>
    <w:p w:rsidR="002E79DA" w:rsidRPr="0009080D" w:rsidRDefault="002E79DA" w:rsidP="002E79DA">
      <w:pPr>
        <w:pStyle w:val="a3"/>
        <w:numPr>
          <w:ilvl w:val="0"/>
          <w:numId w:val="1"/>
        </w:numPr>
        <w:spacing w:before="0" w:beforeAutospacing="0" w:after="0" w:afterAutospacing="0"/>
        <w:jc w:val="both"/>
        <w:rPr>
          <w:sz w:val="25"/>
          <w:szCs w:val="25"/>
          <w:lang w:val="kk-KZ"/>
        </w:rPr>
      </w:pPr>
      <w:r w:rsidRPr="0009080D">
        <w:rPr>
          <w:sz w:val="25"/>
          <w:szCs w:val="25"/>
        </w:rPr>
        <w:t>Ильин Е.П. Психология творчества, креативности, одаренности. – СПб</w:t>
      </w:r>
      <w:proofErr w:type="gramStart"/>
      <w:r w:rsidRPr="0009080D">
        <w:rPr>
          <w:sz w:val="25"/>
          <w:szCs w:val="25"/>
        </w:rPr>
        <w:t xml:space="preserve">.: </w:t>
      </w:r>
      <w:proofErr w:type="gramEnd"/>
      <w:r w:rsidRPr="0009080D">
        <w:rPr>
          <w:sz w:val="25"/>
          <w:szCs w:val="25"/>
        </w:rPr>
        <w:t>Питер, 2009. – 434 с.</w:t>
      </w:r>
    </w:p>
    <w:p w:rsidR="002E79DA" w:rsidRPr="0009080D" w:rsidRDefault="002E79DA" w:rsidP="002E79DA">
      <w:pPr>
        <w:pStyle w:val="a3"/>
        <w:numPr>
          <w:ilvl w:val="0"/>
          <w:numId w:val="1"/>
        </w:numPr>
        <w:spacing w:before="0" w:beforeAutospacing="0" w:after="0" w:afterAutospacing="0"/>
        <w:jc w:val="both"/>
        <w:rPr>
          <w:sz w:val="25"/>
          <w:szCs w:val="25"/>
          <w:lang w:val="kk-KZ"/>
        </w:rPr>
      </w:pPr>
      <w:r w:rsidRPr="0009080D">
        <w:rPr>
          <w:sz w:val="25"/>
          <w:szCs w:val="25"/>
          <w:lang w:val="kk-KZ"/>
        </w:rPr>
        <w:lastRenderedPageBreak/>
        <w:t>Холодная М.А. Психология интеллекта: парадоксы исследования // www.koob.ru</w:t>
      </w:r>
    </w:p>
    <w:p w:rsidR="002E79DA" w:rsidRPr="0009080D" w:rsidRDefault="002E79DA" w:rsidP="002E79DA">
      <w:pPr>
        <w:pStyle w:val="a3"/>
        <w:numPr>
          <w:ilvl w:val="0"/>
          <w:numId w:val="1"/>
        </w:numPr>
        <w:spacing w:before="0" w:beforeAutospacing="0" w:after="0" w:afterAutospacing="0"/>
        <w:jc w:val="both"/>
        <w:rPr>
          <w:sz w:val="25"/>
          <w:szCs w:val="25"/>
          <w:lang w:val="kk-KZ"/>
        </w:rPr>
      </w:pPr>
      <w:r w:rsidRPr="0009080D">
        <w:rPr>
          <w:sz w:val="25"/>
          <w:szCs w:val="25"/>
          <w:lang w:val="kk-KZ"/>
        </w:rPr>
        <w:t>Кыштымова И.М. Креативность школьников: психосемотический подход: дис. ... докт. психол. наук. – Иркутск, 2009. – 529 с.</w:t>
      </w:r>
    </w:p>
    <w:p w:rsidR="002E79DA" w:rsidRPr="0009080D" w:rsidRDefault="002E79DA" w:rsidP="002E79DA">
      <w:pPr>
        <w:pStyle w:val="a3"/>
        <w:numPr>
          <w:ilvl w:val="0"/>
          <w:numId w:val="1"/>
        </w:numPr>
        <w:spacing w:before="0" w:beforeAutospacing="0" w:after="0" w:afterAutospacing="0"/>
        <w:jc w:val="both"/>
        <w:rPr>
          <w:sz w:val="25"/>
          <w:szCs w:val="25"/>
          <w:lang w:val="kk-KZ"/>
        </w:rPr>
      </w:pPr>
      <w:proofErr w:type="spellStart"/>
      <w:r w:rsidRPr="0009080D">
        <w:rPr>
          <w:sz w:val="25"/>
          <w:szCs w:val="25"/>
        </w:rPr>
        <w:t>Чернилевский</w:t>
      </w:r>
      <w:proofErr w:type="spellEnd"/>
      <w:r w:rsidRPr="0009080D">
        <w:rPr>
          <w:sz w:val="25"/>
          <w:szCs w:val="25"/>
        </w:rPr>
        <w:t xml:space="preserve"> Д.В. Креативные аспекты становления образовательной системы. – М., 2003. – 438 </w:t>
      </w:r>
      <w:r w:rsidRPr="0009080D">
        <w:rPr>
          <w:sz w:val="25"/>
          <w:szCs w:val="25"/>
          <w:lang w:val="en-US"/>
        </w:rPr>
        <w:t>c</w:t>
      </w:r>
      <w:r w:rsidRPr="0009080D">
        <w:rPr>
          <w:sz w:val="25"/>
          <w:szCs w:val="25"/>
        </w:rPr>
        <w:t>.</w:t>
      </w:r>
    </w:p>
    <w:p w:rsidR="002E79DA" w:rsidRPr="000F6DF3" w:rsidRDefault="002E79DA" w:rsidP="002E79DA">
      <w:pPr>
        <w:pStyle w:val="a3"/>
        <w:numPr>
          <w:ilvl w:val="0"/>
          <w:numId w:val="1"/>
        </w:numPr>
        <w:spacing w:before="0" w:beforeAutospacing="0" w:after="0" w:afterAutospacing="0"/>
        <w:jc w:val="both"/>
        <w:rPr>
          <w:sz w:val="25"/>
          <w:szCs w:val="25"/>
          <w:lang w:val="kk-KZ"/>
        </w:rPr>
      </w:pPr>
      <w:r w:rsidRPr="0009080D">
        <w:rPr>
          <w:sz w:val="25"/>
          <w:szCs w:val="25"/>
        </w:rPr>
        <w:t>Калмыкова З.И. Продуктивное мышление как основа обучаемости. – М.: Педагогика, 1981. – 196 с.</w:t>
      </w:r>
    </w:p>
    <w:p w:rsidR="002E79DA" w:rsidRPr="0009080D" w:rsidRDefault="002E79DA" w:rsidP="002E79DA">
      <w:pPr>
        <w:spacing w:after="0" w:line="240" w:lineRule="auto"/>
        <w:jc w:val="both"/>
        <w:rPr>
          <w:rFonts w:ascii="Times New Roman" w:hAnsi="Times New Roman"/>
          <w:b/>
          <w:sz w:val="25"/>
          <w:szCs w:val="25"/>
          <w:lang w:val="kk-KZ"/>
        </w:rPr>
      </w:pPr>
    </w:p>
    <w:p w:rsidR="008A2462" w:rsidRPr="002E79DA" w:rsidRDefault="008A2462">
      <w:pPr>
        <w:rPr>
          <w:lang w:val="kk-KZ"/>
        </w:rPr>
      </w:pPr>
      <w:bookmarkStart w:id="0" w:name="_GoBack"/>
      <w:bookmarkEnd w:id="0"/>
    </w:p>
    <w:sectPr w:rsidR="008A2462" w:rsidRPr="002E7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E781F"/>
    <w:multiLevelType w:val="hybridMultilevel"/>
    <w:tmpl w:val="6E2C1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DA"/>
    <w:rsid w:val="002E79DA"/>
    <w:rsid w:val="008A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DA"/>
    <w:rPr>
      <w:rFonts w:ascii="Calibri" w:eastAsia="Times New Roman" w:hAnsi="Calibri" w:cs="Times New Roman"/>
      <w:lang w:eastAsia="ru-RU"/>
    </w:rPr>
  </w:style>
  <w:style w:type="paragraph" w:styleId="1">
    <w:name w:val="heading 1"/>
    <w:basedOn w:val="a"/>
    <w:next w:val="a"/>
    <w:link w:val="10"/>
    <w:uiPriority w:val="9"/>
    <w:qFormat/>
    <w:rsid w:val="002E79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9DA"/>
    <w:rPr>
      <w:rFonts w:asciiTheme="majorHAnsi" w:eastAsiaTheme="majorEastAsia" w:hAnsiTheme="majorHAnsi" w:cstheme="majorBidi"/>
      <w:color w:val="365F91" w:themeColor="accent1" w:themeShade="BF"/>
      <w:sz w:val="32"/>
      <w:szCs w:val="32"/>
      <w:lang w:eastAsia="ru-RU"/>
    </w:rPr>
  </w:style>
  <w:style w:type="paragraph" w:styleId="a3">
    <w:name w:val="Normal (Web)"/>
    <w:aliases w:val="Знак4 Знак,Обычный (Web),Знак4,Знак4 Знак Знак,Знак4 Знак Знак Знак Знак,Обычный (веб) Знак1,Обычный (веб) Знак Знак,Обычный (веб) Знак,Обычный (Web)1,Знак Знак3,Знак Знак1 Знак,Знак Знак1 Знак Знак,Обычный (веб) Знак Знак Знак Знак"/>
    <w:basedOn w:val="a"/>
    <w:uiPriority w:val="99"/>
    <w:unhideWhenUsed/>
    <w:rsid w:val="002E79DA"/>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2E7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DA"/>
    <w:rPr>
      <w:rFonts w:ascii="Calibri" w:eastAsia="Times New Roman" w:hAnsi="Calibri" w:cs="Times New Roman"/>
      <w:lang w:eastAsia="ru-RU"/>
    </w:rPr>
  </w:style>
  <w:style w:type="paragraph" w:styleId="1">
    <w:name w:val="heading 1"/>
    <w:basedOn w:val="a"/>
    <w:next w:val="a"/>
    <w:link w:val="10"/>
    <w:uiPriority w:val="9"/>
    <w:qFormat/>
    <w:rsid w:val="002E79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9DA"/>
    <w:rPr>
      <w:rFonts w:asciiTheme="majorHAnsi" w:eastAsiaTheme="majorEastAsia" w:hAnsiTheme="majorHAnsi" w:cstheme="majorBidi"/>
      <w:color w:val="365F91" w:themeColor="accent1" w:themeShade="BF"/>
      <w:sz w:val="32"/>
      <w:szCs w:val="32"/>
      <w:lang w:eastAsia="ru-RU"/>
    </w:rPr>
  </w:style>
  <w:style w:type="paragraph" w:styleId="a3">
    <w:name w:val="Normal (Web)"/>
    <w:aliases w:val="Знак4 Знак,Обычный (Web),Знак4,Знак4 Знак Знак,Знак4 Знак Знак Знак Знак,Обычный (веб) Знак1,Обычный (веб) Знак Знак,Обычный (веб) Знак,Обычный (Web)1,Знак Знак3,Знак Знак1 Знак,Знак Знак1 Знак Знак,Обычный (веб) Знак Знак Знак Знак"/>
    <w:basedOn w:val="a"/>
    <w:uiPriority w:val="99"/>
    <w:unhideWhenUsed/>
    <w:rsid w:val="002E79DA"/>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2E7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Перизат</dc:creator>
  <cp:lastModifiedBy>Перизат</cp:lastModifiedBy>
  <cp:revision>1</cp:revision>
  <dcterms:created xsi:type="dcterms:W3CDTF">2014-06-15T16:33:00Z</dcterms:created>
  <dcterms:modified xsi:type="dcterms:W3CDTF">2014-06-15T16:33:00Z</dcterms:modified>
</cp:coreProperties>
</file>