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4E5" w:rsidRDefault="009964E5" w:rsidP="009964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64E5" w:rsidRDefault="009964E5" w:rsidP="009964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64E5" w:rsidRDefault="009964E5" w:rsidP="009964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64E5" w:rsidRDefault="009964E5" w:rsidP="009964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9964E5" w:rsidRDefault="009964E5" w:rsidP="00996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4E5" w:rsidRDefault="009964E5" w:rsidP="00996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F32">
        <w:rPr>
          <w:rFonts w:ascii="Times New Roman" w:hAnsi="Times New Roman" w:cs="Times New Roman"/>
          <w:sz w:val="28"/>
          <w:szCs w:val="28"/>
        </w:rPr>
        <w:t xml:space="preserve">В статье представлен анализ двух типов художественной антропологии в русской прозе. </w:t>
      </w:r>
      <w:r>
        <w:rPr>
          <w:rFonts w:ascii="Times New Roman" w:hAnsi="Times New Roman" w:cs="Times New Roman"/>
          <w:sz w:val="28"/>
          <w:szCs w:val="28"/>
        </w:rPr>
        <w:t xml:space="preserve"> Автор утверждает, что </w:t>
      </w:r>
      <w:r w:rsidRPr="00AD2392">
        <w:rPr>
          <w:rFonts w:ascii="Times New Roman" w:hAnsi="Times New Roman" w:cs="Times New Roman"/>
          <w:sz w:val="28"/>
          <w:szCs w:val="28"/>
        </w:rPr>
        <w:t xml:space="preserve">в русской прозе </w:t>
      </w:r>
      <w:r>
        <w:rPr>
          <w:rFonts w:ascii="Times New Roman" w:hAnsi="Times New Roman" w:cs="Times New Roman"/>
          <w:sz w:val="28"/>
          <w:szCs w:val="28"/>
        </w:rPr>
        <w:t>существуют</w:t>
      </w:r>
      <w:r w:rsidRPr="00AD2392">
        <w:rPr>
          <w:rFonts w:ascii="Times New Roman" w:hAnsi="Times New Roman" w:cs="Times New Roman"/>
          <w:sz w:val="28"/>
          <w:szCs w:val="28"/>
        </w:rPr>
        <w:t xml:space="preserve"> два типа литературно-художественной антропологии</w:t>
      </w:r>
      <w:r>
        <w:rPr>
          <w:rFonts w:ascii="Times New Roman" w:hAnsi="Times New Roman" w:cs="Times New Roman"/>
          <w:sz w:val="28"/>
          <w:szCs w:val="28"/>
        </w:rPr>
        <w:t xml:space="preserve">. Первый – это </w:t>
      </w:r>
      <w:r w:rsidRPr="00A27A7C">
        <w:rPr>
          <w:rFonts w:ascii="Times New Roman" w:hAnsi="Times New Roman" w:cs="Times New Roman"/>
          <w:sz w:val="28"/>
          <w:szCs w:val="28"/>
        </w:rPr>
        <w:t>собственно антропоморфный тип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A7C">
        <w:rPr>
          <w:rFonts w:ascii="Times New Roman" w:hAnsi="Times New Roman" w:cs="Times New Roman"/>
          <w:sz w:val="28"/>
          <w:szCs w:val="28"/>
        </w:rPr>
        <w:t>литерату</w:t>
      </w:r>
      <w:r>
        <w:rPr>
          <w:rFonts w:ascii="Times New Roman" w:hAnsi="Times New Roman" w:cs="Times New Roman"/>
          <w:sz w:val="28"/>
          <w:szCs w:val="28"/>
        </w:rPr>
        <w:t>рно-художественной антропологии, которую довели до совершенства еще Л.Н.Толстой и Ф.М.Достоевский. Второй тип художественной антропологии – это антропоморфно-онтологический тип, который сформировался в прозе А.Белого и А.Платонова.</w:t>
      </w:r>
    </w:p>
    <w:p w:rsidR="009964E5" w:rsidRPr="00AC2F32" w:rsidRDefault="009964E5" w:rsidP="00996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2F32">
        <w:rPr>
          <w:rFonts w:ascii="Times New Roman" w:hAnsi="Times New Roman" w:cs="Times New Roman"/>
          <w:i/>
          <w:sz w:val="28"/>
          <w:szCs w:val="28"/>
        </w:rPr>
        <w:t>Ключевые слова:</w:t>
      </w:r>
      <w:r>
        <w:rPr>
          <w:rFonts w:ascii="Times New Roman" w:hAnsi="Times New Roman" w:cs="Times New Roman"/>
          <w:sz w:val="28"/>
          <w:szCs w:val="28"/>
        </w:rPr>
        <w:t xml:space="preserve"> художественная антропология, антропоморфно-онтологическая поэтика, Андрей Белый, роман «Петербург», А.Платонов, роман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Чевенгур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E3763E" w:rsidRDefault="00E3763E"/>
    <w:sectPr w:rsidR="00E3763E" w:rsidSect="00E37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964E5"/>
    <w:rsid w:val="009964E5"/>
    <w:rsid w:val="00E37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2018-05-04T13:10:00Z</dcterms:created>
  <dcterms:modified xsi:type="dcterms:W3CDTF">2018-05-04T13:10:00Z</dcterms:modified>
</cp:coreProperties>
</file>