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99" w:rsidRPr="00450FB7" w:rsidRDefault="00986C99" w:rsidP="00986C9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  <w:lang w:val="en-US"/>
        </w:rPr>
      </w:pPr>
      <w:r w:rsidRPr="00450FB7">
        <w:rPr>
          <w:rFonts w:ascii="Times New Roman" w:hAnsi="Times New Roman" w:cs="Times New Roman"/>
          <w:bCs/>
          <w:caps/>
          <w:sz w:val="24"/>
          <w:szCs w:val="24"/>
          <w:lang w:val="en-US"/>
        </w:rPr>
        <w:t>SOCIAL SCIENCES</w:t>
      </w:r>
    </w:p>
    <w:p w:rsidR="00986C99" w:rsidRPr="00450FB7" w:rsidRDefault="00986C99" w:rsidP="00986C9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86C99" w:rsidRPr="00450FB7" w:rsidRDefault="00986C99" w:rsidP="00986C9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Uderbaeva</w:t>
      </w:r>
      <w:proofErr w:type="spellEnd"/>
      <w:r w:rsidRPr="00450FB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50FB7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K</w:t>
      </w:r>
      <w:r w:rsidRPr="00450FB7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986C99" w:rsidRPr="00656624" w:rsidRDefault="00986C99" w:rsidP="00986C9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Candidate of Historical Sciences, assistant professor of History of Kazakhstan</w:t>
      </w:r>
    </w:p>
    <w:p w:rsidR="00986C99" w:rsidRPr="00656624" w:rsidRDefault="00986C99" w:rsidP="00986C9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Kazakh national University Named by Al-Faraby. Kazakhstan, Almaty.</w:t>
      </w:r>
    </w:p>
    <w:p w:rsidR="00986C99" w:rsidRPr="00656624" w:rsidRDefault="00986C99" w:rsidP="00986C99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C99" w:rsidRPr="00450FB7" w:rsidRDefault="00986C99" w:rsidP="00986C99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  <w:t>UDC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0FB7">
        <w:rPr>
          <w:rFonts w:ascii="Times New Roman" w:hAnsi="Times New Roman" w:cs="Times New Roman"/>
          <w:bCs/>
          <w:caps/>
          <w:sz w:val="24"/>
          <w:szCs w:val="24"/>
          <w:lang w:val="en-US"/>
        </w:rPr>
        <w:t>94(574)</w:t>
      </w:r>
    </w:p>
    <w:p w:rsidR="00986C99" w:rsidRPr="00656624" w:rsidRDefault="00986C99" w:rsidP="00986C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C99" w:rsidRPr="00656624" w:rsidRDefault="00986C99" w:rsidP="00986C99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iCs/>
          <w:sz w:val="24"/>
          <w:szCs w:val="24"/>
          <w:lang w:val="en-US"/>
        </w:rPr>
        <w:t>S.K.</w:t>
      </w:r>
      <w:r w:rsidRPr="0065662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proofErr w:type="spellStart"/>
      <w:r w:rsidRPr="00656624">
        <w:rPr>
          <w:rFonts w:ascii="Times New Roman" w:hAnsi="Times New Roman" w:cs="Times New Roman"/>
          <w:b/>
          <w:iCs/>
          <w:sz w:val="24"/>
          <w:szCs w:val="24"/>
          <w:lang w:val="en-US"/>
        </w:rPr>
        <w:t>Uderbaeva</w:t>
      </w:r>
      <w:proofErr w:type="spellEnd"/>
      <w:r w:rsidRPr="00656624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</w:p>
    <w:p w:rsidR="00986C99" w:rsidRPr="00656624" w:rsidRDefault="00986C99" w:rsidP="00986C99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Saule</w:t>
      </w:r>
      <w:r w:rsidRPr="003C6D4B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uderbaeva</w:t>
      </w:r>
      <w:r w:rsidRPr="0065662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@mail.ru</w:t>
      </w:r>
    </w:p>
    <w:p w:rsidR="00986C99" w:rsidRPr="00656624" w:rsidRDefault="00986C99" w:rsidP="00986C99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Kazakh national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niversity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amed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after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Al-Farab</w:t>
      </w:r>
      <w:proofErr w:type="spellStart"/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Almaty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Kazakhstan</w:t>
      </w:r>
    </w:p>
    <w:p w:rsidR="00986C99" w:rsidRPr="003C6D4B" w:rsidRDefault="00986C99" w:rsidP="00986C9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C99" w:rsidRPr="007D053B" w:rsidRDefault="00986C99" w:rsidP="00986C99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D0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Features of the social status of the head of the </w:t>
      </w:r>
      <w:proofErr w:type="spellStart"/>
      <w:r w:rsidRPr="007D053B">
        <w:rPr>
          <w:rFonts w:ascii="Times New Roman" w:hAnsi="Times New Roman" w:cs="Times New Roman"/>
          <w:b/>
          <w:bCs/>
          <w:sz w:val="24"/>
          <w:szCs w:val="24"/>
          <w:lang w:val="en-US"/>
        </w:rPr>
        <w:t>volosts</w:t>
      </w:r>
      <w:proofErr w:type="spellEnd"/>
      <w:r w:rsidRPr="007D0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</w:t>
      </w:r>
      <w:proofErr w:type="spellStart"/>
      <w:r w:rsidRPr="007D053B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Semirechye</w:t>
      </w:r>
      <w:proofErr w:type="spellEnd"/>
      <w:r w:rsidRPr="007D05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region.</w:t>
      </w:r>
      <w:proofErr w:type="gramEnd"/>
    </w:p>
    <w:p w:rsidR="00986C99" w:rsidRPr="007D053B" w:rsidRDefault="00986C99" w:rsidP="00986C99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C99" w:rsidRPr="00656624" w:rsidRDefault="00986C99" w:rsidP="00986C99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Key</w:t>
      </w: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words: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sz w:val="24"/>
          <w:szCs w:val="24"/>
          <w:lang w:val="kk-KZ"/>
        </w:rPr>
        <w:t>Kazakh officials, the bureaucracy, the Turkestan gover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nor-generalship</w:t>
      </w:r>
      <w:r w:rsidRPr="006566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Semirech'e region, the imperial period, the Kazakh steppe, </w:t>
      </w:r>
      <w:r w:rsidRPr="007D053B">
        <w:rPr>
          <w:rFonts w:ascii="Times New Roman" w:eastAsia="Times New Roman" w:hAnsi="Times New Roman" w:cs="Times New Roman"/>
          <w:sz w:val="24"/>
          <w:szCs w:val="24"/>
          <w:lang w:val="kk-KZ"/>
        </w:rPr>
        <w:t>volostnoy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7D05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head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position, authority, </w:t>
      </w:r>
      <w:r w:rsidRPr="007D053B">
        <w:rPr>
          <w:rFonts w:ascii="Times New Roman" w:eastAsia="Times New Roman" w:hAnsi="Times New Roman" w:cs="Times New Roman"/>
          <w:sz w:val="24"/>
          <w:szCs w:val="24"/>
          <w:lang w:val="kk-KZ"/>
        </w:rPr>
        <w:t>salary,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D053B">
        <w:rPr>
          <w:rFonts w:ascii="Times New Roman" w:eastAsia="Times New Roman" w:hAnsi="Times New Roman" w:cs="Times New Roman"/>
          <w:sz w:val="24"/>
          <w:szCs w:val="24"/>
          <w:lang w:val="kk-KZ"/>
        </w:rPr>
        <w:t>pension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7D053B">
        <w:rPr>
          <w:rFonts w:ascii="Times New Roman" w:eastAsia="Times New Roman" w:hAnsi="Times New Roman" w:cs="Times New Roman"/>
          <w:sz w:val="24"/>
          <w:szCs w:val="24"/>
          <w:lang w:val="kk-KZ"/>
        </w:rPr>
        <w:t>reward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86C99" w:rsidRPr="00656624" w:rsidRDefault="00986C99" w:rsidP="00986C99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Abstract.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article "</w:t>
      </w:r>
      <w:r w:rsidRPr="00D716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Features of the social status of the head of the </w:t>
      </w:r>
      <w:proofErr w:type="spellStart"/>
      <w:r w:rsidRPr="00D716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olosts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Semirechye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region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" is dev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oted to the study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of the social portrait of the </w:t>
      </w:r>
      <w:proofErr w:type="spellStart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</w:t>
      </w:r>
      <w:proofErr w:type="spell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head of the </w:t>
      </w:r>
      <w:proofErr w:type="spellStart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volosts</w:t>
      </w:r>
      <w:proofErr w:type="spell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the </w:t>
      </w:r>
      <w:proofErr w:type="spellStart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Semirechye</w:t>
      </w:r>
      <w:proofErr w:type="spell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region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The author is the executor of the project 0896/GF2 «Kazakh officials nineteenth and twentieth century’s: formation, structure and staff», also at this time it is the executor of the project 1167/GF 4 «Institute township in the control system of the Kazakh steppe XIX- beginning of XX centuries».</w:t>
      </w:r>
    </w:p>
    <w:p w:rsidR="00986C99" w:rsidRPr="00656624" w:rsidRDefault="00986C99" w:rsidP="00986C99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These projects studied unexplored scientific problem of the formation, the structure of the Kazakh officials in the imperial period.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 rightly pointed out by the author, this topic was in the Soviet period has not been studied, since there were "ideological taboos" of the Soviet totalitarian regime.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Personality Kazakh officials were really "figure of silence."</w:t>
      </w:r>
    </w:p>
    <w:p w:rsidR="00986C99" w:rsidRPr="00656624" w:rsidRDefault="00986C99" w:rsidP="00986C99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Methodology of the analysis based on the study of historical sources, archival materials, research domestic and foreign historiography.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methods used in this specific historical, comparative, systematization and synthesis, critical analysis.</w:t>
      </w:r>
    </w:p>
    <w:p w:rsidR="00986C99" w:rsidRPr="00656624" w:rsidRDefault="00986C99" w:rsidP="00986C99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Researchers, scientists, historians, a wide range of interested in history can be based on the article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B76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 on the basis of the article get acquainted with the social portrait of </w:t>
      </w:r>
      <w:proofErr w:type="gramStart"/>
      <w:r w:rsidRPr="00FB76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</w:t>
      </w:r>
      <w:proofErr w:type="gram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the </w:t>
      </w:r>
      <w:proofErr w:type="spellStart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</w:t>
      </w:r>
      <w:proofErr w:type="spell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head of the </w:t>
      </w:r>
      <w:proofErr w:type="spellStart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volosts</w:t>
      </w:r>
      <w:proofErr w:type="spell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the </w:t>
      </w:r>
      <w:proofErr w:type="spellStart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Semirechye</w:t>
      </w:r>
      <w:proofErr w:type="spellEnd"/>
      <w:r w:rsidRPr="005A65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region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986C99" w:rsidRPr="003F18B5" w:rsidRDefault="00986C99" w:rsidP="00986C99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val="en-US"/>
        </w:rPr>
      </w:pPr>
    </w:p>
    <w:p w:rsidR="00986C99" w:rsidRPr="003F18B5" w:rsidRDefault="00986C99" w:rsidP="00986C99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val="en-US"/>
        </w:rPr>
      </w:pPr>
    </w:p>
    <w:p w:rsidR="00986C99" w:rsidRPr="00656624" w:rsidRDefault="00986C99" w:rsidP="00986C99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56624">
        <w:rPr>
          <w:rFonts w:ascii="Times New Roman" w:hAnsi="Times New Roman" w:cs="Times New Roman"/>
          <w:bCs/>
          <w:caps/>
          <w:sz w:val="24"/>
          <w:szCs w:val="24"/>
        </w:rPr>
        <w:t>Общественные науки</w:t>
      </w:r>
    </w:p>
    <w:p w:rsidR="00986C99" w:rsidRDefault="00986C99" w:rsidP="00986C99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986C99" w:rsidRPr="00561812" w:rsidRDefault="00986C99" w:rsidP="00986C99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561812">
        <w:rPr>
          <w:rFonts w:ascii="Times New Roman" w:hAnsi="Times New Roman" w:cs="Times New Roman"/>
          <w:bCs/>
          <w:caps/>
          <w:sz w:val="24"/>
          <w:szCs w:val="24"/>
        </w:rPr>
        <w:t>УДК 94(574)</w:t>
      </w:r>
    </w:p>
    <w:p w:rsidR="00986C99" w:rsidRPr="00656624" w:rsidRDefault="00986C99" w:rsidP="0098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C99" w:rsidRPr="003C6D4B" w:rsidRDefault="00986C99" w:rsidP="00986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C99" w:rsidRPr="003C6D4B" w:rsidRDefault="00986C99" w:rsidP="0098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4B">
        <w:rPr>
          <w:rFonts w:ascii="Times New Roman" w:hAnsi="Times New Roman" w:cs="Times New Roman"/>
          <w:b/>
          <w:sz w:val="24"/>
          <w:szCs w:val="24"/>
        </w:rPr>
        <w:t xml:space="preserve">С.К. </w:t>
      </w:r>
      <w:proofErr w:type="spellStart"/>
      <w:r w:rsidRPr="003C6D4B">
        <w:rPr>
          <w:rFonts w:ascii="Times New Roman" w:hAnsi="Times New Roman" w:cs="Times New Roman"/>
          <w:b/>
          <w:sz w:val="24"/>
          <w:szCs w:val="24"/>
        </w:rPr>
        <w:t>Удербаева</w:t>
      </w:r>
      <w:proofErr w:type="spellEnd"/>
      <w:r w:rsidRPr="003C6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C99" w:rsidRPr="003C6D4B" w:rsidRDefault="00986C99" w:rsidP="00986C99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hyperlink r:id="rId4" w:history="1">
        <w:r w:rsidRPr="001F1ACE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Saule</w:t>
        </w:r>
        <w:r w:rsidRPr="001F1ACE">
          <w:rPr>
            <w:rStyle w:val="a3"/>
            <w:rFonts w:ascii="Times New Roman" w:hAnsi="Times New Roman" w:cs="Times New Roman"/>
            <w:iCs/>
            <w:sz w:val="24"/>
            <w:szCs w:val="24"/>
          </w:rPr>
          <w:t>-</w:t>
        </w:r>
        <w:r w:rsidRPr="001F1ACE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uderbaeva</w:t>
        </w:r>
        <w:r w:rsidRPr="001F1AC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@</w:t>
        </w:r>
        <w:r w:rsidRPr="001F1AC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mail</w:t>
        </w:r>
        <w:r w:rsidRPr="001F1AC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.</w:t>
        </w:r>
        <w:r w:rsidRPr="001F1AC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p w:rsidR="00986C99" w:rsidRPr="003C6D4B" w:rsidRDefault="00986C99" w:rsidP="0098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</w:pPr>
      <w:r w:rsidRPr="003C6D4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val="kk-KZ"/>
        </w:rPr>
        <w:t>Казахский Национальный университет им. аль-Фараби, Алматы, Казахстан</w:t>
      </w:r>
    </w:p>
    <w:p w:rsidR="00986C99" w:rsidRPr="003C6D4B" w:rsidRDefault="00986C99" w:rsidP="0098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99" w:rsidRPr="00794003" w:rsidRDefault="00986C99" w:rsidP="00986C99">
      <w:pPr>
        <w:jc w:val="center"/>
        <w:rPr>
          <w:rFonts w:ascii="Times New Roman" w:hAnsi="Times New Roman"/>
          <w:b/>
          <w:sz w:val="24"/>
          <w:szCs w:val="24"/>
        </w:rPr>
      </w:pPr>
      <w:r w:rsidRPr="00794003">
        <w:rPr>
          <w:rFonts w:ascii="Times New Roman" w:hAnsi="Times New Roman"/>
          <w:b/>
          <w:sz w:val="24"/>
          <w:szCs w:val="24"/>
        </w:rPr>
        <w:t xml:space="preserve">Особенности социального положения </w:t>
      </w:r>
      <w:r w:rsidRPr="00794003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 волостных управителей </w:t>
      </w:r>
      <w:proofErr w:type="spellStart"/>
      <w:r w:rsidRPr="00794003">
        <w:rPr>
          <w:rFonts w:ascii="Times New Roman" w:hAnsi="Times New Roman"/>
          <w:b/>
          <w:sz w:val="24"/>
          <w:szCs w:val="24"/>
        </w:rPr>
        <w:t>Семиреченской</w:t>
      </w:r>
      <w:proofErr w:type="spellEnd"/>
      <w:r w:rsidRPr="00794003">
        <w:rPr>
          <w:rFonts w:ascii="Times New Roman" w:hAnsi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86C99" w:rsidRPr="00656624" w:rsidRDefault="00986C99" w:rsidP="00986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C99" w:rsidRPr="00656624" w:rsidRDefault="00986C99" w:rsidP="0098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Ключевые слова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56624">
        <w:rPr>
          <w:rFonts w:ascii="Times New Roman" w:hAnsi="Times New Roman" w:cs="Times New Roman"/>
          <w:bCs/>
          <w:sz w:val="24"/>
          <w:szCs w:val="24"/>
        </w:rPr>
        <w:t>казахские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Cs/>
          <w:sz w:val="24"/>
          <w:szCs w:val="24"/>
        </w:rPr>
        <w:t xml:space="preserve">чиновники, чиновничество, Туркестанское генерал-губернаторство, 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 xml:space="preserve">волостной управитель, </w:t>
      </w:r>
      <w:r w:rsidRPr="00767A39"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>Казахская степь,</w:t>
      </w:r>
      <w:r w:rsidRPr="001558D3"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proofErr w:type="spellStart"/>
      <w:r w:rsidRPr="00656624">
        <w:rPr>
          <w:rFonts w:ascii="Times New Roman" w:hAnsi="Times New Roman" w:cs="Times New Roman"/>
          <w:bCs/>
          <w:sz w:val="24"/>
          <w:szCs w:val="24"/>
        </w:rPr>
        <w:t>Семиреченская</w:t>
      </w:r>
      <w:proofErr w:type="spellEnd"/>
      <w:r w:rsidRPr="00656624">
        <w:rPr>
          <w:rFonts w:ascii="Times New Roman" w:hAnsi="Times New Roman" w:cs="Times New Roman"/>
          <w:bCs/>
          <w:sz w:val="24"/>
          <w:szCs w:val="24"/>
        </w:rPr>
        <w:t xml:space="preserve"> область, имперский период, </w:t>
      </w:r>
      <w:r w:rsidRPr="001558D3">
        <w:rPr>
          <w:rFonts w:ascii="Times New Roman" w:hAnsi="Times New Roman"/>
          <w:bCs/>
          <w:sz w:val="24"/>
          <w:szCs w:val="24"/>
          <w:lang w:val="kk-KZ" w:eastAsia="ar-SA"/>
        </w:rPr>
        <w:t>жалование, пенсия, награды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>.</w:t>
      </w:r>
    </w:p>
    <w:p w:rsidR="00986C99" w:rsidRPr="00656624" w:rsidRDefault="00986C99" w:rsidP="0098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Аннотация. </w:t>
      </w:r>
      <w:r w:rsidRPr="00656624">
        <w:rPr>
          <w:rFonts w:ascii="Times New Roman" w:hAnsi="Times New Roman" w:cs="Times New Roman"/>
          <w:sz w:val="24"/>
          <w:szCs w:val="24"/>
        </w:rPr>
        <w:t>Статья «</w:t>
      </w:r>
      <w:r w:rsidRPr="00342D0E">
        <w:rPr>
          <w:rFonts w:ascii="Times New Roman" w:hAnsi="Times New Roman" w:cs="Times New Roman"/>
          <w:sz w:val="24"/>
          <w:szCs w:val="24"/>
        </w:rPr>
        <w:t>Особенности социального положения  волостных уп</w:t>
      </w:r>
      <w:r>
        <w:rPr>
          <w:rFonts w:ascii="Times New Roman" w:hAnsi="Times New Roman" w:cs="Times New Roman"/>
          <w:sz w:val="24"/>
          <w:szCs w:val="24"/>
        </w:rPr>
        <w:t xml:space="preserve">равителей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области» посвящена изучению </w:t>
      </w:r>
      <w:r>
        <w:rPr>
          <w:rFonts w:ascii="Times New Roman" w:hAnsi="Times New Roman"/>
          <w:bCs/>
          <w:sz w:val="24"/>
          <w:szCs w:val="24"/>
          <w:lang w:eastAsia="ar-SA"/>
        </w:rPr>
        <w:t>с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 xml:space="preserve">оциального </w:t>
      </w:r>
      <w:r w:rsidRPr="00767A39">
        <w:rPr>
          <w:rFonts w:ascii="Times New Roman" w:hAnsi="Times New Roman"/>
          <w:bCs/>
          <w:sz w:val="24"/>
          <w:szCs w:val="24"/>
          <w:lang w:val="kk-KZ" w:eastAsia="ar-SA"/>
        </w:rPr>
        <w:t>портрет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>а</w:t>
      </w:r>
      <w:r w:rsidRPr="00767A39">
        <w:rPr>
          <w:rFonts w:ascii="Times New Roman" w:hAnsi="Times New Roman"/>
          <w:bCs/>
          <w:sz w:val="24"/>
          <w:szCs w:val="24"/>
          <w:lang w:val="kk-KZ" w:eastAsia="ar-SA"/>
        </w:rPr>
        <w:t xml:space="preserve"> волостного </w:t>
      </w:r>
      <w:r w:rsidRPr="004D00DB">
        <w:rPr>
          <w:rFonts w:ascii="Times New Roman" w:hAnsi="Times New Roman"/>
          <w:bCs/>
          <w:sz w:val="24"/>
          <w:szCs w:val="24"/>
          <w:lang w:val="kk-KZ" w:eastAsia="ar-SA"/>
        </w:rPr>
        <w:t xml:space="preserve">управителя  </w:t>
      </w:r>
      <w:proofErr w:type="spellStart"/>
      <w:r w:rsidRPr="004D00DB">
        <w:rPr>
          <w:rFonts w:ascii="Times New Roman" w:hAnsi="Times New Roman" w:cs="Times New Roman"/>
          <w:bCs/>
          <w:sz w:val="24"/>
          <w:szCs w:val="24"/>
        </w:rPr>
        <w:t>Семиреченской</w:t>
      </w:r>
      <w:proofErr w:type="spellEnd"/>
      <w:r w:rsidRPr="004D00DB">
        <w:rPr>
          <w:rFonts w:ascii="Times New Roman" w:hAnsi="Times New Roman" w:cs="Times New Roman"/>
          <w:bCs/>
          <w:sz w:val="24"/>
          <w:szCs w:val="24"/>
        </w:rPr>
        <w:t xml:space="preserve"> области </w:t>
      </w:r>
      <w:r w:rsidRPr="004D00DB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Туркестанского генерал-губернаторства</w:t>
      </w:r>
      <w:r w:rsidRPr="004D00DB">
        <w:rPr>
          <w:rFonts w:ascii="Times New Roman" w:hAnsi="Times New Roman" w:cs="Times New Roman"/>
          <w:sz w:val="24"/>
          <w:szCs w:val="24"/>
        </w:rPr>
        <w:t>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99" w:rsidRPr="00656624" w:rsidRDefault="00986C99" w:rsidP="0098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Автор являлся исполнителем проекта 0896/ГФ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«Казахское чиновничество Х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6624">
        <w:rPr>
          <w:rFonts w:ascii="Times New Roman" w:hAnsi="Times New Roman" w:cs="Times New Roman"/>
          <w:sz w:val="24"/>
          <w:szCs w:val="24"/>
        </w:rPr>
        <w:t xml:space="preserve">Х-ХХ вв.: формирование, структура и  персоналии», также в данное время является исполнителем проекта 1167 /ГФ 4 «Институт волостных в системе управления Казахской степью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ХIХ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624">
        <w:rPr>
          <w:rFonts w:ascii="Times New Roman" w:hAnsi="Times New Roman" w:cs="Times New Roman"/>
          <w:sz w:val="24"/>
          <w:szCs w:val="24"/>
        </w:rPr>
        <w:t>начало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ХХ вв.: функции, деятельность  и взаимодействие с российской властью». В рамках данных проектов изучается малоисследованная научная проблема формирования, структуры казахского чиновни</w:t>
      </w:r>
      <w:r>
        <w:rPr>
          <w:rFonts w:ascii="Times New Roman" w:hAnsi="Times New Roman" w:cs="Times New Roman"/>
          <w:sz w:val="24"/>
          <w:szCs w:val="24"/>
        </w:rPr>
        <w:t>чества в имперский период. Д</w:t>
      </w:r>
      <w:r w:rsidRPr="00656624">
        <w:rPr>
          <w:rFonts w:ascii="Times New Roman" w:hAnsi="Times New Roman" w:cs="Times New Roman"/>
          <w:sz w:val="24"/>
          <w:szCs w:val="24"/>
        </w:rPr>
        <w:t>анная тема была в советский период практически не освящена, так как существовали «идеологические запреты» советского тоталитарного режима. Личности казахских чиновников действительно были «фигурами умолчания».</w:t>
      </w:r>
    </w:p>
    <w:p w:rsidR="00986C99" w:rsidRDefault="00986C99" w:rsidP="0098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 Методология анализа основана на изучении исторических источников, архивных материалов, исследованиях отечественной и зарубежной историографии. Методы, используемые в работе, это конкретно-исторический, сравнительный, систематизирование и обобщение, критический анализ. </w:t>
      </w:r>
    </w:p>
    <w:p w:rsidR="00986C99" w:rsidRPr="008E7968" w:rsidRDefault="00986C99" w:rsidP="0098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DB">
        <w:rPr>
          <w:rFonts w:ascii="Times New Roman" w:hAnsi="Times New Roman" w:cs="Times New Roman"/>
          <w:sz w:val="24"/>
          <w:szCs w:val="24"/>
        </w:rPr>
        <w:t xml:space="preserve">Исследователи, ученые-историки, широкий круг </w:t>
      </w:r>
      <w:proofErr w:type="gramStart"/>
      <w:r w:rsidRPr="004D00DB">
        <w:rPr>
          <w:rFonts w:ascii="Times New Roman" w:hAnsi="Times New Roman" w:cs="Times New Roman"/>
          <w:sz w:val="24"/>
          <w:szCs w:val="24"/>
        </w:rPr>
        <w:t>интересующихся</w:t>
      </w:r>
      <w:proofErr w:type="gramEnd"/>
      <w:r w:rsidRPr="004D00DB">
        <w:rPr>
          <w:rFonts w:ascii="Times New Roman" w:hAnsi="Times New Roman" w:cs="Times New Roman"/>
          <w:sz w:val="24"/>
          <w:szCs w:val="24"/>
        </w:rPr>
        <w:t xml:space="preserve"> историей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0DB">
        <w:rPr>
          <w:rFonts w:ascii="Times New Roman" w:hAnsi="Times New Roman" w:cs="Times New Roman"/>
          <w:sz w:val="24"/>
          <w:szCs w:val="24"/>
        </w:rPr>
        <w:t xml:space="preserve"> могут на основе статьи </w:t>
      </w:r>
      <w:r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D00DB">
        <w:rPr>
          <w:rFonts w:ascii="Times New Roman" w:hAnsi="Times New Roman"/>
          <w:bCs/>
          <w:sz w:val="24"/>
          <w:szCs w:val="24"/>
          <w:lang w:val="kk-KZ" w:eastAsia="ar-SA"/>
        </w:rPr>
        <w:t>оциальным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r w:rsidRPr="004D00DB">
        <w:rPr>
          <w:rFonts w:ascii="Times New Roman" w:hAnsi="Times New Roman"/>
          <w:bCs/>
          <w:sz w:val="24"/>
          <w:szCs w:val="24"/>
          <w:lang w:val="kk-KZ" w:eastAsia="ar-SA"/>
        </w:rPr>
        <w:t>портретом</w:t>
      </w:r>
      <w:r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r w:rsidRPr="004D00DB">
        <w:rPr>
          <w:rFonts w:ascii="Times New Roman" w:hAnsi="Times New Roman"/>
          <w:bCs/>
          <w:sz w:val="24"/>
          <w:szCs w:val="24"/>
          <w:lang w:val="kk-KZ" w:eastAsia="ar-SA"/>
        </w:rPr>
        <w:t xml:space="preserve">волостного управителя </w:t>
      </w:r>
      <w:proofErr w:type="spellStart"/>
      <w:r w:rsidRPr="004D00DB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4D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4D00DB">
        <w:rPr>
          <w:rFonts w:ascii="Times New Roman" w:hAnsi="Times New Roman" w:cs="Times New Roman"/>
          <w:sz w:val="24"/>
          <w:szCs w:val="24"/>
        </w:rPr>
        <w:t>в имперский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C99" w:rsidRPr="00C426C2" w:rsidRDefault="00986C99" w:rsidP="00986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A3E" w:rsidRPr="00872BDC" w:rsidRDefault="00B30A3E" w:rsidP="00B3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0A3E" w:rsidRPr="00872BDC" w:rsidRDefault="00B30A3E" w:rsidP="00B3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BDC">
        <w:rPr>
          <w:rFonts w:ascii="Times New Roman" w:hAnsi="Times New Roman" w:cs="Times New Roman"/>
          <w:b/>
          <w:sz w:val="24"/>
          <w:szCs w:val="24"/>
          <w:lang w:val="kk-KZ"/>
        </w:rPr>
        <w:t>С.К. Удербаева</w:t>
      </w:r>
    </w:p>
    <w:p w:rsidR="00B30A3E" w:rsidRPr="00872BDC" w:rsidRDefault="00B30A3E" w:rsidP="00B3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872BDC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uderbaeva-saule@mail.ru</w:t>
        </w:r>
      </w:hyperlink>
    </w:p>
    <w:p w:rsidR="00B30A3E" w:rsidRPr="00872BDC" w:rsidRDefault="00B30A3E" w:rsidP="00B3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BDC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университеті, Алматы, Қазақстан</w:t>
      </w:r>
    </w:p>
    <w:p w:rsidR="00B30A3E" w:rsidRPr="0043005D" w:rsidRDefault="00B30A3E" w:rsidP="00B3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A3E" w:rsidRPr="0043005D" w:rsidRDefault="00B30A3E" w:rsidP="00B3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0795">
        <w:rPr>
          <w:rFonts w:ascii="Times New Roman" w:hAnsi="Times New Roman" w:cs="Times New Roman"/>
          <w:b/>
          <w:sz w:val="24"/>
          <w:szCs w:val="24"/>
          <w:lang w:val="kk-KZ"/>
        </w:rPr>
        <w:t>Жетісу облысы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</w:t>
      </w:r>
      <w:r w:rsidRPr="004300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болыстық билеушілерді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4300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әлеуметтік жағдайын ерекшеліктері.</w:t>
      </w:r>
    </w:p>
    <w:p w:rsidR="00B30A3E" w:rsidRPr="0043005D" w:rsidRDefault="00B30A3E" w:rsidP="00B3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A3E" w:rsidRPr="0043005D" w:rsidRDefault="00B30A3E" w:rsidP="00B30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Тірек</w:t>
      </w: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сөздер</w:t>
      </w:r>
      <w:r w:rsidRPr="004300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қазақ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шенеуніктері,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шенеуліктік</w:t>
      </w:r>
      <w:r w:rsidRPr="0043005D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Түркістан генерал-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губернаторлығы,</w:t>
      </w:r>
      <w:r w:rsidRPr="004300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Жетісу облысы,</w:t>
      </w:r>
      <w:r w:rsidRPr="004300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импер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иялық кезең</w:t>
      </w:r>
      <w:r w:rsidRPr="004300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Қазақ даласы</w:t>
      </w:r>
      <w:r w:rsidRPr="004300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қызметтер, өкілеттіктер</w:t>
      </w:r>
      <w:r w:rsidRPr="0043005D">
        <w:rPr>
          <w:rFonts w:ascii="Times New Roman" w:hAnsi="Times New Roman" w:cs="Times New Roman"/>
          <w:bCs/>
          <w:sz w:val="24"/>
          <w:szCs w:val="24"/>
          <w:lang w:val="kk-KZ"/>
        </w:rPr>
        <w:t>, жалақысы, зейнетақы, марапаттар, болыстық билеушісі.</w:t>
      </w:r>
    </w:p>
    <w:p w:rsidR="00B30A3E" w:rsidRPr="00656624" w:rsidRDefault="00B30A3E" w:rsidP="00B30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Аннотация. «</w:t>
      </w:r>
      <w:r w:rsidRPr="00272A46">
        <w:rPr>
          <w:rFonts w:ascii="Times New Roman" w:hAnsi="Times New Roman" w:cs="Times New Roman"/>
          <w:sz w:val="24"/>
          <w:szCs w:val="24"/>
          <w:lang w:val="kk-KZ"/>
        </w:rPr>
        <w:t>Жетісу облысының болыстық билеушілердің әл</w:t>
      </w:r>
      <w:r>
        <w:rPr>
          <w:rFonts w:ascii="Times New Roman" w:hAnsi="Times New Roman" w:cs="Times New Roman"/>
          <w:sz w:val="24"/>
          <w:szCs w:val="24"/>
          <w:lang w:val="kk-KZ"/>
        </w:rPr>
        <w:t>еуметтік жағдайын ерекшеліктері</w:t>
      </w:r>
      <w:r w:rsidRPr="00656624">
        <w:rPr>
          <w:rFonts w:ascii="Times New Roman" w:hAnsi="Times New Roman" w:cs="Times New Roman"/>
          <w:sz w:val="24"/>
          <w:szCs w:val="24"/>
          <w:lang w:val="kk-KZ"/>
        </w:rPr>
        <w:t xml:space="preserve">» мақаласы Түркістан генерал-губернаторлығы </w:t>
      </w:r>
      <w:r w:rsidRPr="00272A46">
        <w:rPr>
          <w:rFonts w:ascii="Times New Roman" w:hAnsi="Times New Roman" w:cs="Times New Roman"/>
          <w:sz w:val="24"/>
          <w:szCs w:val="24"/>
          <w:lang w:val="kk-KZ"/>
        </w:rPr>
        <w:t>Жетісу облысының болыстық билеушілердің әл</w:t>
      </w:r>
      <w:r>
        <w:rPr>
          <w:rFonts w:ascii="Times New Roman" w:hAnsi="Times New Roman" w:cs="Times New Roman"/>
          <w:sz w:val="24"/>
          <w:szCs w:val="24"/>
          <w:lang w:val="kk-KZ"/>
        </w:rPr>
        <w:t>еуметтік жағдайын ерекшеліктерің</w:t>
      </w:r>
      <w:r w:rsidRPr="00656624">
        <w:rPr>
          <w:rFonts w:ascii="Times New Roman" w:hAnsi="Times New Roman" w:cs="Times New Roman"/>
          <w:sz w:val="24"/>
          <w:szCs w:val="24"/>
          <w:lang w:val="kk-KZ"/>
        </w:rPr>
        <w:t xml:space="preserve"> зерттеуге арналған.</w:t>
      </w:r>
    </w:p>
    <w:p w:rsidR="00B30A3E" w:rsidRPr="00656624" w:rsidRDefault="00B30A3E" w:rsidP="00B30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>Автор 0896/ГФ2 «ХIХ-ХХ ғғ. қазақ шенеуліктігі: қалыптасуы, құрылымы және тұлғалары», сондай-ақ қазіргі кезде 1167 /ГФ 4 «ХІХ-ХХ ғ. бас кезіндегі Қазақ даласын басқару жүйесіндегі болыстық институт: функциясы, қызметі және ресейлік билікпен әрекеттестігі» жобаларының атқарушысы болып табылады. Осы жобалар аясында империялық кезеңдегі қазақ шенеуліктігінің қалыптасуы, құрылымы мәселелерінің ғылыми аз зерттелген тұстары қарастырылады.</w:t>
      </w:r>
    </w:p>
    <w:p w:rsidR="00B30A3E" w:rsidRPr="00656624" w:rsidRDefault="00B30A3E" w:rsidP="00B30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>Автордың өзі баса көрсеткендей, бұл тақырып кеңестік кезеңде қарастырылмаған, өйткені ол кезде тоталитарлық  жүйенің «идеологиялық шектеулері» белең алған болатын. Қазақ шенеуніктері «атауға болмайтын» тұлғалар еді.</w:t>
      </w:r>
    </w:p>
    <w:p w:rsidR="00B30A3E" w:rsidRPr="00656624" w:rsidRDefault="00B30A3E" w:rsidP="00B30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>Талдау методологиясы тарихи деректерді, мұрағат материалдарын, отандық және шетелдік тарихнамалық зерттеулерді зерделеуге негізделген. Жұмыста қолданылатын әдістер, бұл нақты-тарихи, салыстырмалық, жүйелеу және қорытындылау, сыни талдау.</w:t>
      </w:r>
    </w:p>
    <w:p w:rsidR="00B30A3E" w:rsidRPr="00025307" w:rsidRDefault="00B30A3E" w:rsidP="00B30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 xml:space="preserve">Зерттеушілер, ғалым-тарихшылар, жалпы тарихқа қызығушылық танытушылар мақала негізінде империялық кезеңдегі </w:t>
      </w:r>
      <w:r w:rsidRPr="00272A46">
        <w:rPr>
          <w:rFonts w:ascii="Times New Roman" w:hAnsi="Times New Roman" w:cs="Times New Roman"/>
          <w:sz w:val="24"/>
          <w:szCs w:val="24"/>
          <w:lang w:val="kk-KZ"/>
        </w:rPr>
        <w:t>Жетісу облысының болыстық билеушілердің әл</w:t>
      </w:r>
      <w:r>
        <w:rPr>
          <w:rFonts w:ascii="Times New Roman" w:hAnsi="Times New Roman" w:cs="Times New Roman"/>
          <w:sz w:val="24"/>
          <w:szCs w:val="24"/>
          <w:lang w:val="kk-KZ"/>
        </w:rPr>
        <w:t>еуметтік жағдайын</w:t>
      </w:r>
      <w:r w:rsidRPr="00656624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ерекшеліктерімен таныса алады.</w:t>
      </w:r>
    </w:p>
    <w:p w:rsidR="00990421" w:rsidRPr="00B30A3E" w:rsidRDefault="00990421">
      <w:pPr>
        <w:rPr>
          <w:lang w:val="kk-KZ"/>
        </w:rPr>
      </w:pPr>
    </w:p>
    <w:sectPr w:rsidR="00990421" w:rsidRPr="00B3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C99"/>
    <w:rsid w:val="00986C99"/>
    <w:rsid w:val="00990421"/>
    <w:rsid w:val="00B3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erbaeva-saule@mail.ru" TargetMode="External"/><Relationship Id="rId4" Type="http://schemas.openxmlformats.org/officeDocument/2006/relationships/hyperlink" Target="mailto:Saule-uderb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2017-05-03T16:45:00Z</dcterms:created>
  <dcterms:modified xsi:type="dcterms:W3CDTF">2017-05-03T16:46:00Z</dcterms:modified>
</cp:coreProperties>
</file>