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FB" w:rsidRDefault="0019764B">
      <w:pPr>
        <w:pStyle w:val="a5"/>
        <w:framePr w:wrap="none" w:vAnchor="page" w:hAnchor="page" w:x="7764" w:y="441"/>
        <w:shd w:val="clear" w:color="auto" w:fill="auto"/>
        <w:spacing w:line="170" w:lineRule="exact"/>
        <w:ind w:left="19"/>
      </w:pPr>
      <w:bookmarkStart w:id="0" w:name="_GoBack"/>
      <w:bookmarkEnd w:id="0"/>
      <w:r>
        <w:t xml:space="preserve">ISSN 1563-0218 • </w:t>
      </w:r>
      <w:r>
        <w:rPr>
          <w:lang w:val="ru-RU" w:eastAsia="ru-RU" w:bidi="ru-RU"/>
        </w:rPr>
        <w:t xml:space="preserve">Индекс </w:t>
      </w:r>
      <w:r>
        <w:t>75866; 25866</w:t>
      </w:r>
    </w:p>
    <w:p w:rsidR="00D92EFB" w:rsidRDefault="0019764B">
      <w:pPr>
        <w:pStyle w:val="20"/>
        <w:framePr w:w="8558" w:h="518" w:hRule="exact" w:wrap="none" w:vAnchor="page" w:hAnchor="page" w:x="1572" w:y="4473"/>
        <w:shd w:val="clear" w:color="auto" w:fill="auto"/>
        <w:tabs>
          <w:tab w:val="left" w:pos="3406"/>
        </w:tabs>
        <w:ind w:left="1020"/>
      </w:pPr>
      <w:r>
        <w:rPr>
          <w:lang w:val="kk-KZ" w:eastAsia="kk-KZ" w:bidi="kk-KZ"/>
        </w:rPr>
        <w:t>ӘЛ-ФАРАБИ атындағы</w:t>
      </w:r>
      <w:r>
        <w:rPr>
          <w:lang w:val="kk-KZ" w:eastAsia="kk-KZ" w:bidi="kk-KZ"/>
        </w:rPr>
        <w:tab/>
      </w:r>
      <w:r>
        <w:t xml:space="preserve">КАЗАХСКИЙ НАЦИОНАЛЬНЫЙ </w:t>
      </w:r>
      <w:r>
        <w:rPr>
          <w:lang w:val="en-US" w:eastAsia="en-US" w:bidi="en-US"/>
        </w:rPr>
        <w:t>AL-FARABI KAZAKH</w:t>
      </w:r>
    </w:p>
    <w:p w:rsidR="00D92EFB" w:rsidRDefault="0019764B">
      <w:pPr>
        <w:pStyle w:val="20"/>
        <w:framePr w:w="8558" w:h="518" w:hRule="exact" w:wrap="none" w:vAnchor="page" w:hAnchor="page" w:x="1572" w:y="4473"/>
        <w:shd w:val="clear" w:color="auto" w:fill="auto"/>
        <w:ind w:left="20"/>
        <w:jc w:val="center"/>
      </w:pPr>
      <w:r>
        <w:rPr>
          <w:lang w:val="kk-KZ" w:eastAsia="kk-KZ" w:bidi="kk-KZ"/>
        </w:rPr>
        <w:t xml:space="preserve">ҚАЗАҚ ҮЛТТЫҚ </w:t>
      </w:r>
      <w:r>
        <w:t xml:space="preserve">УНИВЕРСИТЕТ! УНИВЕРСИТЕТ имени АЛЬ-ФАРАБИ </w:t>
      </w:r>
      <w:r>
        <w:rPr>
          <w:lang w:val="en-US" w:eastAsia="en-US" w:bidi="en-US"/>
        </w:rPr>
        <w:t>NATIONAL</w:t>
      </w:r>
      <w:r w:rsidRPr="00D01291">
        <w:rPr>
          <w:lang w:eastAsia="en-US" w:bidi="en-US"/>
        </w:rPr>
        <w:t xml:space="preserve"> </w:t>
      </w:r>
      <w:r>
        <w:rPr>
          <w:lang w:val="en-US" w:eastAsia="en-US" w:bidi="en-US"/>
        </w:rPr>
        <w:t>UNIVERSITY</w:t>
      </w:r>
    </w:p>
    <w:p w:rsidR="00D92EFB" w:rsidRDefault="0019764B">
      <w:pPr>
        <w:pStyle w:val="10"/>
        <w:framePr w:w="8558" w:h="5503" w:hRule="exact" w:wrap="none" w:vAnchor="page" w:hAnchor="page" w:x="1572" w:y="7211"/>
        <w:shd w:val="clear" w:color="auto" w:fill="auto"/>
        <w:spacing w:before="0" w:after="0" w:line="1920" w:lineRule="exact"/>
      </w:pPr>
      <w:bookmarkStart w:id="1" w:name="bookmark0"/>
      <w:r>
        <w:t>ХАБАРШЫ</w:t>
      </w:r>
      <w:bookmarkEnd w:id="1"/>
    </w:p>
    <w:p w:rsidR="00D92EFB" w:rsidRDefault="0019764B">
      <w:pPr>
        <w:pStyle w:val="30"/>
        <w:framePr w:w="8558" w:h="5503" w:hRule="exact" w:wrap="none" w:vAnchor="page" w:hAnchor="page" w:x="1572" w:y="7211"/>
        <w:shd w:val="clear" w:color="auto" w:fill="auto"/>
        <w:spacing w:before="0" w:after="238" w:line="300" w:lineRule="exact"/>
        <w:ind w:left="20"/>
      </w:pPr>
      <w:r>
        <w:t>БИОЛОГИЯ СЕРИЯСЫ</w:t>
      </w:r>
    </w:p>
    <w:p w:rsidR="00D92EFB" w:rsidRDefault="0019764B">
      <w:pPr>
        <w:pStyle w:val="22"/>
        <w:framePr w:w="8558" w:h="5503" w:hRule="exact" w:wrap="none" w:vAnchor="page" w:hAnchor="page" w:x="1572" w:y="7211"/>
        <w:shd w:val="clear" w:color="auto" w:fill="auto"/>
        <w:spacing w:before="0" w:after="0" w:line="1280" w:lineRule="exact"/>
        <w:ind w:left="1280"/>
      </w:pPr>
      <w:bookmarkStart w:id="2" w:name="bookmark1"/>
      <w:r>
        <w:t>ВЕСТНИК</w:t>
      </w:r>
      <w:bookmarkEnd w:id="2"/>
    </w:p>
    <w:p w:rsidR="00D92EFB" w:rsidRDefault="0019764B">
      <w:pPr>
        <w:pStyle w:val="30"/>
        <w:framePr w:w="8558" w:h="5503" w:hRule="exact" w:wrap="none" w:vAnchor="page" w:hAnchor="page" w:x="1572" w:y="7211"/>
        <w:shd w:val="clear" w:color="auto" w:fill="auto"/>
        <w:spacing w:before="0" w:after="331" w:line="300" w:lineRule="exact"/>
        <w:ind w:left="20"/>
      </w:pPr>
      <w:r>
        <w:t>СЕРИЯ БИОЛОГИЧЕСКАЯ</w:t>
      </w:r>
    </w:p>
    <w:p w:rsidR="00D92EFB" w:rsidRPr="00D01291" w:rsidRDefault="0019764B">
      <w:pPr>
        <w:pStyle w:val="32"/>
        <w:framePr w:w="8558" w:h="5503" w:hRule="exact" w:wrap="none" w:vAnchor="page" w:hAnchor="page" w:x="1572" w:y="7211"/>
        <w:shd w:val="clear" w:color="auto" w:fill="auto"/>
        <w:spacing w:before="0" w:after="0" w:line="960" w:lineRule="exact"/>
        <w:ind w:left="20"/>
        <w:rPr>
          <w:lang w:val="ru-RU"/>
        </w:rPr>
      </w:pPr>
      <w:bookmarkStart w:id="3" w:name="bookmark2"/>
      <w:r>
        <w:t>BULLETIN</w:t>
      </w:r>
      <w:bookmarkEnd w:id="3"/>
    </w:p>
    <w:p w:rsidR="00D92EFB" w:rsidRDefault="0019764B">
      <w:pPr>
        <w:pStyle w:val="30"/>
        <w:framePr w:w="8558" w:h="5503" w:hRule="exact" w:wrap="none" w:vAnchor="page" w:hAnchor="page" w:x="1572" w:y="7211"/>
        <w:shd w:val="clear" w:color="auto" w:fill="auto"/>
        <w:spacing w:before="0" w:after="0" w:line="300" w:lineRule="exact"/>
        <w:ind w:left="20"/>
      </w:pPr>
      <w:r>
        <w:rPr>
          <w:lang w:val="en-US" w:eastAsia="en-US" w:bidi="en-US"/>
        </w:rPr>
        <w:t>BIOLOGY</w:t>
      </w:r>
      <w:r w:rsidRPr="00D01291">
        <w:rPr>
          <w:lang w:eastAsia="en-US" w:bidi="en-US"/>
        </w:rPr>
        <w:t xml:space="preserve"> </w:t>
      </w:r>
      <w:r>
        <w:rPr>
          <w:lang w:val="en-US" w:eastAsia="en-US" w:bidi="en-US"/>
        </w:rPr>
        <w:t>SERIES</w:t>
      </w:r>
    </w:p>
    <w:p w:rsidR="00D92EFB" w:rsidRDefault="0019764B">
      <w:pPr>
        <w:pStyle w:val="40"/>
        <w:framePr w:w="8558" w:h="779" w:hRule="exact" w:wrap="none" w:vAnchor="page" w:hAnchor="page" w:x="1572" w:y="14898"/>
        <w:shd w:val="clear" w:color="auto" w:fill="000000"/>
        <w:spacing w:before="0" w:line="740" w:lineRule="exact"/>
      </w:pPr>
      <w:bookmarkStart w:id="4" w:name="bookmark3"/>
      <w:r>
        <w:rPr>
          <w:rStyle w:val="41"/>
        </w:rPr>
        <w:t>3</w:t>
      </w:r>
      <w:r>
        <w:rPr>
          <w:rStyle w:val="4Calibri37pt0pt"/>
        </w:rPr>
        <w:t>(</w:t>
      </w:r>
      <w:r>
        <w:rPr>
          <w:rStyle w:val="41"/>
        </w:rPr>
        <w:t>68</w:t>
      </w:r>
      <w:r>
        <w:rPr>
          <w:rStyle w:val="4Calibri37pt0pt"/>
        </w:rPr>
        <w:t xml:space="preserve">) </w:t>
      </w:r>
      <w:r>
        <w:rPr>
          <w:rStyle w:val="41"/>
        </w:rPr>
        <w:t>2016</w:t>
      </w:r>
      <w:bookmarkEnd w:id="4"/>
    </w:p>
    <w:p w:rsidR="00D92EFB" w:rsidRDefault="00D01291">
      <w:pPr>
        <w:rPr>
          <w:sz w:val="2"/>
          <w:szCs w:val="2"/>
        </w:rPr>
        <w:sectPr w:rsidR="00D92EFB">
          <w:pgSz w:w="10658" w:h="16483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827405</wp:posOffset>
            </wp:positionH>
            <wp:positionV relativeFrom="page">
              <wp:posOffset>85090</wp:posOffset>
            </wp:positionV>
            <wp:extent cx="4675505" cy="2566670"/>
            <wp:effectExtent l="0" t="0" r="0" b="5080"/>
            <wp:wrapNone/>
            <wp:docPr id="9" name="Рисунок 2" descr="C:\Users\Akmaral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maral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EFB" w:rsidRDefault="0019764B">
      <w:pPr>
        <w:pStyle w:val="60"/>
        <w:framePr w:wrap="none" w:vAnchor="page" w:hAnchor="page" w:x="1521" w:y="3045"/>
        <w:shd w:val="clear" w:color="auto" w:fill="auto"/>
        <w:spacing w:before="0" w:line="200" w:lineRule="exact"/>
        <w:jc w:val="left"/>
      </w:pPr>
      <w:r>
        <w:lastRenderedPageBreak/>
        <w:t>УДК 633.16:581.1.</w:t>
      </w:r>
    </w:p>
    <w:p w:rsidR="00D92EFB" w:rsidRDefault="0019764B">
      <w:pPr>
        <w:pStyle w:val="520"/>
        <w:framePr w:w="8558" w:h="1708" w:hRule="exact" w:wrap="none" w:vAnchor="page" w:hAnchor="page" w:x="2404" w:y="3002"/>
        <w:shd w:val="clear" w:color="auto" w:fill="auto"/>
        <w:ind w:left="2740" w:right="33"/>
      </w:pPr>
      <w:bookmarkStart w:id="5" w:name="bookmark4"/>
      <w:r>
        <w:t>*Атабаева С.Д., Нурмаханова А.С., Кенжебаева Ш.К.,</w:t>
      </w:r>
      <w:r>
        <w:br/>
        <w:t>Асрандина С.Ш., Кенжебаева С.С., Алыбаева Р.А.,</w:t>
      </w:r>
      <w:r>
        <w:br/>
        <w:t>Нармуратова М.К., Тыныбеков Б.М.</w:t>
      </w:r>
      <w:bookmarkEnd w:id="5"/>
    </w:p>
    <w:p w:rsidR="00D92EFB" w:rsidRPr="00D01291" w:rsidRDefault="0019764B">
      <w:pPr>
        <w:pStyle w:val="43"/>
        <w:framePr w:w="8558" w:h="1708" w:hRule="exact" w:wrap="none" w:vAnchor="page" w:hAnchor="page" w:x="2404" w:y="3002"/>
        <w:shd w:val="clear" w:color="auto" w:fill="auto"/>
        <w:spacing w:before="0" w:after="0" w:line="230" w:lineRule="exact"/>
        <w:ind w:left="4340" w:right="33"/>
        <w:rPr>
          <w:lang w:val="ru-RU"/>
        </w:rPr>
      </w:pPr>
      <w:r>
        <w:rPr>
          <w:rStyle w:val="485pt"/>
          <w:lang w:val="ru-RU" w:eastAsia="ru-RU" w:bidi="ru-RU"/>
        </w:rPr>
        <w:t>Казахский национальный университет аль-Фараби,</w:t>
      </w:r>
      <w:r>
        <w:rPr>
          <w:rStyle w:val="485pt"/>
          <w:lang w:val="ru-RU" w:eastAsia="ru-RU" w:bidi="ru-RU"/>
        </w:rPr>
        <w:br/>
        <w:t>Республика Казахстана, г. Алматы</w:t>
      </w:r>
      <w:r>
        <w:rPr>
          <w:rStyle w:val="485pt"/>
          <w:lang w:val="ru-RU" w:eastAsia="ru-RU" w:bidi="ru-RU"/>
        </w:rPr>
        <w:br/>
      </w:r>
      <w:r w:rsidRPr="00D01291">
        <w:rPr>
          <w:rStyle w:val="485pt"/>
          <w:lang w:val="ru-RU"/>
        </w:rPr>
        <w:t>‘</w:t>
      </w:r>
      <w:r>
        <w:rPr>
          <w:rStyle w:val="485pt"/>
        </w:rPr>
        <w:t>E</w:t>
      </w:r>
      <w:r w:rsidRPr="00D01291">
        <w:rPr>
          <w:rStyle w:val="485pt"/>
          <w:lang w:val="ru-RU"/>
        </w:rPr>
        <w:t>-</w:t>
      </w:r>
      <w:r>
        <w:rPr>
          <w:rStyle w:val="485pt"/>
        </w:rPr>
        <w:t>mail</w:t>
      </w:r>
      <w:r w:rsidRPr="00D01291">
        <w:rPr>
          <w:rStyle w:val="485pt"/>
          <w:lang w:val="ru-RU"/>
        </w:rPr>
        <w:t xml:space="preserve">: </w:t>
      </w:r>
      <w:hyperlink r:id="rId8" w:history="1">
        <w:r>
          <w:rPr>
            <w:rStyle w:val="a3"/>
            <w:b/>
            <w:bCs/>
          </w:rPr>
          <w:t>saule</w:t>
        </w:r>
        <w:r w:rsidRPr="00D01291">
          <w:rPr>
            <w:rStyle w:val="a3"/>
            <w:b/>
            <w:bCs/>
            <w:lang w:val="ru-RU"/>
          </w:rPr>
          <w:t>.</w:t>
        </w:r>
        <w:r>
          <w:rPr>
            <w:rStyle w:val="a3"/>
            <w:b/>
            <w:bCs/>
          </w:rPr>
          <w:t>atabaeva</w:t>
        </w:r>
        <w:r w:rsidRPr="00D01291">
          <w:rPr>
            <w:rStyle w:val="a3"/>
            <w:b/>
            <w:bCs/>
            <w:lang w:val="ru-RU"/>
          </w:rPr>
          <w:t>@</w:t>
        </w:r>
        <w:r>
          <w:rPr>
            <w:rStyle w:val="a3"/>
            <w:b/>
            <w:bCs/>
          </w:rPr>
          <w:t>kaznu</w:t>
        </w:r>
        <w:r w:rsidRPr="00D01291">
          <w:rPr>
            <w:rStyle w:val="a3"/>
            <w:b/>
            <w:bCs/>
            <w:lang w:val="ru-RU"/>
          </w:rPr>
          <w:t>.</w:t>
        </w:r>
        <w:r>
          <w:rPr>
            <w:rStyle w:val="a3"/>
            <w:b/>
            <w:bCs/>
          </w:rPr>
          <w:t>kz</w:t>
        </w:r>
      </w:hyperlink>
    </w:p>
    <w:p w:rsidR="00D92EFB" w:rsidRDefault="0019764B">
      <w:pPr>
        <w:pStyle w:val="50"/>
        <w:framePr w:w="2688" w:h="1205" w:hRule="exact" w:wrap="none" w:vAnchor="page" w:hAnchor="page" w:x="1746" w:y="5845"/>
        <w:shd w:val="clear" w:color="auto" w:fill="auto"/>
        <w:spacing w:before="0" w:after="0" w:line="283" w:lineRule="exact"/>
        <w:jc w:val="right"/>
      </w:pPr>
      <w:r>
        <w:rPr>
          <w:rStyle w:val="5SegoeUI12pt"/>
          <w:b/>
          <w:bCs/>
        </w:rPr>
        <w:t>РАСТЕНИЯ РИСА В УСЛОВИЯХ ЗАГРЯЗНЕНИЯ СРЕДЫ ИОНАМИ КАДМИЯ</w:t>
      </w:r>
    </w:p>
    <w:p w:rsidR="00D92EFB" w:rsidRDefault="0019764B">
      <w:pPr>
        <w:pStyle w:val="80"/>
        <w:framePr w:w="8558" w:h="9460" w:hRule="exact" w:wrap="none" w:vAnchor="page" w:hAnchor="page" w:x="2404" w:y="5866"/>
        <w:shd w:val="clear" w:color="auto" w:fill="auto"/>
        <w:spacing w:after="214" w:line="220" w:lineRule="exact"/>
        <w:ind w:left="2580" w:firstLine="340"/>
      </w:pPr>
      <w:r>
        <w:t>Введение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 xml:space="preserve">Степень загрязнения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>почвы, удобряемой фосфорными удобрениями, может достигать 300 мг/кг сухого веса [1-7]. При действии кадмия снижается урожайность, наблюдается нару</w:t>
      </w:r>
      <w:r>
        <w:softHyphen/>
        <w:t>шение физиологических и биохимических процессов - сни</w:t>
      </w:r>
      <w:r>
        <w:softHyphen/>
        <w:t>жение пигментов [8], нарушение фотосинтеза, эффективности водопотребления, минерального питания, метаболизм сахаров [9-12].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>Мочковатая корневая система, увеличивающая поглощаю</w:t>
      </w:r>
      <w:r>
        <w:softHyphen/>
        <w:t>щую поверх ностьСб [13], хелатирующие агенты, такие как ор</w:t>
      </w:r>
      <w:r>
        <w:softHyphen/>
        <w:t xml:space="preserve">ганические кислоты, ризосферные микроорганизмы и фитоси- дерофоры, способствуют поглощению ионов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>[14].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 xml:space="preserve">Низкие коэффициенты диффузии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>вводный раствор по</w:t>
      </w:r>
      <w:r>
        <w:softHyphen/>
        <w:t xml:space="preserve">казывают, что поглощение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>корнями зависитот транспира</w:t>
      </w:r>
      <w:r>
        <w:softHyphen/>
        <w:t xml:space="preserve">ции, что указывает на важность управления водными ресурса- мив контроле за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 xml:space="preserve">[15]. Применение удобрений увеличивало концентрацию </w:t>
      </w:r>
      <w:r>
        <w:rPr>
          <w:lang w:val="en-US" w:eastAsia="en-US" w:bidi="en-US"/>
        </w:rPr>
        <w:t xml:space="preserve">Cd </w:t>
      </w:r>
      <w:r>
        <w:t xml:space="preserve">в растениях [16, 17]. С увеличением ионной силы сорбция </w:t>
      </w:r>
      <w:r>
        <w:rPr>
          <w:lang w:val="en-US" w:eastAsia="en-US" w:bidi="en-US"/>
        </w:rPr>
        <w:t>Cd</w:t>
      </w:r>
      <w:r w:rsidRPr="00D01291">
        <w:rPr>
          <w:lang w:eastAsia="en-US" w:bidi="en-US"/>
        </w:rPr>
        <w:t xml:space="preserve"> </w:t>
      </w:r>
      <w:r>
        <w:t>частицами почвы снижается [18].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>Механизм взаимодействия тяжелых металлов (ТМ) и расти</w:t>
      </w:r>
      <w:r>
        <w:softHyphen/>
        <w:t xml:space="preserve">тельного организма чрезвычайно сложен, это взаимодействие схематично можно представить следующей схемой: тяжелые металлы —» клеточные мембраны —&gt; клетка —&gt; орган </w:t>
      </w:r>
      <w:r>
        <w:rPr>
          <w:rStyle w:val="64pt"/>
        </w:rPr>
        <w:t>—&gt;</w:t>
      </w:r>
      <w:r>
        <w:t xml:space="preserve"> система органов —&gt; организм —&gt; экологическая система.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>Поступление ТМ в клетку растения осуществляется путем проникновения их через клеточные мембраны. Мембраны кле</w:t>
      </w:r>
      <w:r>
        <w:softHyphen/>
        <w:t>ток являются первичной мишенью действия ТМ. Изменение проницаемости мембран - одно из проявлений ответных реак</w:t>
      </w:r>
      <w:r>
        <w:softHyphen/>
        <w:t>ций растений на внешнее воздействие, которое свидетельству</w:t>
      </w:r>
      <w:r>
        <w:softHyphen/>
        <w:t>ет о структурной перестройке мембран, которая в значительной мере определяет потенциально возможные механизмы расте</w:t>
      </w:r>
      <w:r>
        <w:softHyphen/>
        <w:t>ний противостоять неблагоприятным факторам среды [19].</w:t>
      </w:r>
    </w:p>
    <w:p w:rsidR="00D92EFB" w:rsidRDefault="0019764B">
      <w:pPr>
        <w:pStyle w:val="60"/>
        <w:framePr w:w="8558" w:h="9460" w:hRule="exact" w:wrap="none" w:vAnchor="page" w:hAnchor="page" w:x="2404" w:y="5866"/>
        <w:shd w:val="clear" w:color="auto" w:fill="auto"/>
        <w:spacing w:before="0"/>
        <w:ind w:left="2580" w:firstLine="340"/>
      </w:pPr>
      <w:r>
        <w:t>Проницаемость пограничных клеточных мембран является также одним из специфических механизмов, на котором осно</w:t>
      </w:r>
      <w:r>
        <w:softHyphen/>
        <w:t>вана устойчивость растений. Проницаемость плазмалеммы для электролитов - это интегральный показатель функционального состояния клеточных мембран растений[20]. В связи с этим из</w:t>
      </w:r>
      <w:r>
        <w:softHyphen/>
        <w:t>учение действия ТМ на свойства клеточных мембран, в частно-</w:t>
      </w:r>
    </w:p>
    <w:p w:rsidR="00D92EFB" w:rsidRDefault="0019764B">
      <w:pPr>
        <w:pStyle w:val="a7"/>
        <w:framePr w:wrap="none" w:vAnchor="page" w:hAnchor="page" w:x="1617" w:y="15689"/>
        <w:shd w:val="clear" w:color="auto" w:fill="auto"/>
        <w:spacing w:line="120" w:lineRule="exact"/>
      </w:pPr>
      <w:r>
        <w:rPr>
          <w:rStyle w:val="6pt"/>
          <w:lang w:val="en-US" w:eastAsia="en-US" w:bidi="en-US"/>
        </w:rPr>
        <w:t xml:space="preserve">ISSN </w:t>
      </w:r>
      <w:r w:rsidRPr="00D01291">
        <w:rPr>
          <w:rStyle w:val="6pt"/>
          <w:lang w:val="en-US"/>
        </w:rPr>
        <w:t>1563-0218</w:t>
      </w:r>
    </w:p>
    <w:p w:rsidR="00D92EFB" w:rsidRDefault="0019764B">
      <w:pPr>
        <w:pStyle w:val="34"/>
        <w:framePr w:wrap="none" w:vAnchor="page" w:hAnchor="page" w:x="4564" w:y="15683"/>
        <w:shd w:val="clear" w:color="auto" w:fill="auto"/>
        <w:spacing w:line="170" w:lineRule="exact"/>
      </w:pPr>
      <w:r>
        <w:rPr>
          <w:lang w:val="en-US" w:eastAsia="en-US" w:bidi="en-US"/>
        </w:rPr>
        <w:t xml:space="preserve">KazNU Bulletin. Biology series. </w:t>
      </w:r>
      <w:r w:rsidRPr="00D01291">
        <w:rPr>
          <w:lang w:eastAsia="en-US" w:bidi="en-US"/>
        </w:rPr>
        <w:t>№3 (68). 2016</w:t>
      </w:r>
    </w:p>
    <w:p w:rsidR="00D92EFB" w:rsidRPr="00D01291" w:rsidRDefault="0019764B">
      <w:pPr>
        <w:pStyle w:val="a7"/>
        <w:framePr w:wrap="none" w:vAnchor="page" w:hAnchor="page" w:x="10636" w:y="15704"/>
        <w:shd w:val="clear" w:color="auto" w:fill="auto"/>
        <w:spacing w:line="120" w:lineRule="exact"/>
        <w:rPr>
          <w:lang w:val="ru-RU"/>
        </w:rPr>
      </w:pPr>
      <w:r w:rsidRPr="00D01291">
        <w:rPr>
          <w:rStyle w:val="6pt"/>
          <w:lang w:eastAsia="en-US" w:bidi="en-US"/>
        </w:rPr>
        <w:t>107</w:t>
      </w:r>
    </w:p>
    <w:p w:rsidR="00D92EFB" w:rsidRDefault="00D92EFB">
      <w:pPr>
        <w:rPr>
          <w:sz w:val="2"/>
          <w:szCs w:val="2"/>
        </w:rPr>
        <w:sectPr w:rsidR="00D92E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E68" w:rsidRDefault="00B92E68" w:rsidP="00B92E68">
      <w:pPr>
        <w:pStyle w:val="43"/>
        <w:framePr w:w="9384" w:h="13214" w:hRule="exact" w:wrap="none" w:vAnchor="page" w:hAnchor="page" w:x="1906" w:y="1411"/>
        <w:shd w:val="clear" w:color="auto" w:fill="auto"/>
        <w:tabs>
          <w:tab w:val="left" w:pos="654"/>
        </w:tabs>
        <w:spacing w:before="0" w:after="0" w:line="211" w:lineRule="exact"/>
        <w:jc w:val="both"/>
        <w:rPr>
          <w:sz w:val="2"/>
          <w:szCs w:val="2"/>
        </w:rPr>
      </w:pPr>
    </w:p>
    <w:sectPr w:rsidR="00B92E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6A" w:rsidRDefault="005A7F6A">
      <w:r>
        <w:separator/>
      </w:r>
    </w:p>
  </w:endnote>
  <w:endnote w:type="continuationSeparator" w:id="0">
    <w:p w:rsidR="005A7F6A" w:rsidRDefault="005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6A" w:rsidRDefault="005A7F6A"/>
  </w:footnote>
  <w:footnote w:type="continuationSeparator" w:id="0">
    <w:p w:rsidR="005A7F6A" w:rsidRDefault="005A7F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5B31"/>
    <w:multiLevelType w:val="multilevel"/>
    <w:tmpl w:val="4B846F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D6AC9"/>
    <w:multiLevelType w:val="multilevel"/>
    <w:tmpl w:val="DF2054E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527FE"/>
    <w:multiLevelType w:val="multilevel"/>
    <w:tmpl w:val="D5247C9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4F3F94"/>
    <w:multiLevelType w:val="multilevel"/>
    <w:tmpl w:val="C5E8EE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B"/>
    <w:rsid w:val="0019764B"/>
    <w:rsid w:val="00505C15"/>
    <w:rsid w:val="005A7F6A"/>
    <w:rsid w:val="008F3228"/>
    <w:rsid w:val="00B92E68"/>
    <w:rsid w:val="00D01291"/>
    <w:rsid w:val="00D92EFB"/>
    <w:rsid w:val="00E6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13817-8995-4190-9EC7-E03B2BA8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2"/>
      <w:szCs w:val="19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96"/>
      <w:szCs w:val="96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6"/>
      <w:szCs w:val="66"/>
      <w:u w:val="none"/>
    </w:rPr>
  </w:style>
  <w:style w:type="character" w:customStyle="1" w:styleId="41">
    <w:name w:val="Заголовок №4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4Calibri37pt0pt">
    <w:name w:val="Заголовок №4 + Calibri;37 pt;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85pt">
    <w:name w:val="Основной текст (4) + 8;5 pt;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SegoeUI12pt">
    <w:name w:val="Основной текст (5) + Segoe UI;12 pt"/>
    <w:basedOn w:val="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4pt">
    <w:name w:val="Основной текст (6) + 4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pt">
    <w:name w:val="Колонтитул +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05pt">
    <w:name w:val="Основной текст (6) + 10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pt0pt">
    <w:name w:val="Колонтитул + 6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Подпись к картинке (4)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46">
    <w:name w:val="Подпись к картинке (4) + Малые прописные"/>
    <w:basedOn w:val="4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3"/>
    <w:rPr>
      <w:rFonts w:ascii="David" w:eastAsia="David" w:hAnsi="David" w:cs="Davi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2">
    <w:name w:val="Подпись к картинке (6)_"/>
    <w:basedOn w:val="a0"/>
    <w:link w:val="63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7">
    <w:name w:val="Подпись к картинке (7)_"/>
    <w:basedOn w:val="a0"/>
    <w:link w:val="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Подпись к картинке (8)_"/>
    <w:basedOn w:val="a0"/>
    <w:link w:val="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Подпись к картинке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Подпись к картинке (2) + 8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">
    <w:name w:val="Основной текст (4) + 8;5 pt;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pt">
    <w:name w:val="Основной текст (4) + 7 pt;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0pt">
    <w:name w:val="Основной текст (4) + 10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MicrosoftSansSerif7pt">
    <w:name w:val="Основной текст (4) + Microsoft Sans Serif;7 pt;Курсив"/>
    <w:basedOn w:val="4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Подпись к картинке (2) + 8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1">
    <w:name w:val="Основной текст (4) + 8;5 pt;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">
    <w:name w:val="Колонтитул (4)_"/>
    <w:basedOn w:val="a0"/>
    <w:link w:val="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3">
    <w:name w:val="Основной текст (9)"/>
    <w:basedOn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  <w:lang w:val="kk-KZ" w:eastAsia="kk-KZ" w:bidi="kk-KZ"/>
    </w:rPr>
  </w:style>
  <w:style w:type="character" w:customStyle="1" w:styleId="54">
    <w:name w:val="Заголовок №5 (4)_"/>
    <w:basedOn w:val="a0"/>
    <w:link w:val="540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4TimesNewRoman85pt-1pt">
    <w:name w:val="Заголовок №5 (4) + Times New Roman;8;5 pt;Интервал -1 pt"/>
    <w:basedOn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4CenturyGothic20pt">
    <w:name w:val="Заголовок №5 (4) + Century Gothic;20 pt;Не полужирный"/>
    <w:basedOn w:val="5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TimesNewRoman55pt">
    <w:name w:val="Основной текст (20) + Times New Roman;5;5 pt;Курсив"/>
    <w:basedOn w:val="2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Calibri8pt">
    <w:name w:val="Основной текст (6) + Calibri;8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2">
    <w:name w:val="Заголовок №7 (2)_"/>
    <w:basedOn w:val="a0"/>
    <w:link w:val="7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7213pt">
    <w:name w:val="Заголовок №7 (2) + 13 pt"/>
    <w:basedOn w:val="7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5">
    <w:name w:val="Колонтитул (5)_"/>
    <w:basedOn w:val="a0"/>
    <w:link w:val="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CenturyGothic">
    <w:name w:val="Колонтитул (5) + Century Gothic;Полужирный"/>
    <w:basedOn w:val="5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MicrosoftSansSerif7pt0pt">
    <w:name w:val="Основной текст (4) + Microsoft Sans Serif;7 pt;Курсив;Интервал 0 pt"/>
    <w:basedOn w:val="4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pt1pt">
    <w:name w:val="Колонтитул + 6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540" w:after="180" w:line="0" w:lineRule="atLeast"/>
      <w:outlineLvl w:val="0"/>
    </w:pPr>
    <w:rPr>
      <w:rFonts w:ascii="Calibri" w:eastAsia="Calibri" w:hAnsi="Calibri" w:cs="Calibri"/>
      <w:sz w:val="192"/>
      <w:szCs w:val="19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  <w:jc w:val="center"/>
    </w:pPr>
    <w:rPr>
      <w:rFonts w:ascii="Calibri" w:eastAsia="Calibri" w:hAnsi="Calibri" w:cs="Calibri"/>
      <w:spacing w:val="40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80" w:line="0" w:lineRule="atLeast"/>
      <w:outlineLvl w:val="1"/>
    </w:pPr>
    <w:rPr>
      <w:rFonts w:ascii="Arial" w:eastAsia="Arial" w:hAnsi="Arial" w:cs="Arial"/>
      <w:sz w:val="128"/>
      <w:szCs w:val="1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80" w:line="0" w:lineRule="atLeast"/>
      <w:jc w:val="center"/>
      <w:outlineLvl w:val="2"/>
    </w:pPr>
    <w:rPr>
      <w:rFonts w:ascii="Arial" w:eastAsia="Arial" w:hAnsi="Arial" w:cs="Arial"/>
      <w:sz w:val="96"/>
      <w:szCs w:val="96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280" w:line="0" w:lineRule="atLeast"/>
      <w:jc w:val="right"/>
      <w:outlineLvl w:val="3"/>
    </w:pPr>
    <w:rPr>
      <w:rFonts w:ascii="Arial" w:eastAsia="Arial" w:hAnsi="Arial" w:cs="Arial"/>
      <w:spacing w:val="-10"/>
      <w:sz w:val="66"/>
      <w:szCs w:val="6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283" w:lineRule="exact"/>
      <w:jc w:val="righ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180" w:after="1740" w:line="226" w:lineRule="exact"/>
      <w:jc w:val="righ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4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Подпись к картинке (4)"/>
    <w:basedOn w:val="a"/>
    <w:link w:val="44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3">
    <w:name w:val="Подпись к картинке (5)"/>
    <w:basedOn w:val="a"/>
    <w:link w:val="51"/>
    <w:pPr>
      <w:shd w:val="clear" w:color="auto" w:fill="FFFFFF"/>
      <w:spacing w:line="168" w:lineRule="exact"/>
    </w:pPr>
    <w:rPr>
      <w:rFonts w:ascii="David" w:eastAsia="David" w:hAnsi="David" w:cs="David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168" w:lineRule="exact"/>
    </w:pPr>
    <w:rPr>
      <w:rFonts w:ascii="David" w:eastAsia="David" w:hAnsi="David" w:cs="David"/>
      <w:sz w:val="11"/>
      <w:szCs w:val="11"/>
      <w:lang w:val="en-US" w:eastAsia="en-US" w:bidi="en-US"/>
    </w:rPr>
  </w:style>
  <w:style w:type="paragraph" w:customStyle="1" w:styleId="70">
    <w:name w:val="Подпись к картинке (7)"/>
    <w:basedOn w:val="a"/>
    <w:link w:val="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2"/>
      <w:szCs w:val="12"/>
    </w:rPr>
  </w:style>
  <w:style w:type="paragraph" w:customStyle="1" w:styleId="82">
    <w:name w:val="Подпись к картинке (8)"/>
    <w:basedOn w:val="a"/>
    <w:link w:val="8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90">
    <w:name w:val="Подпись к картинке (9)"/>
    <w:basedOn w:val="a"/>
    <w:link w:val="9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val="en-US" w:eastAsia="en-US" w:bidi="en-US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8">
    <w:name w:val="Колонтитул (4)"/>
    <w:basedOn w:val="a"/>
    <w:link w:val="4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  <w:lang w:val="en-US" w:eastAsia="en-US" w:bidi="en-US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before="180" w:line="245" w:lineRule="exact"/>
      <w:ind w:firstLine="36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paragraph" w:customStyle="1" w:styleId="540">
    <w:name w:val="Заголовок №5 (4)"/>
    <w:basedOn w:val="a"/>
    <w:link w:val="54"/>
    <w:pPr>
      <w:shd w:val="clear" w:color="auto" w:fill="FFFFFF"/>
      <w:spacing w:line="82" w:lineRule="exact"/>
      <w:jc w:val="right"/>
      <w:outlineLvl w:val="4"/>
    </w:pPr>
    <w:rPr>
      <w:rFonts w:ascii="AngsanaUPC" w:eastAsia="AngsanaUPC" w:hAnsi="AngsanaUPC" w:cs="AngsanaUPC"/>
      <w:b/>
      <w:bCs/>
      <w:sz w:val="38"/>
      <w:szCs w:val="3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82" w:lineRule="exac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720">
    <w:name w:val="Заголовок №7 (2)"/>
    <w:basedOn w:val="a"/>
    <w:link w:val="72"/>
    <w:pPr>
      <w:shd w:val="clear" w:color="auto" w:fill="FFFFFF"/>
      <w:spacing w:after="180" w:line="0" w:lineRule="atLeast"/>
      <w:jc w:val="right"/>
      <w:outlineLvl w:val="6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">
    <w:name w:val="Колонтитул (5)"/>
    <w:basedOn w:val="a"/>
    <w:link w:val="5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.atabaeva@kaznu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Нурмаханова Акмарал</dc:creator>
  <cp:lastModifiedBy>Атабаева Сауле</cp:lastModifiedBy>
  <cp:revision>2</cp:revision>
  <dcterms:created xsi:type="dcterms:W3CDTF">2016-12-21T01:49:00Z</dcterms:created>
  <dcterms:modified xsi:type="dcterms:W3CDTF">2016-12-21T01:49:00Z</dcterms:modified>
</cp:coreProperties>
</file>