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782" w:rsidRPr="00182782" w:rsidRDefault="00182782">
      <w:pPr>
        <w:rPr>
          <w:rFonts w:ascii="Arial" w:hAnsi="Arial" w:cs="Arial"/>
          <w:b/>
          <w:color w:val="222222"/>
          <w:sz w:val="20"/>
          <w:szCs w:val="20"/>
          <w:lang w:val="en-US"/>
        </w:rPr>
      </w:pPr>
      <w:r w:rsidRPr="00182782">
        <w:rPr>
          <w:rFonts w:ascii="Arial" w:hAnsi="Arial" w:cs="Arial"/>
          <w:b/>
          <w:color w:val="222222"/>
          <w:sz w:val="20"/>
          <w:szCs w:val="20"/>
          <w:lang w:val="en-US"/>
        </w:rPr>
        <w:t>Abstract</w:t>
      </w:r>
    </w:p>
    <w:p w:rsidR="00C15E21" w:rsidRPr="00182782" w:rsidRDefault="00182782">
      <w:pPr>
        <w:rPr>
          <w:lang w:val="en-US"/>
        </w:rPr>
      </w:pPr>
      <w:r w:rsidRPr="00182782">
        <w:rPr>
          <w:rFonts w:ascii="Arial" w:hAnsi="Arial" w:cs="Arial"/>
          <w:color w:val="222222"/>
          <w:sz w:val="20"/>
          <w:szCs w:val="20"/>
          <w:lang w:val="en-US"/>
        </w:rPr>
        <w:t>The concentrations of</w:t>
      </w:r>
      <w:r w:rsidRPr="00182782">
        <w:rPr>
          <w:rStyle w:val="apple-converted-space"/>
          <w:rFonts w:ascii="Arial" w:hAnsi="Arial" w:cs="Arial"/>
          <w:color w:val="222222"/>
          <w:sz w:val="20"/>
          <w:szCs w:val="20"/>
          <w:lang w:val="en-US"/>
        </w:rPr>
        <w:t> </w:t>
      </w:r>
      <w:r w:rsidRPr="00182782">
        <w:rPr>
          <w:rFonts w:ascii="Arial" w:hAnsi="Arial" w:cs="Arial"/>
          <w:color w:val="222222"/>
          <w:sz w:val="20"/>
          <w:szCs w:val="20"/>
          <w:vertAlign w:val="superscript"/>
          <w:lang w:val="en-US"/>
        </w:rPr>
        <w:t>238</w:t>
      </w:r>
      <w:r w:rsidRPr="00182782">
        <w:rPr>
          <w:rFonts w:ascii="Arial" w:hAnsi="Arial" w:cs="Arial"/>
          <w:color w:val="222222"/>
          <w:sz w:val="20"/>
          <w:szCs w:val="20"/>
          <w:lang w:val="en-US"/>
        </w:rPr>
        <w:t>U,</w:t>
      </w:r>
      <w:r w:rsidRPr="00182782">
        <w:rPr>
          <w:rStyle w:val="apple-converted-space"/>
          <w:rFonts w:ascii="Arial" w:hAnsi="Arial" w:cs="Arial"/>
          <w:color w:val="222222"/>
          <w:sz w:val="20"/>
          <w:szCs w:val="20"/>
          <w:lang w:val="en-US"/>
        </w:rPr>
        <w:t> </w:t>
      </w:r>
      <w:r w:rsidRPr="00182782">
        <w:rPr>
          <w:rFonts w:ascii="Arial" w:hAnsi="Arial" w:cs="Arial"/>
          <w:color w:val="222222"/>
          <w:sz w:val="20"/>
          <w:szCs w:val="20"/>
          <w:vertAlign w:val="superscript"/>
          <w:lang w:val="en-US"/>
        </w:rPr>
        <w:t>234</w:t>
      </w:r>
      <w:r w:rsidRPr="00182782">
        <w:rPr>
          <w:rFonts w:ascii="Arial" w:hAnsi="Arial" w:cs="Arial"/>
          <w:color w:val="222222"/>
          <w:sz w:val="20"/>
          <w:szCs w:val="20"/>
          <w:lang w:val="en-US"/>
        </w:rPr>
        <w:t>U,</w:t>
      </w:r>
      <w:r w:rsidRPr="00182782">
        <w:rPr>
          <w:rStyle w:val="apple-converted-space"/>
          <w:rFonts w:ascii="Arial" w:hAnsi="Arial" w:cs="Arial"/>
          <w:color w:val="222222"/>
          <w:sz w:val="20"/>
          <w:szCs w:val="20"/>
          <w:lang w:val="en-US"/>
        </w:rPr>
        <w:t> </w:t>
      </w:r>
      <w:r w:rsidRPr="00182782">
        <w:rPr>
          <w:rFonts w:ascii="Arial" w:hAnsi="Arial" w:cs="Arial"/>
          <w:color w:val="222222"/>
          <w:sz w:val="20"/>
          <w:szCs w:val="20"/>
          <w:vertAlign w:val="superscript"/>
          <w:lang w:val="en-US"/>
        </w:rPr>
        <w:t>226</w:t>
      </w:r>
      <w:r w:rsidRPr="00182782">
        <w:rPr>
          <w:rFonts w:ascii="Arial" w:hAnsi="Arial" w:cs="Arial"/>
          <w:color w:val="222222"/>
          <w:sz w:val="20"/>
          <w:szCs w:val="20"/>
          <w:lang w:val="en-US"/>
        </w:rPr>
        <w:t>Ra,</w:t>
      </w:r>
      <w:r w:rsidRPr="00182782">
        <w:rPr>
          <w:rStyle w:val="apple-converted-space"/>
          <w:rFonts w:ascii="Arial" w:hAnsi="Arial" w:cs="Arial"/>
          <w:color w:val="222222"/>
          <w:sz w:val="20"/>
          <w:szCs w:val="20"/>
          <w:lang w:val="en-US"/>
        </w:rPr>
        <w:t> </w:t>
      </w:r>
      <w:r w:rsidRPr="00182782">
        <w:rPr>
          <w:rFonts w:ascii="Arial" w:hAnsi="Arial" w:cs="Arial"/>
          <w:color w:val="222222"/>
          <w:sz w:val="20"/>
          <w:szCs w:val="20"/>
          <w:vertAlign w:val="superscript"/>
          <w:lang w:val="en-US"/>
        </w:rPr>
        <w:t>210</w:t>
      </w:r>
      <w:r w:rsidRPr="00182782">
        <w:rPr>
          <w:rFonts w:ascii="Arial" w:hAnsi="Arial" w:cs="Arial"/>
          <w:color w:val="222222"/>
          <w:sz w:val="20"/>
          <w:szCs w:val="20"/>
          <w:lang w:val="en-US"/>
        </w:rPr>
        <w:t>Po and</w:t>
      </w:r>
      <w:r w:rsidRPr="00182782">
        <w:rPr>
          <w:rStyle w:val="apple-converted-space"/>
          <w:rFonts w:ascii="Arial" w:hAnsi="Arial" w:cs="Arial"/>
          <w:color w:val="222222"/>
          <w:sz w:val="20"/>
          <w:szCs w:val="20"/>
          <w:lang w:val="en-US"/>
        </w:rPr>
        <w:t> </w:t>
      </w:r>
      <w:r w:rsidRPr="00182782">
        <w:rPr>
          <w:rFonts w:ascii="Arial" w:hAnsi="Arial" w:cs="Arial"/>
          <w:color w:val="222222"/>
          <w:sz w:val="20"/>
          <w:szCs w:val="20"/>
          <w:vertAlign w:val="superscript"/>
          <w:lang w:val="en-US"/>
        </w:rPr>
        <w:t>210</w:t>
      </w:r>
      <w:r w:rsidRPr="00182782">
        <w:rPr>
          <w:rFonts w:ascii="Arial" w:hAnsi="Arial" w:cs="Arial"/>
          <w:color w:val="222222"/>
          <w:sz w:val="20"/>
          <w:szCs w:val="20"/>
          <w:lang w:val="en-US"/>
        </w:rPr>
        <w:t xml:space="preserve">Pb have been determined in surface waters collected along the course of the Shu River, lying on the border between Kazakhstan and Kyrgyzstan. In the study area, the river runs through some of the largest uranium deposits worldwide, which were actively exploited during the nuclear weapons and nuclear energy </w:t>
      </w:r>
      <w:proofErr w:type="spellStart"/>
      <w:r w:rsidRPr="00182782">
        <w:rPr>
          <w:rFonts w:ascii="Arial" w:hAnsi="Arial" w:cs="Arial"/>
          <w:color w:val="222222"/>
          <w:sz w:val="20"/>
          <w:szCs w:val="20"/>
          <w:lang w:val="en-US"/>
        </w:rPr>
        <w:t>programmes</w:t>
      </w:r>
      <w:proofErr w:type="spellEnd"/>
      <w:r w:rsidRPr="00182782">
        <w:rPr>
          <w:rFonts w:ascii="Arial" w:hAnsi="Arial" w:cs="Arial"/>
          <w:color w:val="222222"/>
          <w:sz w:val="20"/>
          <w:szCs w:val="20"/>
          <w:lang w:val="en-US"/>
        </w:rPr>
        <w:t xml:space="preserve"> of the former Soviet Union. The data show an increasing trend in uranium concentrations downstream the river from the city of </w:t>
      </w:r>
      <w:proofErr w:type="spellStart"/>
      <w:r w:rsidRPr="00182782">
        <w:rPr>
          <w:rFonts w:ascii="Arial" w:hAnsi="Arial" w:cs="Arial"/>
          <w:color w:val="222222"/>
          <w:sz w:val="20"/>
          <w:szCs w:val="20"/>
          <w:lang w:val="en-US"/>
        </w:rPr>
        <w:t>Tokmak</w:t>
      </w:r>
      <w:proofErr w:type="spellEnd"/>
      <w:r w:rsidRPr="00182782">
        <w:rPr>
          <w:rFonts w:ascii="Arial" w:hAnsi="Arial" w:cs="Arial"/>
          <w:color w:val="222222"/>
          <w:sz w:val="20"/>
          <w:szCs w:val="20"/>
          <w:lang w:val="en-US"/>
        </w:rPr>
        <w:t xml:space="preserve"> to the city of Shu, with good correlation between total uranium concentrations and total dissolved solids. Data on uranium isotopes disequilibrium show the presence of </w:t>
      </w:r>
      <w:proofErr w:type="spellStart"/>
      <w:r w:rsidRPr="00182782">
        <w:rPr>
          <w:rFonts w:ascii="Arial" w:hAnsi="Arial" w:cs="Arial"/>
          <w:color w:val="222222"/>
          <w:sz w:val="20"/>
          <w:szCs w:val="20"/>
          <w:lang w:val="en-US"/>
        </w:rPr>
        <w:t>technogenic</w:t>
      </w:r>
      <w:proofErr w:type="spellEnd"/>
      <w:r w:rsidRPr="00182782">
        <w:rPr>
          <w:rFonts w:ascii="Arial" w:hAnsi="Arial" w:cs="Arial"/>
          <w:color w:val="222222"/>
          <w:sz w:val="20"/>
          <w:szCs w:val="20"/>
          <w:lang w:val="en-US"/>
        </w:rPr>
        <w:t xml:space="preserve"> uranium inputs into the Shu River downstream from the city of </w:t>
      </w:r>
      <w:proofErr w:type="spellStart"/>
      <w:r w:rsidRPr="00182782">
        <w:rPr>
          <w:rFonts w:ascii="Arial" w:hAnsi="Arial" w:cs="Arial"/>
          <w:color w:val="222222"/>
          <w:sz w:val="20"/>
          <w:szCs w:val="20"/>
          <w:lang w:val="en-US"/>
        </w:rPr>
        <w:t>Karasu</w:t>
      </w:r>
      <w:proofErr w:type="spellEnd"/>
      <w:r w:rsidRPr="00182782">
        <w:rPr>
          <w:rFonts w:ascii="Arial" w:hAnsi="Arial" w:cs="Arial"/>
          <w:color w:val="222222"/>
          <w:sz w:val="20"/>
          <w:szCs w:val="20"/>
          <w:lang w:val="en-US"/>
        </w:rPr>
        <w:t>, evidenced by a decrease in the measured</w:t>
      </w:r>
      <w:r w:rsidRPr="00182782">
        <w:rPr>
          <w:rStyle w:val="apple-converted-space"/>
          <w:rFonts w:ascii="Arial" w:hAnsi="Arial" w:cs="Arial"/>
          <w:color w:val="222222"/>
          <w:sz w:val="20"/>
          <w:szCs w:val="20"/>
          <w:lang w:val="en-US"/>
        </w:rPr>
        <w:t> </w:t>
      </w:r>
      <w:r w:rsidRPr="00182782">
        <w:rPr>
          <w:rFonts w:ascii="Arial" w:hAnsi="Arial" w:cs="Arial"/>
          <w:color w:val="222222"/>
          <w:sz w:val="20"/>
          <w:szCs w:val="20"/>
          <w:vertAlign w:val="superscript"/>
          <w:lang w:val="en-US"/>
        </w:rPr>
        <w:t>234</w:t>
      </w:r>
      <w:r w:rsidRPr="00182782">
        <w:rPr>
          <w:rFonts w:ascii="Arial" w:hAnsi="Arial" w:cs="Arial"/>
          <w:color w:val="222222"/>
          <w:sz w:val="20"/>
          <w:szCs w:val="20"/>
          <w:lang w:val="en-US"/>
        </w:rPr>
        <w:t>U/</w:t>
      </w:r>
      <w:r w:rsidRPr="00182782">
        <w:rPr>
          <w:rFonts w:ascii="Arial" w:hAnsi="Arial" w:cs="Arial"/>
          <w:color w:val="222222"/>
          <w:sz w:val="20"/>
          <w:szCs w:val="20"/>
          <w:vertAlign w:val="superscript"/>
          <w:lang w:val="en-US"/>
        </w:rPr>
        <w:t>238</w:t>
      </w:r>
      <w:r w:rsidRPr="00182782">
        <w:rPr>
          <w:rFonts w:ascii="Arial" w:hAnsi="Arial" w:cs="Arial"/>
          <w:color w:val="222222"/>
          <w:sz w:val="20"/>
          <w:szCs w:val="20"/>
          <w:lang w:val="en-US"/>
        </w:rPr>
        <w:t>U isotopic ratio from 1.63 in uncontaminated sites to 1.29 in sites affected by past mining activities.</w:t>
      </w:r>
    </w:p>
    <w:sectPr w:rsidR="00C15E21" w:rsidRPr="00182782" w:rsidSect="002026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82782"/>
    <w:rsid w:val="00087F5D"/>
    <w:rsid w:val="001148F7"/>
    <w:rsid w:val="00182782"/>
    <w:rsid w:val="002026E4"/>
    <w:rsid w:val="00255A65"/>
    <w:rsid w:val="00294293"/>
    <w:rsid w:val="003D4109"/>
    <w:rsid w:val="0043646D"/>
    <w:rsid w:val="0048732D"/>
    <w:rsid w:val="004C61C2"/>
    <w:rsid w:val="004F6E65"/>
    <w:rsid w:val="00512FE2"/>
    <w:rsid w:val="00590C9C"/>
    <w:rsid w:val="007E69E3"/>
    <w:rsid w:val="00A101D8"/>
    <w:rsid w:val="00AC7DD7"/>
    <w:rsid w:val="00B807E6"/>
    <w:rsid w:val="00C21DE2"/>
    <w:rsid w:val="00CB5706"/>
    <w:rsid w:val="00DE2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6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27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Uralbek</dc:creator>
  <cp:lastModifiedBy>Uralbek</cp:lastModifiedBy>
  <cp:revision>1</cp:revision>
  <dcterms:created xsi:type="dcterms:W3CDTF">2012-06-04T13:04:00Z</dcterms:created>
  <dcterms:modified xsi:type="dcterms:W3CDTF">2012-06-04T13:05:00Z</dcterms:modified>
</cp:coreProperties>
</file>