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9E" w:rsidRPr="0051407E" w:rsidRDefault="00AC4C9E" w:rsidP="00AC4C9E">
      <w:pPr>
        <w:jc w:val="center"/>
        <w:rPr>
          <w:b/>
          <w:caps/>
          <w:color w:val="000000"/>
        </w:rPr>
      </w:pPr>
      <w:r w:rsidRPr="0051407E">
        <w:rPr>
          <w:b/>
          <w:caps/>
          <w:color w:val="000000"/>
        </w:rPr>
        <w:t>Принципы отбора  штаммов ДЛЯ нового  лактосодержащего  ПРОБИОТИКА</w:t>
      </w:r>
    </w:p>
    <w:p w:rsidR="00AC4C9E" w:rsidRPr="0051407E" w:rsidRDefault="00AC4C9E" w:rsidP="00AC4C9E">
      <w:pPr>
        <w:tabs>
          <w:tab w:val="left" w:pos="360"/>
          <w:tab w:val="center" w:pos="4819"/>
        </w:tabs>
        <w:jc w:val="center"/>
      </w:pPr>
    </w:p>
    <w:p w:rsidR="00AC4C9E" w:rsidRPr="0051407E" w:rsidRDefault="00AC4C9E" w:rsidP="00AC4C9E">
      <w:pPr>
        <w:tabs>
          <w:tab w:val="left" w:pos="360"/>
          <w:tab w:val="center" w:pos="4819"/>
        </w:tabs>
        <w:jc w:val="center"/>
      </w:pPr>
      <w:r w:rsidRPr="0051407E">
        <w:t>Савицкая И.С., Кистубаева А.С., Абдулжанова М., Жумагалиева Ж.</w:t>
      </w:r>
    </w:p>
    <w:p w:rsidR="00AC4C9E" w:rsidRPr="0051407E" w:rsidRDefault="00AC4C9E" w:rsidP="00AC4C9E">
      <w:pPr>
        <w:tabs>
          <w:tab w:val="left" w:pos="360"/>
          <w:tab w:val="center" w:pos="4819"/>
        </w:tabs>
        <w:jc w:val="center"/>
      </w:pPr>
    </w:p>
    <w:p w:rsidR="00AC4C9E" w:rsidRPr="0051407E" w:rsidRDefault="00AC4C9E" w:rsidP="00AC4C9E">
      <w:pPr>
        <w:tabs>
          <w:tab w:val="left" w:pos="360"/>
          <w:tab w:val="center" w:pos="4819"/>
        </w:tabs>
        <w:jc w:val="center"/>
      </w:pPr>
      <w:r w:rsidRPr="0051407E">
        <w:t>Казахский национальный университет им</w:t>
      </w:r>
      <w:proofErr w:type="gramStart"/>
      <w:r w:rsidRPr="0051407E">
        <w:t>.а</w:t>
      </w:r>
      <w:proofErr w:type="gramEnd"/>
      <w:r w:rsidRPr="0051407E">
        <w:t>ль-Фараби</w:t>
      </w:r>
    </w:p>
    <w:p w:rsidR="00AC4C9E" w:rsidRPr="0051407E" w:rsidRDefault="00AC4C9E" w:rsidP="00AC4C9E">
      <w:pPr>
        <w:jc w:val="center"/>
        <w:rPr>
          <w:b/>
          <w:color w:val="000000"/>
        </w:rPr>
      </w:pPr>
    </w:p>
    <w:p w:rsidR="00AC4C9E" w:rsidRPr="0051407E" w:rsidRDefault="00AC4C9E" w:rsidP="00AC4C9E">
      <w:pPr>
        <w:pStyle w:val="9"/>
        <w:widowControl w:val="0"/>
        <w:spacing w:before="0" w:after="0"/>
        <w:ind w:firstLine="454"/>
        <w:jc w:val="both"/>
        <w:rPr>
          <w:rFonts w:ascii="Times New Roman" w:hAnsi="Times New Roman" w:cs="Times New Roman"/>
          <w:sz w:val="24"/>
          <w:szCs w:val="24"/>
        </w:rPr>
      </w:pPr>
      <w:r w:rsidRPr="0051407E">
        <w:rPr>
          <w:rFonts w:ascii="Times New Roman" w:hAnsi="Times New Roman" w:cs="Times New Roman"/>
          <w:sz w:val="24"/>
          <w:szCs w:val="24"/>
          <w:lang w:val="kk-KZ"/>
        </w:rPr>
        <w:t xml:space="preserve">В </w:t>
      </w:r>
      <w:r w:rsidRPr="0051407E">
        <w:rPr>
          <w:rFonts w:ascii="Times New Roman" w:hAnsi="Times New Roman" w:cs="Times New Roman"/>
          <w:sz w:val="24"/>
          <w:szCs w:val="24"/>
          <w:lang w:val="kk-KZ"/>
        </w:rPr>
        <w:tab/>
      </w:r>
      <w:r w:rsidRPr="0051407E">
        <w:rPr>
          <w:rFonts w:ascii="Times New Roman" w:hAnsi="Times New Roman" w:cs="Times New Roman"/>
          <w:sz w:val="24"/>
          <w:szCs w:val="24"/>
        </w:rPr>
        <w:t xml:space="preserve">последние годы интенсивно развивается биотехнология пробиотиков – препаратов, используемых для коррекции и профилактики микроэкологических нарушений в желудочно-кишечном тракте человека  и животных [1]. Поскольку, в кишечнике человека доминируют бифидобактерии и лактобациллы, большинство пробиотиков создается на основе этих бактерий </w:t>
      </w:r>
      <w:r w:rsidRPr="0051407E">
        <w:rPr>
          <w:rFonts w:ascii="Times New Roman" w:hAnsi="Times New Roman" w:cs="Times New Roman"/>
          <w:color w:val="000000"/>
          <w:sz w:val="24"/>
          <w:szCs w:val="24"/>
        </w:rPr>
        <w:t>[2]</w:t>
      </w:r>
      <w:r w:rsidRPr="0051407E">
        <w:rPr>
          <w:rFonts w:ascii="Times New Roman" w:hAnsi="Times New Roman" w:cs="Times New Roman"/>
          <w:sz w:val="24"/>
          <w:szCs w:val="24"/>
        </w:rPr>
        <w:t>. Эффективность пробиотических препаратов определяется совокупностью биологических свой</w:t>
      </w:r>
      <w:proofErr w:type="gramStart"/>
      <w:r w:rsidRPr="0051407E">
        <w:rPr>
          <w:rFonts w:ascii="Times New Roman" w:hAnsi="Times New Roman" w:cs="Times New Roman"/>
          <w:sz w:val="24"/>
          <w:szCs w:val="24"/>
        </w:rPr>
        <w:t>ств шт</w:t>
      </w:r>
      <w:proofErr w:type="gramEnd"/>
      <w:r w:rsidRPr="0051407E">
        <w:rPr>
          <w:rFonts w:ascii="Times New Roman" w:hAnsi="Times New Roman" w:cs="Times New Roman"/>
          <w:sz w:val="24"/>
          <w:szCs w:val="24"/>
        </w:rPr>
        <w:t xml:space="preserve">аммов, входящих в состав препарата </w:t>
      </w:r>
      <w:r w:rsidRPr="0051407E">
        <w:rPr>
          <w:rFonts w:ascii="Times New Roman" w:hAnsi="Times New Roman" w:cs="Times New Roman"/>
          <w:color w:val="000000"/>
          <w:sz w:val="24"/>
          <w:szCs w:val="24"/>
        </w:rPr>
        <w:t>[3]</w:t>
      </w:r>
      <w:r w:rsidRPr="0051407E">
        <w:rPr>
          <w:rFonts w:ascii="Times New Roman" w:hAnsi="Times New Roman" w:cs="Times New Roman"/>
          <w:sz w:val="24"/>
          <w:szCs w:val="24"/>
        </w:rPr>
        <w:t>. Производственные бактерии должны обладать набором характеристик, позволяющих им конкурировать с патогенными и условно патогенными микроорганизмами. К ним относятся: апатогенность, антагонистическая активность, способность к адгезии и колонизации слизистой кишечника, активность кислотообразования,  определенный уровень резистентности к соляной кислоте и желчи [4].</w:t>
      </w:r>
    </w:p>
    <w:p w:rsidR="00AC4C9E" w:rsidRPr="0051407E" w:rsidRDefault="00AC4C9E" w:rsidP="00AC4C9E">
      <w:pPr>
        <w:pStyle w:val="9"/>
        <w:shd w:val="clear" w:color="auto" w:fill="FFFFFF"/>
        <w:spacing w:before="0" w:after="0"/>
        <w:ind w:firstLine="540"/>
        <w:jc w:val="both"/>
        <w:rPr>
          <w:rFonts w:ascii="Times New Roman" w:hAnsi="Times New Roman" w:cs="Times New Roman"/>
          <w:sz w:val="24"/>
          <w:szCs w:val="24"/>
        </w:rPr>
      </w:pPr>
      <w:r w:rsidRPr="0051407E">
        <w:rPr>
          <w:rFonts w:ascii="Times New Roman" w:hAnsi="Times New Roman" w:cs="Times New Roman"/>
          <w:sz w:val="24"/>
          <w:szCs w:val="24"/>
        </w:rPr>
        <w:t xml:space="preserve">Повышение эффективности и расширение спектра биологической активности лактосодержащих пробиотиков может быть достигнуто за счет разработки комплексных препаратов на основе специально подобранных бактериальных композиций, включающих совместимые и взаимодополняющие </w:t>
      </w:r>
      <w:r w:rsidRPr="0051407E">
        <w:rPr>
          <w:rFonts w:ascii="Times New Roman" w:hAnsi="Times New Roman" w:cs="Times New Roman"/>
          <w:color w:val="000000"/>
          <w:sz w:val="24"/>
          <w:szCs w:val="24"/>
        </w:rPr>
        <w:t>штаммы [5].</w:t>
      </w:r>
      <w:r w:rsidRPr="0051407E">
        <w:rPr>
          <w:rFonts w:ascii="Times New Roman" w:hAnsi="Times New Roman" w:cs="Times New Roman"/>
          <w:sz w:val="24"/>
          <w:szCs w:val="24"/>
        </w:rPr>
        <w:t xml:space="preserve"> </w:t>
      </w:r>
    </w:p>
    <w:p w:rsidR="00AC4C9E" w:rsidRPr="0051407E" w:rsidRDefault="00AC4C9E" w:rsidP="00AC4C9E">
      <w:r w:rsidRPr="0051407E">
        <w:rPr>
          <w:i/>
        </w:rPr>
        <w:t>Цель работы:</w:t>
      </w:r>
      <w:r w:rsidRPr="0051407E">
        <w:rPr>
          <w:b/>
        </w:rPr>
        <w:t xml:space="preserve"> </w:t>
      </w:r>
      <w:r w:rsidRPr="0051407E">
        <w:t>сконструировать бактериальную композицию с учетом совместимости входящих в нее штаммов.</w:t>
      </w:r>
    </w:p>
    <w:p w:rsidR="00AC4C9E" w:rsidRPr="0051407E" w:rsidRDefault="00AC4C9E" w:rsidP="00AC4C9E"/>
    <w:p w:rsidR="00AC4C9E" w:rsidRPr="0051407E" w:rsidRDefault="00AC4C9E" w:rsidP="00AC4C9E">
      <w:pPr>
        <w:widowControl w:val="0"/>
        <w:ind w:firstLine="567"/>
        <w:jc w:val="both"/>
      </w:pPr>
      <w:r w:rsidRPr="0051407E">
        <w:t>МАТЕРИАЛЫ И МЕТОДЫ ИССЛЕДОВАНИЯ</w:t>
      </w:r>
    </w:p>
    <w:p w:rsidR="00AC4C9E" w:rsidRPr="0051407E" w:rsidRDefault="00AC4C9E" w:rsidP="00AC4C9E">
      <w:pPr>
        <w:ind w:firstLine="454"/>
        <w:jc w:val="both"/>
      </w:pPr>
      <w:r w:rsidRPr="0051407E">
        <w:rPr>
          <w:lang w:eastAsia="ko-KR"/>
        </w:rPr>
        <w:t>Для составления бактериальных композиций использовали</w:t>
      </w:r>
      <w:r w:rsidRPr="0051407E">
        <w:rPr>
          <w:lang w:val="ru-MO" w:eastAsia="ko-KR"/>
        </w:rPr>
        <w:t xml:space="preserve"> 10 штаммов лактобацилл, выделенных из кишечника 20 детей и взрослых обоего пола, </w:t>
      </w:r>
      <w:r w:rsidRPr="0051407E">
        <w:t xml:space="preserve">не имеющих в анамнезе инфекционных заболеваний желудочно-кишечного тракта. </w:t>
      </w:r>
    </w:p>
    <w:p w:rsidR="00AC4C9E" w:rsidRPr="0051407E" w:rsidRDefault="00AC4C9E" w:rsidP="00AC4C9E">
      <w:pPr>
        <w:ind w:firstLine="708"/>
        <w:jc w:val="both"/>
      </w:pPr>
      <w:r w:rsidRPr="0051407E">
        <w:t xml:space="preserve">Антагонистическую активность исследовали методом отсроченного антагонизма </w:t>
      </w:r>
      <w:r w:rsidRPr="0051407E">
        <w:rPr>
          <w:snapToGrid w:val="0"/>
          <w:lang w:val="ru-MO"/>
        </w:rPr>
        <w:t xml:space="preserve">в отношении стандартного набора </w:t>
      </w:r>
      <w:proofErr w:type="gramStart"/>
      <w:r w:rsidRPr="0051407E">
        <w:rPr>
          <w:snapToGrid w:val="0"/>
          <w:lang w:val="ru-MO"/>
        </w:rPr>
        <w:t>тест-культур</w:t>
      </w:r>
      <w:proofErr w:type="gramEnd"/>
      <w:r w:rsidRPr="0051407E">
        <w:rPr>
          <w:snapToGrid w:val="0"/>
          <w:lang w:val="ru-MO"/>
        </w:rPr>
        <w:t xml:space="preserve"> </w:t>
      </w:r>
      <w:r w:rsidRPr="0051407E">
        <w:rPr>
          <w:color w:val="000000"/>
        </w:rPr>
        <w:t>[6]</w:t>
      </w:r>
      <w:r w:rsidRPr="0051407E">
        <w:rPr>
          <w:snapToGrid w:val="0"/>
          <w:lang w:val="ru-MO"/>
        </w:rPr>
        <w:t>, а также г</w:t>
      </w:r>
      <w:r w:rsidRPr="0051407E">
        <w:t xml:space="preserve">омоантагонизма – при совместном культивировании  штаммов лактобацилл на плотной питательной среде </w:t>
      </w:r>
      <w:r w:rsidRPr="0051407E">
        <w:rPr>
          <w:color w:val="000000"/>
        </w:rPr>
        <w:t>[7]</w:t>
      </w:r>
      <w:r w:rsidRPr="0051407E">
        <w:t xml:space="preserve">. Адгезивную активность определяли по способности штаммов агглютинировать агглютинировать эритроциты барана, морских свинок, человека </w:t>
      </w:r>
      <w:r w:rsidRPr="0051407E">
        <w:rPr>
          <w:lang w:val="en-US"/>
        </w:rPr>
        <w:t>IV</w:t>
      </w:r>
      <w:r w:rsidRPr="0051407E">
        <w:t>(</w:t>
      </w:r>
      <w:r w:rsidRPr="0051407E">
        <w:rPr>
          <w:lang w:val="en-US"/>
        </w:rPr>
        <w:t>AB</w:t>
      </w:r>
      <w:r w:rsidRPr="0051407E">
        <w:t xml:space="preserve">) и </w:t>
      </w:r>
      <w:r w:rsidRPr="0051407E">
        <w:rPr>
          <w:lang w:val="en-US"/>
        </w:rPr>
        <w:t>I</w:t>
      </w:r>
      <w:r w:rsidRPr="0051407E">
        <w:t xml:space="preserve">(0) </w:t>
      </w:r>
      <w:r w:rsidRPr="0051407E">
        <w:rPr>
          <w:color w:val="000000"/>
        </w:rPr>
        <w:t>[8]</w:t>
      </w:r>
      <w:r w:rsidRPr="0051407E">
        <w:t xml:space="preserve">. Для определения </w:t>
      </w:r>
      <w:r w:rsidRPr="0051407E">
        <w:rPr>
          <w:lang w:eastAsia="ko-KR"/>
        </w:rPr>
        <w:t>лектиноподобных структур использовали реакцию агглютинации с конкавалином</w:t>
      </w:r>
      <w:proofErr w:type="gramStart"/>
      <w:r w:rsidRPr="0051407E">
        <w:rPr>
          <w:lang w:eastAsia="ko-KR"/>
        </w:rPr>
        <w:t xml:space="preserve"> А</w:t>
      </w:r>
      <w:proofErr w:type="gramEnd"/>
      <w:r w:rsidRPr="0051407E">
        <w:rPr>
          <w:lang w:eastAsia="ko-KR"/>
        </w:rPr>
        <w:t xml:space="preserve"> </w:t>
      </w:r>
      <w:r w:rsidRPr="0051407E">
        <w:rPr>
          <w:color w:val="000000"/>
        </w:rPr>
        <w:t>[9]</w:t>
      </w:r>
      <w:r w:rsidRPr="0051407E">
        <w:t xml:space="preserve">. </w:t>
      </w:r>
    </w:p>
    <w:p w:rsidR="00AC4C9E" w:rsidRPr="0051407E" w:rsidRDefault="00AC4C9E" w:rsidP="00AC4C9E">
      <w:pPr>
        <w:ind w:firstLine="454"/>
        <w:jc w:val="both"/>
        <w:rPr>
          <w:iCs/>
        </w:rPr>
      </w:pPr>
    </w:p>
    <w:p w:rsidR="00AC4C9E" w:rsidRPr="0051407E" w:rsidRDefault="00AC4C9E" w:rsidP="00AC4C9E">
      <w:pPr>
        <w:pStyle w:val="a9"/>
        <w:ind w:left="0" w:right="0"/>
        <w:rPr>
          <w:sz w:val="24"/>
          <w:szCs w:val="24"/>
        </w:rPr>
      </w:pPr>
      <w:r w:rsidRPr="0051407E">
        <w:rPr>
          <w:sz w:val="24"/>
          <w:szCs w:val="24"/>
        </w:rPr>
        <w:t>РЕЗУЛЬТАТЫ И ОБСУЖДЕНИЕ</w:t>
      </w:r>
    </w:p>
    <w:p w:rsidR="00AC4C9E" w:rsidRPr="0051407E" w:rsidRDefault="00AC4C9E" w:rsidP="00AC4C9E">
      <w:pPr>
        <w:ind w:firstLine="454"/>
        <w:jc w:val="both"/>
      </w:pPr>
      <w:r w:rsidRPr="0051407E">
        <w:t xml:space="preserve">  Ключевым критерием при первичном отборе пробиотических штаммов лактобацилл является уровень и спектр их антагонистической активности, который традиционно определяется методами штрихового посева, диффузионным, или отсроченного антагонизма. При этом не учитывается природа продуцируемых отбираемыми штаммами веществ, обладающим антагонистическим действием по отношению к организмам-мишеням. </w:t>
      </w:r>
      <w:proofErr w:type="gramStart"/>
      <w:r w:rsidRPr="0051407E">
        <w:t>У различных видов молочнокислых бактерий описаны бактериоцины с высокой и микроцины – с низкой молекулярной массой, нарушающие проницаемость бактериальной мембраны,  блокирующие белковый синтез, подавляющие репликацию ДНК, изменяющие мембранный потенциал клетки или нарушающие процессы деления клетки  [10].</w:t>
      </w:r>
      <w:proofErr w:type="gramEnd"/>
      <w:r w:rsidRPr="0051407E">
        <w:t xml:space="preserve"> С нашей точки зрения, в качестве критерия отбора штаммов для включения в пробиотическую композицию, являющуюся микробиологической основой комплексных препаратов, следует проводить селекцию штаммов лактобацилл, синтезирующих микроцины с широким спектром антагонистической активности. </w:t>
      </w:r>
    </w:p>
    <w:p w:rsidR="00AC4C9E" w:rsidRPr="0051407E" w:rsidRDefault="00AC4C9E" w:rsidP="00AC4C9E">
      <w:pPr>
        <w:ind w:firstLine="540"/>
        <w:jc w:val="both"/>
      </w:pPr>
      <w:r w:rsidRPr="0051407E">
        <w:lastRenderedPageBreak/>
        <w:t xml:space="preserve">Для их определения можно использовать метод агаровых слоёв – разновидность метода отсроченного антагонизма. Применяя его различные модификации, достаточно просто дифференцировать продукцию бактериоцинов с высокой молекулярной массой и микроцинов с низкой молекулярной массой. В первом случае на поверхность плотной среды наносят бляшками лактобациллы, которые после культивирования убивают парами хлороформа, затем наслаивают тест-культуру. Появление вокруг бляшки зоны отсутствия роста - положительный результат. Для индикации микроцинов на поверхность плотной среды с нанесенными, высохшими и обработанными в парах хлороформа бляшками, накладывают стерильный целлофан, а сверху на него наслаивают полужидкий агар с </w:t>
      </w:r>
      <w:proofErr w:type="gramStart"/>
      <w:r w:rsidRPr="0051407E">
        <w:t>тест-культурой</w:t>
      </w:r>
      <w:proofErr w:type="gramEnd"/>
      <w:r w:rsidRPr="0051407E">
        <w:t>. Вокруг колоний, продуцирующих микроцины, появляются зоны роста индикаторных штаммов [11].</w:t>
      </w:r>
      <w:r w:rsidRPr="0077271B">
        <w:t xml:space="preserve"> </w:t>
      </w:r>
      <w:r w:rsidRPr="0051407E">
        <w:t>Микроцинпродуцирующая активность выявлена у 10 штаммов (таблица 1).</w:t>
      </w:r>
    </w:p>
    <w:p w:rsidR="00AC4C9E" w:rsidRPr="0051407E" w:rsidRDefault="00AC4C9E" w:rsidP="00AC4C9E">
      <w:pPr>
        <w:jc w:val="both"/>
      </w:pPr>
    </w:p>
    <w:p w:rsidR="00AC4C9E" w:rsidRPr="0051407E" w:rsidRDefault="00AC4C9E" w:rsidP="00AC4C9E">
      <w:pPr>
        <w:jc w:val="both"/>
      </w:pPr>
      <w:r w:rsidRPr="0051407E">
        <w:t>Таблица 1 – Спектр антагонистического действия лактобацилл – продуценов микроцинов</w:t>
      </w:r>
    </w:p>
    <w:p w:rsidR="00AC4C9E" w:rsidRPr="0051407E" w:rsidRDefault="00AC4C9E" w:rsidP="00AC4C9E">
      <w:pPr>
        <w:jc w:val="both"/>
      </w:pPr>
    </w:p>
    <w:tbl>
      <w:tblPr>
        <w:tblW w:w="0" w:type="auto"/>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1831"/>
        <w:gridCol w:w="2862"/>
        <w:gridCol w:w="2539"/>
      </w:tblGrid>
      <w:tr w:rsidR="00AC4C9E" w:rsidRPr="0051407E" w:rsidTr="00265E1F">
        <w:tblPrEx>
          <w:tblCellMar>
            <w:top w:w="0" w:type="dxa"/>
            <w:bottom w:w="0" w:type="dxa"/>
          </w:tblCellMar>
        </w:tblPrEx>
        <w:trPr>
          <w:cantSplit/>
          <w:trHeight w:val="160"/>
          <w:jc w:val="center"/>
        </w:trPr>
        <w:tc>
          <w:tcPr>
            <w:tcW w:w="1634" w:type="dxa"/>
            <w:vMerge w:val="restart"/>
            <w:textDirection w:val="btLr"/>
          </w:tcPr>
          <w:p w:rsidR="00AC4C9E" w:rsidRPr="0051407E" w:rsidRDefault="00AC4C9E" w:rsidP="00265E1F">
            <w:pPr>
              <w:jc w:val="center"/>
            </w:pPr>
            <w:r w:rsidRPr="0051407E">
              <w:t>Штаммы</w:t>
            </w:r>
          </w:p>
        </w:tc>
        <w:tc>
          <w:tcPr>
            <w:tcW w:w="7232" w:type="dxa"/>
            <w:gridSpan w:val="3"/>
          </w:tcPr>
          <w:p w:rsidR="00AC4C9E" w:rsidRPr="0051407E" w:rsidRDefault="00AC4C9E" w:rsidP="00265E1F">
            <w:pPr>
              <w:jc w:val="center"/>
            </w:pPr>
            <w:r w:rsidRPr="0051407E">
              <w:t xml:space="preserve">Зоны задержки роста </w:t>
            </w:r>
            <w:proofErr w:type="gramStart"/>
            <w:r w:rsidRPr="0051407E">
              <w:t>тест-микробов</w:t>
            </w:r>
            <w:proofErr w:type="gramEnd"/>
            <w:r w:rsidRPr="0051407E">
              <w:t>, мм (М±</w:t>
            </w:r>
            <w:r w:rsidRPr="0051407E">
              <w:rPr>
                <w:lang w:val="en-US"/>
              </w:rPr>
              <w:t>m</w:t>
            </w:r>
            <w:r w:rsidRPr="0051407E">
              <w:t>)</w:t>
            </w:r>
          </w:p>
        </w:tc>
      </w:tr>
      <w:tr w:rsidR="00AC4C9E" w:rsidRPr="0051407E" w:rsidTr="00265E1F">
        <w:tblPrEx>
          <w:tblCellMar>
            <w:top w:w="0" w:type="dxa"/>
            <w:bottom w:w="0" w:type="dxa"/>
          </w:tblCellMar>
        </w:tblPrEx>
        <w:trPr>
          <w:cantSplit/>
          <w:trHeight w:val="2198"/>
          <w:jc w:val="center"/>
        </w:trPr>
        <w:tc>
          <w:tcPr>
            <w:tcW w:w="1634" w:type="dxa"/>
            <w:vMerge/>
            <w:tcBorders>
              <w:bottom w:val="single" w:sz="4" w:space="0" w:color="auto"/>
            </w:tcBorders>
            <w:vAlign w:val="center"/>
          </w:tcPr>
          <w:p w:rsidR="00AC4C9E" w:rsidRPr="0051407E" w:rsidRDefault="00AC4C9E" w:rsidP="00265E1F">
            <w:pPr>
              <w:pStyle w:val="a7"/>
              <w:spacing w:after="0"/>
              <w:ind w:left="0"/>
              <w:jc w:val="both"/>
              <w:rPr>
                <w:sz w:val="24"/>
                <w:szCs w:val="24"/>
                <w:lang w:val="ru-MO"/>
              </w:rPr>
            </w:pPr>
          </w:p>
        </w:tc>
        <w:tc>
          <w:tcPr>
            <w:tcW w:w="1831" w:type="dxa"/>
            <w:tcBorders>
              <w:bottom w:val="single" w:sz="4" w:space="0" w:color="auto"/>
            </w:tcBorders>
            <w:textDirection w:val="btLr"/>
          </w:tcPr>
          <w:p w:rsidR="00AC4C9E" w:rsidRPr="0051407E" w:rsidRDefault="00AC4C9E" w:rsidP="00265E1F">
            <w:pPr>
              <w:rPr>
                <w:i/>
              </w:rPr>
            </w:pPr>
            <w:r w:rsidRPr="0051407E">
              <w:t xml:space="preserve">Антагонистическая активность в отношении грамположительных аэробных бактерий </w:t>
            </w:r>
          </w:p>
          <w:p w:rsidR="00AC4C9E" w:rsidRPr="0051407E" w:rsidRDefault="00AC4C9E" w:rsidP="00265E1F">
            <w:pPr>
              <w:pStyle w:val="a7"/>
              <w:spacing w:after="0"/>
              <w:ind w:left="0"/>
              <w:rPr>
                <w:sz w:val="24"/>
                <w:szCs w:val="24"/>
              </w:rPr>
            </w:pPr>
          </w:p>
        </w:tc>
        <w:tc>
          <w:tcPr>
            <w:tcW w:w="2862" w:type="dxa"/>
            <w:tcBorders>
              <w:bottom w:val="single" w:sz="4" w:space="0" w:color="auto"/>
            </w:tcBorders>
            <w:textDirection w:val="btLr"/>
          </w:tcPr>
          <w:p w:rsidR="00AC4C9E" w:rsidRPr="0051407E" w:rsidRDefault="00AC4C9E" w:rsidP="00265E1F">
            <w:r w:rsidRPr="0051407E">
              <w:t xml:space="preserve">Антагонистическая активность лактобацилл в отношении </w:t>
            </w:r>
            <w:proofErr w:type="gramStart"/>
            <w:r w:rsidRPr="0051407E">
              <w:t>грамотрицательных</w:t>
            </w:r>
            <w:proofErr w:type="gramEnd"/>
            <w:r w:rsidRPr="0051407E">
              <w:t xml:space="preserve"> энтеробактерий</w:t>
            </w:r>
          </w:p>
          <w:p w:rsidR="00AC4C9E" w:rsidRPr="0051407E" w:rsidRDefault="00AC4C9E" w:rsidP="00265E1F">
            <w:pPr>
              <w:pStyle w:val="a7"/>
              <w:spacing w:after="0"/>
              <w:ind w:left="0"/>
              <w:rPr>
                <w:i/>
                <w:sz w:val="24"/>
                <w:szCs w:val="24"/>
              </w:rPr>
            </w:pPr>
          </w:p>
          <w:p w:rsidR="00AC4C9E" w:rsidRPr="0051407E" w:rsidRDefault="00AC4C9E" w:rsidP="00265E1F">
            <w:pPr>
              <w:pStyle w:val="a7"/>
              <w:spacing w:after="0"/>
              <w:ind w:left="0"/>
              <w:rPr>
                <w:i/>
                <w:sz w:val="24"/>
                <w:szCs w:val="24"/>
              </w:rPr>
            </w:pPr>
          </w:p>
        </w:tc>
        <w:tc>
          <w:tcPr>
            <w:tcW w:w="2539" w:type="dxa"/>
            <w:tcBorders>
              <w:bottom w:val="single" w:sz="4" w:space="0" w:color="auto"/>
            </w:tcBorders>
            <w:textDirection w:val="btLr"/>
          </w:tcPr>
          <w:p w:rsidR="00AC4C9E" w:rsidRPr="0051407E" w:rsidRDefault="00AC4C9E" w:rsidP="00265E1F">
            <w:pPr>
              <w:pStyle w:val="a7"/>
              <w:spacing w:after="0"/>
              <w:ind w:left="0"/>
              <w:rPr>
                <w:sz w:val="24"/>
                <w:szCs w:val="24"/>
              </w:rPr>
            </w:pPr>
            <w:r w:rsidRPr="0051407E">
              <w:rPr>
                <w:sz w:val="24"/>
                <w:szCs w:val="24"/>
              </w:rPr>
              <w:t>Антагонистическая активность в отношении штаммов</w:t>
            </w:r>
          </w:p>
          <w:p w:rsidR="00AC4C9E" w:rsidRPr="0051407E" w:rsidRDefault="00AC4C9E" w:rsidP="00265E1F">
            <w:pPr>
              <w:pStyle w:val="a7"/>
              <w:spacing w:after="0"/>
              <w:ind w:left="0"/>
              <w:rPr>
                <w:sz w:val="24"/>
                <w:szCs w:val="24"/>
              </w:rPr>
            </w:pPr>
            <w:r w:rsidRPr="0051407E">
              <w:rPr>
                <w:i/>
                <w:sz w:val="24"/>
                <w:szCs w:val="24"/>
                <w:lang w:val="en-US"/>
              </w:rPr>
              <w:t>Candida</w:t>
            </w:r>
            <w:r w:rsidRPr="0051407E">
              <w:rPr>
                <w:i/>
                <w:sz w:val="24"/>
                <w:szCs w:val="24"/>
              </w:rPr>
              <w:t xml:space="preserve"> </w:t>
            </w:r>
            <w:r w:rsidRPr="0051407E">
              <w:rPr>
                <w:i/>
                <w:sz w:val="24"/>
                <w:szCs w:val="24"/>
                <w:lang w:val="en-US"/>
              </w:rPr>
              <w:t>albicans</w:t>
            </w:r>
          </w:p>
        </w:tc>
      </w:tr>
      <w:tr w:rsidR="00AC4C9E" w:rsidRPr="0051407E" w:rsidTr="00265E1F">
        <w:tblPrEx>
          <w:tblCellMar>
            <w:top w:w="0" w:type="dxa"/>
            <w:bottom w:w="0" w:type="dxa"/>
          </w:tblCellMar>
        </w:tblPrEx>
        <w:trPr>
          <w:cantSplit/>
          <w:jc w:val="center"/>
        </w:trPr>
        <w:tc>
          <w:tcPr>
            <w:tcW w:w="1634" w:type="dxa"/>
            <w:tcBorders>
              <w:top w:val="single" w:sz="4" w:space="0" w:color="auto"/>
            </w:tcBorders>
          </w:tcPr>
          <w:p w:rsidR="00AC4C9E" w:rsidRPr="0051407E" w:rsidRDefault="00AC4C9E" w:rsidP="00265E1F">
            <w:pPr>
              <w:pStyle w:val="a3"/>
              <w:spacing w:after="0"/>
              <w:jc w:val="center"/>
              <w:rPr>
                <w:lang w:val="en-US"/>
              </w:rPr>
            </w:pPr>
            <w:r w:rsidRPr="0051407E">
              <w:t>АА-1</w:t>
            </w:r>
            <w:r w:rsidRPr="0051407E">
              <w:rPr>
                <w:lang w:val="en-US"/>
              </w:rPr>
              <w:t>R</w:t>
            </w:r>
          </w:p>
        </w:tc>
        <w:tc>
          <w:tcPr>
            <w:tcW w:w="1831" w:type="dxa"/>
            <w:tcBorders>
              <w:top w:val="single" w:sz="4" w:space="0" w:color="auto"/>
            </w:tcBorders>
          </w:tcPr>
          <w:p w:rsidR="00AC4C9E" w:rsidRPr="0051407E" w:rsidRDefault="00AC4C9E" w:rsidP="00265E1F">
            <w:pPr>
              <w:jc w:val="center"/>
            </w:pPr>
            <w:r w:rsidRPr="0051407E">
              <w:t>22±0,70</w:t>
            </w:r>
          </w:p>
        </w:tc>
        <w:tc>
          <w:tcPr>
            <w:tcW w:w="2862" w:type="dxa"/>
            <w:tcBorders>
              <w:top w:val="single" w:sz="4" w:space="0" w:color="auto"/>
            </w:tcBorders>
          </w:tcPr>
          <w:p w:rsidR="00AC4C9E" w:rsidRPr="0051407E" w:rsidRDefault="00AC4C9E" w:rsidP="00265E1F">
            <w:pPr>
              <w:jc w:val="center"/>
              <w:rPr>
                <w:lang w:val="ru-MO"/>
              </w:rPr>
            </w:pPr>
            <w:r w:rsidRPr="0051407E">
              <w:rPr>
                <w:lang w:val="ru-MO"/>
              </w:rPr>
              <w:t>12</w:t>
            </w:r>
            <w:r w:rsidRPr="0051407E">
              <w:t>±0,36</w:t>
            </w:r>
          </w:p>
        </w:tc>
        <w:tc>
          <w:tcPr>
            <w:tcW w:w="2539" w:type="dxa"/>
            <w:tcBorders>
              <w:top w:val="single" w:sz="4" w:space="0" w:color="auto"/>
            </w:tcBorders>
          </w:tcPr>
          <w:p w:rsidR="00AC4C9E" w:rsidRPr="0051407E" w:rsidRDefault="00AC4C9E" w:rsidP="00265E1F">
            <w:pPr>
              <w:jc w:val="center"/>
            </w:pPr>
            <w:r w:rsidRPr="0051407E">
              <w:t>3±0,11</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3"/>
              <w:spacing w:after="0"/>
              <w:jc w:val="center"/>
            </w:pPr>
            <w:r w:rsidRPr="0051407E">
              <w:t>А</w:t>
            </w:r>
            <w:r w:rsidRPr="0051407E">
              <w:rPr>
                <w:lang w:val="en-US"/>
              </w:rPr>
              <w:t>I</w:t>
            </w:r>
            <w:r w:rsidRPr="0051407E">
              <w:rPr>
                <w:lang w:val="ru-MO"/>
              </w:rPr>
              <w:t>-</w:t>
            </w:r>
            <w:r w:rsidRPr="0051407E">
              <w:rPr>
                <w:lang w:val="en-US"/>
              </w:rPr>
              <w:t>17</w:t>
            </w:r>
          </w:p>
        </w:tc>
        <w:tc>
          <w:tcPr>
            <w:tcW w:w="1831" w:type="dxa"/>
          </w:tcPr>
          <w:p w:rsidR="00AC4C9E" w:rsidRPr="0051407E" w:rsidRDefault="00AC4C9E" w:rsidP="00265E1F">
            <w:pPr>
              <w:jc w:val="center"/>
              <w:rPr>
                <w:lang w:val="ru-MO"/>
              </w:rPr>
            </w:pPr>
            <w:r w:rsidRPr="0051407E">
              <w:rPr>
                <w:lang w:val="ru-MO"/>
              </w:rPr>
              <w:t>12</w:t>
            </w:r>
            <w:r w:rsidRPr="0051407E">
              <w:t>±0,14</w:t>
            </w:r>
          </w:p>
        </w:tc>
        <w:tc>
          <w:tcPr>
            <w:tcW w:w="2862" w:type="dxa"/>
          </w:tcPr>
          <w:p w:rsidR="00AC4C9E" w:rsidRPr="0051407E" w:rsidRDefault="00AC4C9E" w:rsidP="00265E1F">
            <w:pPr>
              <w:jc w:val="center"/>
              <w:rPr>
                <w:lang w:val="ru-MO"/>
              </w:rPr>
            </w:pPr>
            <w:r w:rsidRPr="0051407E">
              <w:rPr>
                <w:lang w:val="ru-MO"/>
              </w:rPr>
              <w:t>18</w:t>
            </w:r>
            <w:r w:rsidRPr="0051407E">
              <w:t>±0,38</w:t>
            </w:r>
          </w:p>
        </w:tc>
        <w:tc>
          <w:tcPr>
            <w:tcW w:w="2539" w:type="dxa"/>
          </w:tcPr>
          <w:p w:rsidR="00AC4C9E" w:rsidRPr="0051407E" w:rsidRDefault="00AC4C9E" w:rsidP="00265E1F">
            <w:pPr>
              <w:jc w:val="center"/>
            </w:pPr>
            <w:r w:rsidRPr="0051407E">
              <w:t>5,5±0,21</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5"/>
              <w:jc w:val="center"/>
              <w:rPr>
                <w:sz w:val="24"/>
                <w:szCs w:val="24"/>
              </w:rPr>
            </w:pPr>
            <w:r w:rsidRPr="0051407E">
              <w:rPr>
                <w:sz w:val="24"/>
                <w:szCs w:val="24"/>
              </w:rPr>
              <w:t>А</w:t>
            </w:r>
            <w:r w:rsidRPr="0051407E">
              <w:rPr>
                <w:sz w:val="24"/>
                <w:szCs w:val="24"/>
                <w:lang w:val="en-US"/>
              </w:rPr>
              <w:t>A</w:t>
            </w:r>
            <w:r w:rsidRPr="0051407E">
              <w:rPr>
                <w:sz w:val="24"/>
                <w:szCs w:val="24"/>
              </w:rPr>
              <w:t>-</w:t>
            </w:r>
            <w:r w:rsidRPr="0051407E">
              <w:rPr>
                <w:sz w:val="24"/>
                <w:szCs w:val="24"/>
                <w:lang w:val="en-US"/>
              </w:rPr>
              <w:t>9</w:t>
            </w:r>
          </w:p>
        </w:tc>
        <w:tc>
          <w:tcPr>
            <w:tcW w:w="1831" w:type="dxa"/>
          </w:tcPr>
          <w:p w:rsidR="00AC4C9E" w:rsidRPr="0051407E" w:rsidRDefault="00AC4C9E" w:rsidP="00265E1F">
            <w:pPr>
              <w:jc w:val="center"/>
              <w:rPr>
                <w:lang w:val="ru-MO"/>
              </w:rPr>
            </w:pPr>
            <w:r w:rsidRPr="0051407E">
              <w:rPr>
                <w:lang w:val="ru-MO"/>
              </w:rPr>
              <w:t>7</w:t>
            </w:r>
            <w:r w:rsidRPr="0051407E">
              <w:t>±0,27</w:t>
            </w:r>
          </w:p>
        </w:tc>
        <w:tc>
          <w:tcPr>
            <w:tcW w:w="2862" w:type="dxa"/>
          </w:tcPr>
          <w:p w:rsidR="00AC4C9E" w:rsidRPr="0051407E" w:rsidRDefault="00AC4C9E" w:rsidP="00265E1F">
            <w:pPr>
              <w:jc w:val="center"/>
              <w:rPr>
                <w:lang w:val="ru-MO"/>
              </w:rPr>
            </w:pPr>
            <w:r w:rsidRPr="0051407E">
              <w:rPr>
                <w:lang w:val="ru-MO"/>
              </w:rPr>
              <w:t>21</w:t>
            </w:r>
            <w:r w:rsidRPr="0051407E">
              <w:t>±0,69</w:t>
            </w:r>
          </w:p>
        </w:tc>
        <w:tc>
          <w:tcPr>
            <w:tcW w:w="2539" w:type="dxa"/>
          </w:tcPr>
          <w:p w:rsidR="00AC4C9E" w:rsidRPr="0051407E" w:rsidRDefault="00AC4C9E" w:rsidP="00265E1F">
            <w:pPr>
              <w:jc w:val="center"/>
              <w:rPr>
                <w:lang w:val="ru-MO"/>
              </w:rPr>
            </w:pPr>
            <w:r w:rsidRPr="0051407E">
              <w:t>4,5±0,14</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5"/>
              <w:jc w:val="center"/>
              <w:rPr>
                <w:sz w:val="24"/>
                <w:szCs w:val="24"/>
                <w:lang w:val="en-US"/>
              </w:rPr>
            </w:pPr>
            <w:r w:rsidRPr="0051407E">
              <w:rPr>
                <w:sz w:val="24"/>
                <w:szCs w:val="24"/>
              </w:rPr>
              <w:t>АР-1</w:t>
            </w:r>
            <w:r w:rsidRPr="0051407E">
              <w:rPr>
                <w:sz w:val="24"/>
                <w:szCs w:val="24"/>
                <w:lang w:val="en-US"/>
              </w:rPr>
              <w:t>R</w:t>
            </w:r>
          </w:p>
        </w:tc>
        <w:tc>
          <w:tcPr>
            <w:tcW w:w="1831" w:type="dxa"/>
          </w:tcPr>
          <w:p w:rsidR="00AC4C9E" w:rsidRPr="0051407E" w:rsidRDefault="00AC4C9E" w:rsidP="00265E1F">
            <w:pPr>
              <w:jc w:val="center"/>
            </w:pPr>
            <w:r w:rsidRPr="0051407E">
              <w:t>5,5±0,16</w:t>
            </w:r>
          </w:p>
        </w:tc>
        <w:tc>
          <w:tcPr>
            <w:tcW w:w="2862" w:type="dxa"/>
          </w:tcPr>
          <w:p w:rsidR="00AC4C9E" w:rsidRPr="0051407E" w:rsidRDefault="00AC4C9E" w:rsidP="00265E1F">
            <w:pPr>
              <w:jc w:val="center"/>
            </w:pPr>
            <w:r w:rsidRPr="0051407E">
              <w:t>11±0,35</w:t>
            </w:r>
          </w:p>
        </w:tc>
        <w:tc>
          <w:tcPr>
            <w:tcW w:w="2539" w:type="dxa"/>
          </w:tcPr>
          <w:p w:rsidR="00AC4C9E" w:rsidRPr="0051407E" w:rsidRDefault="00AC4C9E" w:rsidP="00265E1F">
            <w:pPr>
              <w:jc w:val="center"/>
              <w:rPr>
                <w:lang w:val="kk-KZ"/>
              </w:rPr>
            </w:pPr>
            <w:r w:rsidRPr="0051407E">
              <w:t>10,5±0,16</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3"/>
              <w:spacing w:after="0"/>
              <w:jc w:val="center"/>
              <w:rPr>
                <w:lang w:val="en-US"/>
              </w:rPr>
            </w:pPr>
            <w:r w:rsidRPr="0051407E">
              <w:t>АП-</w:t>
            </w:r>
            <w:r w:rsidRPr="0051407E">
              <w:rPr>
                <w:lang w:val="en-US"/>
              </w:rPr>
              <w:t>4R</w:t>
            </w:r>
          </w:p>
        </w:tc>
        <w:tc>
          <w:tcPr>
            <w:tcW w:w="1831" w:type="dxa"/>
          </w:tcPr>
          <w:p w:rsidR="00AC4C9E" w:rsidRPr="0051407E" w:rsidRDefault="00AC4C9E" w:rsidP="00265E1F">
            <w:pPr>
              <w:jc w:val="center"/>
            </w:pPr>
            <w:r w:rsidRPr="0051407E">
              <w:t>2±0,41</w:t>
            </w:r>
          </w:p>
        </w:tc>
        <w:tc>
          <w:tcPr>
            <w:tcW w:w="2862" w:type="dxa"/>
          </w:tcPr>
          <w:p w:rsidR="00AC4C9E" w:rsidRPr="0051407E" w:rsidRDefault="00AC4C9E" w:rsidP="00265E1F">
            <w:pPr>
              <w:jc w:val="center"/>
            </w:pPr>
            <w:r w:rsidRPr="0051407E">
              <w:t>19±0,50</w:t>
            </w:r>
          </w:p>
        </w:tc>
        <w:tc>
          <w:tcPr>
            <w:tcW w:w="2539" w:type="dxa"/>
          </w:tcPr>
          <w:p w:rsidR="00AC4C9E" w:rsidRPr="0051407E" w:rsidRDefault="00AC4C9E" w:rsidP="00265E1F">
            <w:pPr>
              <w:jc w:val="center"/>
            </w:pPr>
            <w:r w:rsidRPr="0051407E">
              <w:t>7,5±</w:t>
            </w:r>
            <w:r w:rsidRPr="0051407E">
              <w:rPr>
                <w:lang w:val="ru-MO"/>
              </w:rPr>
              <w:t>0,17</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3"/>
              <w:spacing w:after="0"/>
              <w:jc w:val="center"/>
            </w:pPr>
            <w:r w:rsidRPr="0051407E">
              <w:t>А</w:t>
            </w:r>
            <w:r w:rsidRPr="0051407E">
              <w:rPr>
                <w:lang w:val="en-US"/>
              </w:rPr>
              <w:t>C</w:t>
            </w:r>
            <w:r w:rsidRPr="0051407E">
              <w:t>-3</w:t>
            </w:r>
            <w:r w:rsidRPr="0051407E">
              <w:rPr>
                <w:lang w:val="en-US"/>
              </w:rPr>
              <w:t>1R</w:t>
            </w:r>
          </w:p>
        </w:tc>
        <w:tc>
          <w:tcPr>
            <w:tcW w:w="1831" w:type="dxa"/>
          </w:tcPr>
          <w:p w:rsidR="00AC4C9E" w:rsidRPr="0051407E" w:rsidRDefault="00AC4C9E" w:rsidP="00265E1F">
            <w:pPr>
              <w:jc w:val="center"/>
            </w:pPr>
            <w:r w:rsidRPr="0051407E">
              <w:t>3,5±0,45</w:t>
            </w:r>
          </w:p>
        </w:tc>
        <w:tc>
          <w:tcPr>
            <w:tcW w:w="2862" w:type="dxa"/>
          </w:tcPr>
          <w:p w:rsidR="00AC4C9E" w:rsidRPr="0051407E" w:rsidRDefault="00AC4C9E" w:rsidP="00265E1F">
            <w:pPr>
              <w:jc w:val="center"/>
            </w:pPr>
            <w:r w:rsidRPr="0051407E">
              <w:t>15±0,45</w:t>
            </w:r>
          </w:p>
        </w:tc>
        <w:tc>
          <w:tcPr>
            <w:tcW w:w="2539" w:type="dxa"/>
          </w:tcPr>
          <w:p w:rsidR="00AC4C9E" w:rsidRPr="0051407E" w:rsidRDefault="00AC4C9E" w:rsidP="00265E1F">
            <w:pPr>
              <w:jc w:val="center"/>
              <w:rPr>
                <w:lang w:val="kk-KZ"/>
              </w:rPr>
            </w:pPr>
            <w:r w:rsidRPr="0051407E">
              <w:rPr>
                <w:lang w:val="kk-KZ"/>
              </w:rPr>
              <w:t>4,5</w:t>
            </w:r>
            <w:r w:rsidRPr="0051407E">
              <w:t>±0,18</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3"/>
              <w:spacing w:after="0"/>
              <w:jc w:val="center"/>
            </w:pPr>
            <w:r w:rsidRPr="0051407E">
              <w:t>АС-1</w:t>
            </w:r>
          </w:p>
        </w:tc>
        <w:tc>
          <w:tcPr>
            <w:tcW w:w="1831" w:type="dxa"/>
          </w:tcPr>
          <w:p w:rsidR="00AC4C9E" w:rsidRPr="0051407E" w:rsidRDefault="00AC4C9E" w:rsidP="00265E1F">
            <w:pPr>
              <w:jc w:val="center"/>
            </w:pPr>
            <w:r w:rsidRPr="0051407E">
              <w:t>17±0,34</w:t>
            </w:r>
          </w:p>
        </w:tc>
        <w:tc>
          <w:tcPr>
            <w:tcW w:w="2862" w:type="dxa"/>
          </w:tcPr>
          <w:p w:rsidR="00AC4C9E" w:rsidRPr="0051407E" w:rsidRDefault="00AC4C9E" w:rsidP="00265E1F">
            <w:pPr>
              <w:jc w:val="center"/>
            </w:pPr>
            <w:r w:rsidRPr="0051407E">
              <w:t>8±0,35</w:t>
            </w:r>
          </w:p>
        </w:tc>
        <w:tc>
          <w:tcPr>
            <w:tcW w:w="2539" w:type="dxa"/>
          </w:tcPr>
          <w:p w:rsidR="00AC4C9E" w:rsidRPr="0051407E" w:rsidRDefault="00AC4C9E" w:rsidP="00265E1F">
            <w:pPr>
              <w:jc w:val="center"/>
              <w:rPr>
                <w:lang w:val="kk-KZ"/>
              </w:rPr>
            </w:pPr>
            <w:r w:rsidRPr="0051407E">
              <w:rPr>
                <w:lang w:val="kk-KZ"/>
              </w:rPr>
              <w:t>2,5</w:t>
            </w:r>
            <w:r w:rsidRPr="0051407E">
              <w:t>±0,09</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5"/>
              <w:jc w:val="center"/>
              <w:rPr>
                <w:sz w:val="24"/>
                <w:szCs w:val="24"/>
              </w:rPr>
            </w:pPr>
            <w:r w:rsidRPr="0051407E">
              <w:rPr>
                <w:sz w:val="24"/>
                <w:szCs w:val="24"/>
                <w:lang w:val="en-US"/>
              </w:rPr>
              <w:t>AK-2R</w:t>
            </w:r>
          </w:p>
        </w:tc>
        <w:tc>
          <w:tcPr>
            <w:tcW w:w="1831" w:type="dxa"/>
          </w:tcPr>
          <w:p w:rsidR="00AC4C9E" w:rsidRPr="0051407E" w:rsidRDefault="00AC4C9E" w:rsidP="00265E1F">
            <w:pPr>
              <w:jc w:val="center"/>
            </w:pPr>
            <w:r w:rsidRPr="0051407E">
              <w:t>13±0,35</w:t>
            </w:r>
          </w:p>
        </w:tc>
        <w:tc>
          <w:tcPr>
            <w:tcW w:w="2862" w:type="dxa"/>
          </w:tcPr>
          <w:p w:rsidR="00AC4C9E" w:rsidRPr="0051407E" w:rsidRDefault="00AC4C9E" w:rsidP="00265E1F">
            <w:pPr>
              <w:jc w:val="center"/>
            </w:pPr>
            <w:r w:rsidRPr="0051407E">
              <w:t>22±0,56</w:t>
            </w:r>
          </w:p>
        </w:tc>
        <w:tc>
          <w:tcPr>
            <w:tcW w:w="2539" w:type="dxa"/>
          </w:tcPr>
          <w:p w:rsidR="00AC4C9E" w:rsidRPr="0051407E" w:rsidRDefault="00AC4C9E" w:rsidP="00265E1F">
            <w:pPr>
              <w:jc w:val="center"/>
              <w:rPr>
                <w:lang w:val="ru-MO"/>
              </w:rPr>
            </w:pPr>
            <w:r w:rsidRPr="0051407E">
              <w:rPr>
                <w:lang w:val="ru-MO"/>
              </w:rPr>
              <w:t>7</w:t>
            </w:r>
            <w:r w:rsidRPr="0051407E">
              <w:t>±0,55</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3"/>
              <w:spacing w:after="0"/>
              <w:jc w:val="center"/>
            </w:pPr>
            <w:r w:rsidRPr="0051407E">
              <w:t>АК-9</w:t>
            </w:r>
          </w:p>
        </w:tc>
        <w:tc>
          <w:tcPr>
            <w:tcW w:w="1831" w:type="dxa"/>
          </w:tcPr>
          <w:p w:rsidR="00AC4C9E" w:rsidRPr="0051407E" w:rsidRDefault="00AC4C9E" w:rsidP="00265E1F">
            <w:pPr>
              <w:pStyle w:val="a3"/>
              <w:spacing w:after="0"/>
              <w:jc w:val="center"/>
            </w:pPr>
            <w:r w:rsidRPr="0051407E">
              <w:t>18±0,32</w:t>
            </w:r>
          </w:p>
        </w:tc>
        <w:tc>
          <w:tcPr>
            <w:tcW w:w="2862" w:type="dxa"/>
          </w:tcPr>
          <w:p w:rsidR="00AC4C9E" w:rsidRPr="0051407E" w:rsidRDefault="00AC4C9E" w:rsidP="00265E1F">
            <w:pPr>
              <w:pStyle w:val="a3"/>
              <w:spacing w:after="0"/>
              <w:jc w:val="center"/>
            </w:pPr>
            <w:r w:rsidRPr="0051407E">
              <w:t>20±0,26</w:t>
            </w:r>
          </w:p>
        </w:tc>
        <w:tc>
          <w:tcPr>
            <w:tcW w:w="2539" w:type="dxa"/>
          </w:tcPr>
          <w:p w:rsidR="00AC4C9E" w:rsidRPr="0051407E" w:rsidRDefault="00AC4C9E" w:rsidP="00265E1F">
            <w:pPr>
              <w:pStyle w:val="a3"/>
              <w:spacing w:after="0"/>
              <w:jc w:val="center"/>
            </w:pPr>
            <w:r w:rsidRPr="0051407E">
              <w:t>3±0,07</w:t>
            </w:r>
          </w:p>
        </w:tc>
      </w:tr>
      <w:tr w:rsidR="00AC4C9E" w:rsidRPr="0051407E" w:rsidTr="00265E1F">
        <w:tblPrEx>
          <w:tblCellMar>
            <w:top w:w="0" w:type="dxa"/>
            <w:bottom w:w="0" w:type="dxa"/>
          </w:tblCellMar>
        </w:tblPrEx>
        <w:trPr>
          <w:cantSplit/>
          <w:jc w:val="center"/>
        </w:trPr>
        <w:tc>
          <w:tcPr>
            <w:tcW w:w="1634" w:type="dxa"/>
          </w:tcPr>
          <w:p w:rsidR="00AC4C9E" w:rsidRPr="0051407E" w:rsidRDefault="00AC4C9E" w:rsidP="00265E1F">
            <w:pPr>
              <w:pStyle w:val="a3"/>
              <w:spacing w:after="0"/>
              <w:jc w:val="center"/>
              <w:rPr>
                <w:lang w:val="en-US"/>
              </w:rPr>
            </w:pPr>
            <w:r w:rsidRPr="0051407E">
              <w:rPr>
                <w:lang w:val="en-US"/>
              </w:rPr>
              <w:t>LK-7</w:t>
            </w:r>
          </w:p>
        </w:tc>
        <w:tc>
          <w:tcPr>
            <w:tcW w:w="1831" w:type="dxa"/>
          </w:tcPr>
          <w:p w:rsidR="00AC4C9E" w:rsidRPr="0051407E" w:rsidRDefault="00AC4C9E" w:rsidP="00265E1F">
            <w:pPr>
              <w:jc w:val="center"/>
            </w:pPr>
            <w:r w:rsidRPr="0051407E">
              <w:t>19±0,18</w:t>
            </w:r>
          </w:p>
        </w:tc>
        <w:tc>
          <w:tcPr>
            <w:tcW w:w="2862" w:type="dxa"/>
          </w:tcPr>
          <w:p w:rsidR="00AC4C9E" w:rsidRPr="0051407E" w:rsidRDefault="00AC4C9E" w:rsidP="00265E1F">
            <w:pPr>
              <w:jc w:val="center"/>
            </w:pPr>
            <w:r w:rsidRPr="0051407E">
              <w:t>6±0,27</w:t>
            </w:r>
          </w:p>
        </w:tc>
        <w:tc>
          <w:tcPr>
            <w:tcW w:w="2539" w:type="dxa"/>
          </w:tcPr>
          <w:p w:rsidR="00AC4C9E" w:rsidRPr="0051407E" w:rsidRDefault="00AC4C9E" w:rsidP="00265E1F">
            <w:pPr>
              <w:jc w:val="center"/>
            </w:pPr>
            <w:r w:rsidRPr="0051407E">
              <w:t>3±0,19</w:t>
            </w:r>
          </w:p>
        </w:tc>
      </w:tr>
    </w:tbl>
    <w:p w:rsidR="00AC4C9E" w:rsidRPr="0051407E" w:rsidRDefault="00AC4C9E" w:rsidP="00AC4C9E">
      <w:pPr>
        <w:ind w:firstLine="454"/>
        <w:jc w:val="both"/>
      </w:pPr>
    </w:p>
    <w:p w:rsidR="00AC4C9E" w:rsidRPr="0051407E" w:rsidRDefault="00AC4C9E" w:rsidP="00AC4C9E">
      <w:pPr>
        <w:ind w:firstLine="708"/>
        <w:jc w:val="both"/>
      </w:pPr>
      <w:r w:rsidRPr="0051407E">
        <w:t xml:space="preserve">В антимикробном действии исследуемых штаммов имеется определенная специфичность, спектры антагонистической активности у разных штаммов далеко не всегда перекрываются. Так, штаммы АА-1 </w:t>
      </w:r>
      <w:r w:rsidRPr="0051407E">
        <w:rPr>
          <w:lang w:val="en-US"/>
        </w:rPr>
        <w:t>R</w:t>
      </w:r>
      <w:r w:rsidRPr="0051407E">
        <w:t xml:space="preserve">, </w:t>
      </w:r>
      <w:r w:rsidRPr="0051407E">
        <w:rPr>
          <w:lang w:val="en-US"/>
        </w:rPr>
        <w:t>AI</w:t>
      </w:r>
      <w:r w:rsidRPr="0051407E">
        <w:t xml:space="preserve">-17, </w:t>
      </w:r>
      <w:r w:rsidRPr="0051407E">
        <w:rPr>
          <w:lang w:val="en-US"/>
        </w:rPr>
        <w:t>LK</w:t>
      </w:r>
      <w:r w:rsidRPr="0051407E">
        <w:t xml:space="preserve">-7 и </w:t>
      </w:r>
      <w:r w:rsidRPr="0051407E">
        <w:rPr>
          <w:lang w:val="en-US"/>
        </w:rPr>
        <w:t>A</w:t>
      </w:r>
      <w:r w:rsidRPr="0051407E">
        <w:t xml:space="preserve">С-31 </w:t>
      </w:r>
      <w:r w:rsidRPr="0051407E">
        <w:rPr>
          <w:lang w:val="en-US"/>
        </w:rPr>
        <w:t>R</w:t>
      </w:r>
      <w:r w:rsidRPr="0051407E">
        <w:t xml:space="preserve"> больше ингибируют грамположительные бактерии, но не дрожжи. Штаммы </w:t>
      </w:r>
      <w:r w:rsidRPr="0051407E">
        <w:rPr>
          <w:lang w:val="en-US"/>
        </w:rPr>
        <w:t>AK</w:t>
      </w:r>
      <w:r w:rsidRPr="0051407E">
        <w:t>-2</w:t>
      </w:r>
      <w:r w:rsidRPr="0051407E">
        <w:rPr>
          <w:lang w:val="en-US"/>
        </w:rPr>
        <w:t>R</w:t>
      </w:r>
      <w:r w:rsidRPr="0051407E">
        <w:t>, АК-9, АА-9  и АП-4</w:t>
      </w:r>
      <w:r w:rsidRPr="0051407E">
        <w:rPr>
          <w:lang w:val="en-US"/>
        </w:rPr>
        <w:t>R</w:t>
      </w:r>
      <w:r w:rsidRPr="0051407E">
        <w:t xml:space="preserve"> максимально эффективны против </w:t>
      </w:r>
      <w:proofErr w:type="gramStart"/>
      <w:r w:rsidRPr="0051407E">
        <w:t>грамотрицательных</w:t>
      </w:r>
      <w:proofErr w:type="gramEnd"/>
      <w:r w:rsidRPr="0051407E">
        <w:t xml:space="preserve"> энтеробактерий. Штаммы АР-1, АП-4</w:t>
      </w:r>
      <w:r w:rsidRPr="0051407E">
        <w:rPr>
          <w:lang w:val="en-US"/>
        </w:rPr>
        <w:t>R</w:t>
      </w:r>
      <w:r w:rsidRPr="0051407E">
        <w:t xml:space="preserve">, </w:t>
      </w:r>
      <w:r w:rsidRPr="0051407E">
        <w:rPr>
          <w:lang w:val="en-US"/>
        </w:rPr>
        <w:t>AK</w:t>
      </w:r>
      <w:r w:rsidRPr="0051407E">
        <w:t>-2</w:t>
      </w:r>
      <w:r w:rsidRPr="0051407E">
        <w:rPr>
          <w:lang w:val="en-US"/>
        </w:rPr>
        <w:t>R</w:t>
      </w:r>
      <w:r w:rsidRPr="0051407E">
        <w:t xml:space="preserve"> и </w:t>
      </w:r>
      <w:r w:rsidRPr="0051407E">
        <w:rPr>
          <w:lang w:val="en-US"/>
        </w:rPr>
        <w:t>AI</w:t>
      </w:r>
      <w:r w:rsidRPr="0051407E">
        <w:t>-17 оказывают негативное действие на дрожжевые грибки. Для того</w:t>
      </w:r>
      <w:proofErr w:type="gramStart"/>
      <w:r w:rsidRPr="0051407E">
        <w:t>,</w:t>
      </w:r>
      <w:proofErr w:type="gramEnd"/>
      <w:r w:rsidRPr="0051407E">
        <w:t xml:space="preserve"> чтобы совместить разные виды антагонистической активности, следовало составить композицию из нескольких штаммов. </w:t>
      </w:r>
    </w:p>
    <w:p w:rsidR="00AC4C9E" w:rsidRPr="0051407E" w:rsidRDefault="00AC4C9E" w:rsidP="00AC4C9E">
      <w:pPr>
        <w:ind w:firstLine="708"/>
        <w:jc w:val="both"/>
        <w:rPr>
          <w:lang w:eastAsia="ko-KR"/>
        </w:rPr>
      </w:pPr>
      <w:r w:rsidRPr="0051407E">
        <w:rPr>
          <w:lang w:eastAsia="ko-KR"/>
        </w:rPr>
        <w:t xml:space="preserve">Для первичного скрининга пробиотических бактерий, большое значение имеет способность к адгезии, ведь именно это качество определяет возможность их приживления в организме хозяина. Наиболее универсальной моделью для изучения адгезии микроорганизмов являются эритроциты, поскольку гликофорин их поверхностного слоя </w:t>
      </w:r>
      <w:proofErr w:type="gramStart"/>
      <w:r w:rsidRPr="0051407E">
        <w:rPr>
          <w:lang w:eastAsia="ko-KR"/>
        </w:rPr>
        <w:t>идентичен</w:t>
      </w:r>
      <w:proofErr w:type="gramEnd"/>
      <w:r w:rsidRPr="0051407E">
        <w:rPr>
          <w:lang w:eastAsia="ko-KR"/>
        </w:rPr>
        <w:t xml:space="preserve"> гликокаликсу эпителиальных клеток, на котором расположены рецепторы для микробных адгезинов </w:t>
      </w:r>
      <w:r w:rsidRPr="0051407E">
        <w:t>[8]</w:t>
      </w:r>
      <w:r w:rsidRPr="0051407E">
        <w:rPr>
          <w:lang w:eastAsia="ko-KR"/>
        </w:rPr>
        <w:t xml:space="preserve">. Экзогенные лактобациллы способны прикрепляться к эпителиоцитам, создавая барьер, препятствующий адгезии и транслокации во внутреннюю среду патогенной и условно-патогенной флоры. Эта адгезия осуществляется  за счет наличия у лактобацилл лектиноподобных структур, плотно </w:t>
      </w:r>
      <w:r w:rsidRPr="0051407E">
        <w:rPr>
          <w:lang w:eastAsia="ko-KR"/>
        </w:rPr>
        <w:lastRenderedPageBreak/>
        <w:t xml:space="preserve">связанных с клеточной стенкой </w:t>
      </w:r>
      <w:r w:rsidRPr="0051407E">
        <w:t>[9]</w:t>
      </w:r>
      <w:r w:rsidRPr="0051407E">
        <w:rPr>
          <w:lang w:eastAsia="ko-KR"/>
        </w:rPr>
        <w:t xml:space="preserve">. Некоторые штаммы способны синтезировать слущивающиеся с поверхности клеток адгезиноактивные белки, которые блокируют и дезинтегрируют патогены, </w:t>
      </w:r>
      <w:proofErr w:type="gramStart"/>
      <w:r w:rsidRPr="0051407E">
        <w:rPr>
          <w:lang w:eastAsia="ko-KR"/>
        </w:rPr>
        <w:t>защищая</w:t>
      </w:r>
      <w:proofErr w:type="gramEnd"/>
      <w:r w:rsidRPr="0051407E">
        <w:rPr>
          <w:lang w:eastAsia="ko-KR"/>
        </w:rPr>
        <w:t xml:space="preserve"> таким образом макроорганизм от способных к транслокации кишечных бактерий </w:t>
      </w:r>
      <w:r w:rsidRPr="0051407E">
        <w:t>[12]</w:t>
      </w:r>
      <w:r w:rsidRPr="0051407E">
        <w:rPr>
          <w:lang w:eastAsia="ko-KR"/>
        </w:rPr>
        <w:t xml:space="preserve">. В связи с этим, полагаем, что наилучшую композицию препарата может дать комбинация штаммов-продуцентов микроцинов, в которой одновременно будут присутствовать наряду со штаммами, несущими на своей поверхности слущивающийся адгезиноактивный белок, еще и штаммы, адгезивную активность которых определяют лектиноподобные структуры, плотно связанные с клеточной стенкой. </w:t>
      </w:r>
    </w:p>
    <w:p w:rsidR="00AC4C9E" w:rsidRPr="0051407E" w:rsidRDefault="00AC4C9E" w:rsidP="00AC4C9E">
      <w:pPr>
        <w:ind w:firstLine="708"/>
        <w:jc w:val="both"/>
      </w:pPr>
      <w:proofErr w:type="gramStart"/>
      <w:r w:rsidRPr="0051407E">
        <w:rPr>
          <w:lang w:eastAsia="ko-KR"/>
        </w:rPr>
        <w:t xml:space="preserve">Для определения последних у исследуемых штаммов использовали реакцию агглютинации с конкавалином А. Оказалось, что продукция белково-липотейхоевого комплекса присутствует у штамма </w:t>
      </w:r>
      <w:r w:rsidRPr="0051407E">
        <w:rPr>
          <w:lang w:val="en-US"/>
        </w:rPr>
        <w:t>AK</w:t>
      </w:r>
      <w:r w:rsidRPr="0051407E">
        <w:t>-2</w:t>
      </w:r>
      <w:r w:rsidRPr="0051407E">
        <w:rPr>
          <w:lang w:val="en-US"/>
        </w:rPr>
        <w:t>R</w:t>
      </w:r>
      <w:r w:rsidRPr="0051407E">
        <w:t xml:space="preserve">, принадлежащих к виду </w:t>
      </w:r>
      <w:r w:rsidRPr="0051407E">
        <w:rPr>
          <w:i/>
          <w:lang w:val="en-US"/>
        </w:rPr>
        <w:t>L</w:t>
      </w:r>
      <w:r w:rsidRPr="0051407E">
        <w:rPr>
          <w:i/>
        </w:rPr>
        <w:t>.</w:t>
      </w:r>
      <w:r w:rsidRPr="0051407E">
        <w:rPr>
          <w:i/>
          <w:lang w:val="en-US"/>
        </w:rPr>
        <w:t>fermentum</w:t>
      </w:r>
      <w:r w:rsidRPr="0051407E">
        <w:t>, а также у шаммов АР-1</w:t>
      </w:r>
      <w:r w:rsidRPr="0051407E">
        <w:rPr>
          <w:lang w:val="en-US"/>
        </w:rPr>
        <w:t>R</w:t>
      </w:r>
      <w:r w:rsidRPr="0051407E">
        <w:t xml:space="preserve"> и АП-4</w:t>
      </w:r>
      <w:r w:rsidRPr="0051407E">
        <w:rPr>
          <w:lang w:val="en-US"/>
        </w:rPr>
        <w:t>R</w:t>
      </w:r>
      <w:r w:rsidRPr="0051407E">
        <w:t xml:space="preserve"> вида </w:t>
      </w:r>
      <w:r w:rsidRPr="0051407E">
        <w:rPr>
          <w:i/>
          <w:lang w:val="en-US"/>
        </w:rPr>
        <w:t>L</w:t>
      </w:r>
      <w:r w:rsidRPr="0051407E">
        <w:rPr>
          <w:i/>
        </w:rPr>
        <w:t>.</w:t>
      </w:r>
      <w:r w:rsidRPr="0051407E">
        <w:rPr>
          <w:i/>
          <w:lang w:val="en-US"/>
        </w:rPr>
        <w:t>plantarum</w:t>
      </w:r>
      <w:r w:rsidRPr="0051407E">
        <w:t>.</w:t>
      </w:r>
      <w:proofErr w:type="gramEnd"/>
      <w:r w:rsidRPr="0051407E">
        <w:t xml:space="preserve"> Выявлено также, что набор адгезинов у разных штаммов и видов лактобацилл, определяемый по способности культур агглютинировать эритроциты барана, морских свинок, человека </w:t>
      </w:r>
      <w:r w:rsidRPr="0051407E">
        <w:rPr>
          <w:lang w:val="en-US"/>
        </w:rPr>
        <w:t>IV</w:t>
      </w:r>
      <w:r w:rsidRPr="0051407E">
        <w:t>(</w:t>
      </w:r>
      <w:r w:rsidRPr="0051407E">
        <w:rPr>
          <w:lang w:val="en-US"/>
        </w:rPr>
        <w:t>AB</w:t>
      </w:r>
      <w:r w:rsidRPr="0051407E">
        <w:t xml:space="preserve">) и </w:t>
      </w:r>
      <w:r w:rsidRPr="0051407E">
        <w:rPr>
          <w:lang w:val="en-US"/>
        </w:rPr>
        <w:t>I</w:t>
      </w:r>
      <w:r w:rsidRPr="0051407E">
        <w:t xml:space="preserve">(0) </w:t>
      </w:r>
      <w:r w:rsidRPr="0051407E">
        <w:rPr>
          <w:lang w:val="en-US"/>
        </w:rPr>
        <w:t>P</w:t>
      </w:r>
      <w:r w:rsidRPr="0051407E">
        <w:t xml:space="preserve">+ вариабилен. Штамм </w:t>
      </w:r>
      <w:r w:rsidRPr="0051407E">
        <w:rPr>
          <w:lang w:eastAsia="ko-KR"/>
        </w:rPr>
        <w:t xml:space="preserve"> </w:t>
      </w:r>
      <w:r w:rsidRPr="0051407E">
        <w:rPr>
          <w:lang w:val="en-US"/>
        </w:rPr>
        <w:t>LK</w:t>
      </w:r>
      <w:r w:rsidRPr="0051407E">
        <w:t xml:space="preserve">-7 вида </w:t>
      </w:r>
      <w:r w:rsidRPr="0051407E">
        <w:rPr>
          <w:i/>
          <w:lang w:val="en-US"/>
        </w:rPr>
        <w:t>L</w:t>
      </w:r>
      <w:r w:rsidRPr="0051407E">
        <w:rPr>
          <w:i/>
        </w:rPr>
        <w:t>.</w:t>
      </w:r>
      <w:r w:rsidRPr="0051407E">
        <w:rPr>
          <w:i/>
          <w:lang w:val="en-US"/>
        </w:rPr>
        <w:t>casei</w:t>
      </w:r>
      <w:r w:rsidRPr="0051407E">
        <w:t xml:space="preserve"> имел узкий спектр адгезинов – он умеренно агглютинировал только эритроциты барана. В то же время штаммы АА-1</w:t>
      </w:r>
      <w:r w:rsidRPr="0051407E">
        <w:rPr>
          <w:lang w:val="en-US"/>
        </w:rPr>
        <w:t>R</w:t>
      </w:r>
      <w:r w:rsidRPr="0051407E">
        <w:t xml:space="preserve"> и  </w:t>
      </w:r>
      <w:r w:rsidRPr="0051407E">
        <w:rPr>
          <w:lang w:val="en-US"/>
        </w:rPr>
        <w:t>AI</w:t>
      </w:r>
      <w:r w:rsidRPr="0051407E">
        <w:t xml:space="preserve">-17, относящиеся к виду </w:t>
      </w:r>
      <w:r w:rsidRPr="0051407E">
        <w:rPr>
          <w:i/>
          <w:lang w:val="en-US"/>
        </w:rPr>
        <w:t>L</w:t>
      </w:r>
      <w:r w:rsidRPr="0051407E">
        <w:rPr>
          <w:i/>
        </w:rPr>
        <w:t>.</w:t>
      </w:r>
      <w:proofErr w:type="gramStart"/>
      <w:r w:rsidRPr="0051407E">
        <w:rPr>
          <w:i/>
        </w:rPr>
        <w:t>а</w:t>
      </w:r>
      <w:proofErr w:type="gramEnd"/>
      <w:r w:rsidRPr="0051407E">
        <w:rPr>
          <w:i/>
          <w:lang w:val="en-US"/>
        </w:rPr>
        <w:t>cidophilus</w:t>
      </w:r>
      <w:r w:rsidRPr="0051407E">
        <w:t xml:space="preserve"> активно агглютинировали все четыре вида эритроцитов. </w:t>
      </w:r>
    </w:p>
    <w:p w:rsidR="00AC4C9E" w:rsidRPr="0051407E" w:rsidRDefault="00AC4C9E" w:rsidP="00AC4C9E">
      <w:pPr>
        <w:ind w:firstLine="567"/>
        <w:jc w:val="both"/>
      </w:pPr>
      <w:r w:rsidRPr="0051407E">
        <w:t>Проведенные исследования позволяют заключить, что в состав комплексного пробиотического препарата можно включать культуры с выраженной экспрессией разных типов адгезинов, но не секретирующие лектинзависимый белок, и другой вариант лактобацилл, секретирующий во внешюю среду этот субстрат, но при этом проявляющий умеренную адгезивность в тесте с эритроцитами. Исходя из полученных данных, для дальнейшего отбора оставлено 5 штаммов.</w:t>
      </w:r>
    </w:p>
    <w:p w:rsidR="00AC4C9E" w:rsidRPr="0051407E" w:rsidRDefault="00AC4C9E" w:rsidP="00AC4C9E">
      <w:pPr>
        <w:pStyle w:val="2"/>
        <w:spacing w:after="0" w:line="240" w:lineRule="auto"/>
        <w:ind w:firstLine="567"/>
        <w:jc w:val="both"/>
      </w:pPr>
      <w:proofErr w:type="gramStart"/>
      <w:r w:rsidRPr="0051407E">
        <w:rPr>
          <w:lang w:val="en-US"/>
        </w:rPr>
        <w:t>C</w:t>
      </w:r>
      <w:r w:rsidRPr="0051407E">
        <w:t xml:space="preserve">овмещение штаммов и композицию и их совместное культивирование может приводить к проявлению антагонизма не только по отношению к патогенным и условно-патогенным бактериям (гетероантагонизм или прямой антагонизм), но и к представителям других видов рода </w:t>
      </w:r>
      <w:r w:rsidRPr="0051407E">
        <w:rPr>
          <w:i/>
        </w:rPr>
        <w:t>Lactobacillus</w:t>
      </w:r>
      <w:r w:rsidRPr="0051407E">
        <w:t>, а иногда даже к отдельным штаммам в пределах одного вида.</w:t>
      </w:r>
      <w:proofErr w:type="gramEnd"/>
      <w:r w:rsidRPr="0051407E">
        <w:t xml:space="preserve"> Такой вид активности в литературе принято называть гомоантагонизмом или изоантагонизмом [7]. Поэтому при конструировании комплексных пробиотических препаратов, следует учитывать биосовместимость штаммов, входящих в бактериальный консорциум. </w:t>
      </w:r>
    </w:p>
    <w:p w:rsidR="00AC4C9E" w:rsidRPr="0051407E" w:rsidRDefault="00AC4C9E" w:rsidP="00AC4C9E">
      <w:pPr>
        <w:ind w:firstLine="567"/>
        <w:jc w:val="both"/>
      </w:pPr>
      <w:r w:rsidRPr="0051407E">
        <w:t>Оценку биосовместимости штаммов лактобацилл проводили путем одновременного совместного культивирования на плотной питательной среде, а также с использованием одного из вариантов метода отсроченного антагонизма. Результаты этих тестов суммированы в таблице 2.</w:t>
      </w:r>
    </w:p>
    <w:p w:rsidR="00AC4C9E" w:rsidRPr="0051407E" w:rsidRDefault="00AC4C9E" w:rsidP="00AC4C9E">
      <w:pPr>
        <w:jc w:val="both"/>
      </w:pPr>
    </w:p>
    <w:p w:rsidR="00AC4C9E" w:rsidRPr="0051407E" w:rsidRDefault="00AC4C9E" w:rsidP="00AC4C9E">
      <w:pPr>
        <w:jc w:val="both"/>
      </w:pPr>
      <w:r w:rsidRPr="0051407E">
        <w:t>Таблица 2 – Биосовместимость штаммов лактобацилл при совместном культивировании на плотной питательной среде</w:t>
      </w:r>
    </w:p>
    <w:p w:rsidR="00AC4C9E" w:rsidRPr="0051407E" w:rsidRDefault="00AC4C9E" w:rsidP="00AC4C9E"/>
    <w:tbl>
      <w:tblPr>
        <w:tblW w:w="0" w:type="auto"/>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1258"/>
        <w:gridCol w:w="1242"/>
        <w:gridCol w:w="1364"/>
        <w:gridCol w:w="1206"/>
        <w:gridCol w:w="1220"/>
      </w:tblGrid>
      <w:tr w:rsidR="00AC4C9E" w:rsidRPr="0051407E" w:rsidTr="00265E1F">
        <w:tblPrEx>
          <w:tblCellMar>
            <w:top w:w="0" w:type="dxa"/>
            <w:bottom w:w="0" w:type="dxa"/>
          </w:tblCellMar>
        </w:tblPrEx>
        <w:trPr>
          <w:cantSplit/>
          <w:trHeight w:val="70"/>
          <w:jc w:val="center"/>
        </w:trPr>
        <w:tc>
          <w:tcPr>
            <w:tcW w:w="1607" w:type="dxa"/>
            <w:shd w:val="clear" w:color="auto" w:fill="FFFFFF"/>
          </w:tcPr>
          <w:p w:rsidR="00AC4C9E" w:rsidRPr="0051407E" w:rsidRDefault="00AC4C9E" w:rsidP="00265E1F">
            <w:pPr>
              <w:pStyle w:val="a3"/>
              <w:spacing w:after="0"/>
              <w:jc w:val="center"/>
              <w:rPr>
                <w:b/>
              </w:rPr>
            </w:pPr>
            <w:r w:rsidRPr="0051407E">
              <w:rPr>
                <w:b/>
              </w:rPr>
              <w:t>Штаммы</w:t>
            </w:r>
          </w:p>
        </w:tc>
        <w:tc>
          <w:tcPr>
            <w:tcW w:w="1258" w:type="dxa"/>
            <w:shd w:val="clear" w:color="auto" w:fill="FFFFFF"/>
          </w:tcPr>
          <w:p w:rsidR="00AC4C9E" w:rsidRPr="0051407E" w:rsidRDefault="00AC4C9E" w:rsidP="00265E1F">
            <w:pPr>
              <w:pStyle w:val="a3"/>
              <w:spacing w:after="0"/>
            </w:pPr>
            <w:r w:rsidRPr="0051407E">
              <w:t>АА-1R</w:t>
            </w:r>
          </w:p>
        </w:tc>
        <w:tc>
          <w:tcPr>
            <w:tcW w:w="1242" w:type="dxa"/>
            <w:tcBorders>
              <w:bottom w:val="single" w:sz="4" w:space="0" w:color="auto"/>
            </w:tcBorders>
            <w:shd w:val="clear" w:color="auto" w:fill="FFFFFF"/>
          </w:tcPr>
          <w:p w:rsidR="00AC4C9E" w:rsidRPr="0051407E" w:rsidRDefault="00AC4C9E" w:rsidP="00265E1F">
            <w:pPr>
              <w:pStyle w:val="a3"/>
              <w:spacing w:after="0"/>
            </w:pPr>
            <w:r w:rsidRPr="0051407E">
              <w:t>АI-17</w:t>
            </w:r>
          </w:p>
        </w:tc>
        <w:tc>
          <w:tcPr>
            <w:tcW w:w="1364" w:type="dxa"/>
            <w:tcBorders>
              <w:bottom w:val="single" w:sz="4" w:space="0" w:color="auto"/>
            </w:tcBorders>
            <w:shd w:val="clear" w:color="auto" w:fill="FFFFFF"/>
          </w:tcPr>
          <w:p w:rsidR="00AC4C9E" w:rsidRPr="0051407E" w:rsidRDefault="00AC4C9E" w:rsidP="00265E1F">
            <w:pPr>
              <w:pStyle w:val="a3"/>
              <w:spacing w:after="0"/>
            </w:pPr>
            <w:r w:rsidRPr="0051407E">
              <w:t>АР-1R</w:t>
            </w:r>
          </w:p>
        </w:tc>
        <w:tc>
          <w:tcPr>
            <w:tcW w:w="1206" w:type="dxa"/>
            <w:tcBorders>
              <w:bottom w:val="single" w:sz="4" w:space="0" w:color="auto"/>
            </w:tcBorders>
            <w:shd w:val="clear" w:color="auto" w:fill="FFFFFF"/>
          </w:tcPr>
          <w:p w:rsidR="00AC4C9E" w:rsidRPr="0051407E" w:rsidRDefault="00AC4C9E" w:rsidP="00265E1F">
            <w:pPr>
              <w:pStyle w:val="a3"/>
              <w:spacing w:after="0"/>
            </w:pPr>
            <w:r w:rsidRPr="0051407E">
              <w:t>АК-2R</w:t>
            </w:r>
          </w:p>
        </w:tc>
        <w:tc>
          <w:tcPr>
            <w:tcW w:w="1220" w:type="dxa"/>
            <w:tcBorders>
              <w:bottom w:val="single" w:sz="4" w:space="0" w:color="auto"/>
            </w:tcBorders>
            <w:shd w:val="clear" w:color="auto" w:fill="FFFFFF"/>
          </w:tcPr>
          <w:p w:rsidR="00AC4C9E" w:rsidRPr="0051407E" w:rsidRDefault="00AC4C9E" w:rsidP="00265E1F">
            <w:pPr>
              <w:pStyle w:val="a3"/>
              <w:spacing w:after="0"/>
            </w:pPr>
            <w:r w:rsidRPr="0051407E">
              <w:t>LK-7</w:t>
            </w:r>
          </w:p>
        </w:tc>
      </w:tr>
      <w:tr w:rsidR="00AC4C9E" w:rsidRPr="0051407E" w:rsidTr="00265E1F">
        <w:tblPrEx>
          <w:tblCellMar>
            <w:top w:w="0" w:type="dxa"/>
            <w:bottom w:w="0" w:type="dxa"/>
          </w:tblCellMar>
        </w:tblPrEx>
        <w:trPr>
          <w:cantSplit/>
          <w:trHeight w:val="354"/>
          <w:jc w:val="center"/>
        </w:trPr>
        <w:tc>
          <w:tcPr>
            <w:tcW w:w="1607" w:type="dxa"/>
            <w:shd w:val="clear" w:color="auto" w:fill="FFFFFF"/>
          </w:tcPr>
          <w:p w:rsidR="00AC4C9E" w:rsidRPr="0051407E" w:rsidRDefault="00AC4C9E" w:rsidP="00265E1F">
            <w:pPr>
              <w:pStyle w:val="a3"/>
              <w:spacing w:after="0"/>
              <w:rPr>
                <w:lang w:val="en-US"/>
              </w:rPr>
            </w:pPr>
            <w:r w:rsidRPr="0051407E">
              <w:t>АА-1</w:t>
            </w:r>
            <w:r w:rsidRPr="0051407E">
              <w:rPr>
                <w:lang w:val="en-US"/>
              </w:rPr>
              <w:t>R</w:t>
            </w:r>
          </w:p>
        </w:tc>
        <w:tc>
          <w:tcPr>
            <w:tcW w:w="1258" w:type="dxa"/>
            <w:tcBorders>
              <w:bottom w:val="single" w:sz="4" w:space="0" w:color="auto"/>
            </w:tcBorders>
            <w:shd w:val="horzCross" w:color="auto" w:fill="FF00FF"/>
          </w:tcPr>
          <w:p w:rsidR="00AC4C9E" w:rsidRPr="0051407E" w:rsidRDefault="00AC4C9E" w:rsidP="00265E1F">
            <w:pPr>
              <w:pStyle w:val="a3"/>
              <w:spacing w:after="0"/>
            </w:pPr>
          </w:p>
        </w:tc>
        <w:tc>
          <w:tcPr>
            <w:tcW w:w="1242" w:type="dxa"/>
            <w:shd w:val="clear" w:color="auto" w:fill="FFFFFF"/>
          </w:tcPr>
          <w:p w:rsidR="00AC4C9E" w:rsidRPr="0051407E" w:rsidRDefault="00AC4C9E" w:rsidP="00265E1F">
            <w:pPr>
              <w:pStyle w:val="a3"/>
              <w:spacing w:after="0"/>
            </w:pPr>
            <w:r w:rsidRPr="0051407E">
              <w:t>__</w:t>
            </w:r>
          </w:p>
        </w:tc>
        <w:tc>
          <w:tcPr>
            <w:tcW w:w="1364" w:type="dxa"/>
            <w:tcBorders>
              <w:bottom w:val="single" w:sz="4" w:space="0" w:color="auto"/>
            </w:tcBorders>
            <w:shd w:val="clear" w:color="auto" w:fill="FFFFFF"/>
          </w:tcPr>
          <w:p w:rsidR="00AC4C9E" w:rsidRPr="0051407E" w:rsidRDefault="00AC4C9E" w:rsidP="00265E1F">
            <w:pPr>
              <w:pStyle w:val="a3"/>
              <w:spacing w:after="0"/>
            </w:pPr>
            <w:r w:rsidRPr="0051407E">
              <w:t>+</w:t>
            </w:r>
          </w:p>
        </w:tc>
        <w:tc>
          <w:tcPr>
            <w:tcW w:w="1206" w:type="dxa"/>
            <w:tcBorders>
              <w:bottom w:val="single" w:sz="4" w:space="0" w:color="auto"/>
            </w:tcBorders>
            <w:shd w:val="clear" w:color="auto" w:fill="FFFFFF"/>
          </w:tcPr>
          <w:p w:rsidR="00AC4C9E" w:rsidRPr="0051407E" w:rsidRDefault="00AC4C9E" w:rsidP="00265E1F">
            <w:pPr>
              <w:pStyle w:val="a3"/>
              <w:spacing w:after="0"/>
            </w:pPr>
            <w:r w:rsidRPr="0051407E">
              <w:t>+</w:t>
            </w:r>
          </w:p>
        </w:tc>
        <w:tc>
          <w:tcPr>
            <w:tcW w:w="1220" w:type="dxa"/>
            <w:tcBorders>
              <w:bottom w:val="single" w:sz="4" w:space="0" w:color="auto"/>
            </w:tcBorders>
            <w:shd w:val="clear" w:color="auto" w:fill="FFFFFF"/>
          </w:tcPr>
          <w:p w:rsidR="00AC4C9E" w:rsidRPr="0051407E" w:rsidRDefault="00AC4C9E" w:rsidP="00265E1F">
            <w:pPr>
              <w:pStyle w:val="a3"/>
              <w:spacing w:after="0"/>
            </w:pPr>
            <w:r w:rsidRPr="0051407E">
              <w:t>+</w:t>
            </w:r>
          </w:p>
        </w:tc>
      </w:tr>
      <w:tr w:rsidR="00AC4C9E" w:rsidRPr="0051407E" w:rsidTr="00265E1F">
        <w:tblPrEx>
          <w:tblCellMar>
            <w:top w:w="0" w:type="dxa"/>
            <w:bottom w:w="0" w:type="dxa"/>
          </w:tblCellMar>
        </w:tblPrEx>
        <w:trPr>
          <w:cantSplit/>
          <w:trHeight w:val="354"/>
          <w:jc w:val="center"/>
        </w:trPr>
        <w:tc>
          <w:tcPr>
            <w:tcW w:w="1607" w:type="dxa"/>
            <w:shd w:val="clear" w:color="auto" w:fill="FFFFFF"/>
          </w:tcPr>
          <w:p w:rsidR="00AC4C9E" w:rsidRPr="0051407E" w:rsidRDefault="00AC4C9E" w:rsidP="00265E1F">
            <w:pPr>
              <w:pStyle w:val="a3"/>
              <w:spacing w:after="0"/>
              <w:rPr>
                <w:lang w:val="en-US"/>
              </w:rPr>
            </w:pPr>
            <w:r w:rsidRPr="0051407E">
              <w:t>А</w:t>
            </w:r>
            <w:r w:rsidRPr="0051407E">
              <w:rPr>
                <w:lang w:val="en-US"/>
              </w:rPr>
              <w:t>I</w:t>
            </w:r>
            <w:r w:rsidRPr="0051407E">
              <w:rPr>
                <w:lang w:val="ru-MO"/>
              </w:rPr>
              <w:t>-</w:t>
            </w:r>
            <w:r w:rsidRPr="0051407E">
              <w:rPr>
                <w:lang w:val="en-US"/>
              </w:rPr>
              <w:t>17</w:t>
            </w:r>
          </w:p>
        </w:tc>
        <w:tc>
          <w:tcPr>
            <w:tcW w:w="1258" w:type="dxa"/>
            <w:shd w:val="clear" w:color="auto" w:fill="FFFFFF"/>
          </w:tcPr>
          <w:p w:rsidR="00AC4C9E" w:rsidRPr="0051407E" w:rsidRDefault="00AC4C9E" w:rsidP="00265E1F">
            <w:pPr>
              <w:pStyle w:val="a3"/>
              <w:spacing w:after="0"/>
            </w:pPr>
            <w:r w:rsidRPr="0051407E">
              <w:t>__</w:t>
            </w:r>
          </w:p>
        </w:tc>
        <w:tc>
          <w:tcPr>
            <w:tcW w:w="1242" w:type="dxa"/>
            <w:tcBorders>
              <w:bottom w:val="single" w:sz="4" w:space="0" w:color="auto"/>
            </w:tcBorders>
            <w:shd w:val="horzCross" w:color="auto" w:fill="FF00FF"/>
          </w:tcPr>
          <w:p w:rsidR="00AC4C9E" w:rsidRPr="0051407E" w:rsidRDefault="00AC4C9E" w:rsidP="00265E1F">
            <w:pPr>
              <w:pStyle w:val="a3"/>
              <w:spacing w:after="0"/>
            </w:pPr>
          </w:p>
        </w:tc>
        <w:tc>
          <w:tcPr>
            <w:tcW w:w="1364" w:type="dxa"/>
            <w:shd w:val="clear" w:color="auto" w:fill="FFFFFF"/>
          </w:tcPr>
          <w:p w:rsidR="00AC4C9E" w:rsidRPr="0051407E" w:rsidRDefault="00AC4C9E" w:rsidP="00265E1F">
            <w:pPr>
              <w:pStyle w:val="a3"/>
              <w:spacing w:after="0"/>
            </w:pPr>
            <w:r w:rsidRPr="0051407E">
              <w:t>__</w:t>
            </w:r>
          </w:p>
        </w:tc>
        <w:tc>
          <w:tcPr>
            <w:tcW w:w="1206" w:type="dxa"/>
            <w:tcBorders>
              <w:bottom w:val="single" w:sz="4" w:space="0" w:color="auto"/>
            </w:tcBorders>
            <w:shd w:val="clear" w:color="auto" w:fill="FFFFFF"/>
          </w:tcPr>
          <w:p w:rsidR="00AC4C9E" w:rsidRPr="0051407E" w:rsidRDefault="00AC4C9E" w:rsidP="00265E1F">
            <w:pPr>
              <w:pStyle w:val="a3"/>
              <w:spacing w:after="0"/>
            </w:pPr>
            <w:r w:rsidRPr="0051407E">
              <w:t>__</w:t>
            </w:r>
          </w:p>
        </w:tc>
        <w:tc>
          <w:tcPr>
            <w:tcW w:w="1220" w:type="dxa"/>
            <w:tcBorders>
              <w:bottom w:val="single" w:sz="4" w:space="0" w:color="auto"/>
            </w:tcBorders>
            <w:shd w:val="clear" w:color="auto" w:fill="FFFFFF"/>
          </w:tcPr>
          <w:p w:rsidR="00AC4C9E" w:rsidRPr="0051407E" w:rsidRDefault="00AC4C9E" w:rsidP="00265E1F">
            <w:pPr>
              <w:pStyle w:val="a3"/>
              <w:spacing w:after="0"/>
            </w:pPr>
            <w:r w:rsidRPr="0051407E">
              <w:t>+</w:t>
            </w:r>
          </w:p>
        </w:tc>
      </w:tr>
      <w:tr w:rsidR="00AC4C9E" w:rsidRPr="0051407E" w:rsidTr="00265E1F">
        <w:tblPrEx>
          <w:tblCellMar>
            <w:top w:w="0" w:type="dxa"/>
            <w:bottom w:w="0" w:type="dxa"/>
          </w:tblCellMar>
        </w:tblPrEx>
        <w:trPr>
          <w:cantSplit/>
          <w:trHeight w:val="207"/>
          <w:jc w:val="center"/>
        </w:trPr>
        <w:tc>
          <w:tcPr>
            <w:tcW w:w="1607" w:type="dxa"/>
            <w:shd w:val="clear" w:color="auto" w:fill="FFFFFF"/>
          </w:tcPr>
          <w:p w:rsidR="00AC4C9E" w:rsidRPr="0051407E" w:rsidRDefault="00AC4C9E" w:rsidP="00265E1F">
            <w:pPr>
              <w:pStyle w:val="a5"/>
              <w:rPr>
                <w:sz w:val="24"/>
                <w:szCs w:val="24"/>
                <w:lang w:val="en-US"/>
              </w:rPr>
            </w:pPr>
            <w:r w:rsidRPr="0051407E">
              <w:rPr>
                <w:sz w:val="24"/>
                <w:szCs w:val="24"/>
              </w:rPr>
              <w:t>АР-1</w:t>
            </w:r>
            <w:r w:rsidRPr="0051407E">
              <w:rPr>
                <w:sz w:val="24"/>
                <w:szCs w:val="24"/>
                <w:lang w:val="en-US"/>
              </w:rPr>
              <w:t>R</w:t>
            </w:r>
          </w:p>
        </w:tc>
        <w:tc>
          <w:tcPr>
            <w:tcW w:w="1258" w:type="dxa"/>
            <w:shd w:val="clear" w:color="auto" w:fill="FFFFFF"/>
          </w:tcPr>
          <w:p w:rsidR="00AC4C9E" w:rsidRPr="0051407E" w:rsidRDefault="00AC4C9E" w:rsidP="00265E1F">
            <w:pPr>
              <w:pStyle w:val="a3"/>
              <w:spacing w:after="0"/>
            </w:pPr>
            <w:r w:rsidRPr="0051407E">
              <w:t>+</w:t>
            </w:r>
          </w:p>
        </w:tc>
        <w:tc>
          <w:tcPr>
            <w:tcW w:w="1242" w:type="dxa"/>
            <w:shd w:val="clear" w:color="auto" w:fill="FFFFFF"/>
          </w:tcPr>
          <w:p w:rsidR="00AC4C9E" w:rsidRPr="0051407E" w:rsidRDefault="00AC4C9E" w:rsidP="00265E1F">
            <w:pPr>
              <w:pStyle w:val="a3"/>
              <w:spacing w:after="0"/>
            </w:pPr>
            <w:r w:rsidRPr="0051407E">
              <w:t>__</w:t>
            </w:r>
          </w:p>
        </w:tc>
        <w:tc>
          <w:tcPr>
            <w:tcW w:w="1364" w:type="dxa"/>
            <w:tcBorders>
              <w:bottom w:val="single" w:sz="4" w:space="0" w:color="auto"/>
            </w:tcBorders>
            <w:shd w:val="horzCross" w:color="auto" w:fill="FF00FF"/>
          </w:tcPr>
          <w:p w:rsidR="00AC4C9E" w:rsidRPr="0051407E" w:rsidRDefault="00AC4C9E" w:rsidP="00265E1F">
            <w:pPr>
              <w:pStyle w:val="a3"/>
              <w:spacing w:after="0"/>
            </w:pPr>
          </w:p>
        </w:tc>
        <w:tc>
          <w:tcPr>
            <w:tcW w:w="1206" w:type="dxa"/>
            <w:shd w:val="clear" w:color="auto" w:fill="FFFFFF"/>
          </w:tcPr>
          <w:p w:rsidR="00AC4C9E" w:rsidRPr="0051407E" w:rsidRDefault="00AC4C9E" w:rsidP="00265E1F">
            <w:pPr>
              <w:pStyle w:val="a3"/>
              <w:spacing w:after="0"/>
            </w:pPr>
            <w:r w:rsidRPr="0051407E">
              <w:t>+</w:t>
            </w:r>
          </w:p>
        </w:tc>
        <w:tc>
          <w:tcPr>
            <w:tcW w:w="1220" w:type="dxa"/>
            <w:tcBorders>
              <w:bottom w:val="single" w:sz="4" w:space="0" w:color="auto"/>
            </w:tcBorders>
            <w:shd w:val="clear" w:color="auto" w:fill="FFFFFF"/>
          </w:tcPr>
          <w:p w:rsidR="00AC4C9E" w:rsidRPr="0051407E" w:rsidRDefault="00AC4C9E" w:rsidP="00265E1F">
            <w:pPr>
              <w:pStyle w:val="a3"/>
              <w:spacing w:after="0"/>
            </w:pPr>
            <w:r w:rsidRPr="0051407E">
              <w:t>+</w:t>
            </w:r>
          </w:p>
        </w:tc>
      </w:tr>
      <w:tr w:rsidR="00AC4C9E" w:rsidRPr="0051407E" w:rsidTr="00265E1F">
        <w:tblPrEx>
          <w:tblCellMar>
            <w:top w:w="0" w:type="dxa"/>
            <w:bottom w:w="0" w:type="dxa"/>
          </w:tblCellMar>
        </w:tblPrEx>
        <w:trPr>
          <w:cantSplit/>
          <w:trHeight w:val="354"/>
          <w:jc w:val="center"/>
        </w:trPr>
        <w:tc>
          <w:tcPr>
            <w:tcW w:w="1607" w:type="dxa"/>
            <w:shd w:val="clear" w:color="auto" w:fill="FFFFFF"/>
          </w:tcPr>
          <w:p w:rsidR="00AC4C9E" w:rsidRPr="0051407E" w:rsidRDefault="00AC4C9E" w:rsidP="00265E1F">
            <w:pPr>
              <w:pStyle w:val="a5"/>
              <w:rPr>
                <w:sz w:val="24"/>
                <w:szCs w:val="24"/>
                <w:lang w:val="en-US"/>
              </w:rPr>
            </w:pPr>
            <w:r w:rsidRPr="0051407E">
              <w:rPr>
                <w:sz w:val="24"/>
                <w:szCs w:val="24"/>
              </w:rPr>
              <w:t>АК-</w:t>
            </w:r>
            <w:r w:rsidRPr="0051407E">
              <w:rPr>
                <w:sz w:val="24"/>
                <w:szCs w:val="24"/>
                <w:lang w:val="en-US"/>
              </w:rPr>
              <w:t>2R</w:t>
            </w:r>
          </w:p>
        </w:tc>
        <w:tc>
          <w:tcPr>
            <w:tcW w:w="1258" w:type="dxa"/>
            <w:shd w:val="clear" w:color="auto" w:fill="FFFFFF"/>
          </w:tcPr>
          <w:p w:rsidR="00AC4C9E" w:rsidRPr="0051407E" w:rsidRDefault="00AC4C9E" w:rsidP="00265E1F">
            <w:pPr>
              <w:pStyle w:val="a3"/>
              <w:spacing w:after="0"/>
            </w:pPr>
            <w:r w:rsidRPr="0051407E">
              <w:t>+</w:t>
            </w:r>
          </w:p>
        </w:tc>
        <w:tc>
          <w:tcPr>
            <w:tcW w:w="1242" w:type="dxa"/>
            <w:shd w:val="clear" w:color="auto" w:fill="FFFFFF"/>
          </w:tcPr>
          <w:p w:rsidR="00AC4C9E" w:rsidRPr="0051407E" w:rsidRDefault="00AC4C9E" w:rsidP="00265E1F">
            <w:pPr>
              <w:pStyle w:val="a3"/>
              <w:spacing w:after="0"/>
            </w:pPr>
            <w:r w:rsidRPr="0051407E">
              <w:t>__</w:t>
            </w:r>
          </w:p>
        </w:tc>
        <w:tc>
          <w:tcPr>
            <w:tcW w:w="1364" w:type="dxa"/>
            <w:shd w:val="clear" w:color="auto" w:fill="FFFFFF"/>
          </w:tcPr>
          <w:p w:rsidR="00AC4C9E" w:rsidRPr="0051407E" w:rsidRDefault="00AC4C9E" w:rsidP="00265E1F">
            <w:pPr>
              <w:pStyle w:val="a3"/>
              <w:spacing w:after="0"/>
            </w:pPr>
            <w:r w:rsidRPr="0051407E">
              <w:t>+</w:t>
            </w:r>
          </w:p>
        </w:tc>
        <w:tc>
          <w:tcPr>
            <w:tcW w:w="1206" w:type="dxa"/>
            <w:tcBorders>
              <w:bottom w:val="single" w:sz="4" w:space="0" w:color="auto"/>
            </w:tcBorders>
            <w:shd w:val="horzCross" w:color="auto" w:fill="FF00FF"/>
          </w:tcPr>
          <w:p w:rsidR="00AC4C9E" w:rsidRPr="0051407E" w:rsidRDefault="00AC4C9E" w:rsidP="00265E1F">
            <w:pPr>
              <w:pStyle w:val="a3"/>
              <w:spacing w:after="0"/>
            </w:pPr>
          </w:p>
        </w:tc>
        <w:tc>
          <w:tcPr>
            <w:tcW w:w="1220" w:type="dxa"/>
            <w:shd w:val="clear" w:color="auto" w:fill="FFFFFF"/>
          </w:tcPr>
          <w:p w:rsidR="00AC4C9E" w:rsidRPr="0051407E" w:rsidRDefault="00AC4C9E" w:rsidP="00265E1F">
            <w:pPr>
              <w:pStyle w:val="a3"/>
              <w:spacing w:after="0"/>
            </w:pPr>
            <w:r w:rsidRPr="0051407E">
              <w:t>+</w:t>
            </w:r>
          </w:p>
        </w:tc>
      </w:tr>
      <w:tr w:rsidR="00AC4C9E" w:rsidRPr="0051407E" w:rsidTr="00265E1F">
        <w:tblPrEx>
          <w:tblCellMar>
            <w:top w:w="0" w:type="dxa"/>
            <w:bottom w:w="0" w:type="dxa"/>
          </w:tblCellMar>
        </w:tblPrEx>
        <w:trPr>
          <w:cantSplit/>
          <w:trHeight w:val="354"/>
          <w:jc w:val="center"/>
        </w:trPr>
        <w:tc>
          <w:tcPr>
            <w:tcW w:w="1607" w:type="dxa"/>
            <w:shd w:val="clear" w:color="auto" w:fill="FFFFFF"/>
          </w:tcPr>
          <w:p w:rsidR="00AC4C9E" w:rsidRPr="0051407E" w:rsidRDefault="00AC4C9E" w:rsidP="00265E1F">
            <w:pPr>
              <w:pStyle w:val="a3"/>
              <w:spacing w:after="0"/>
              <w:rPr>
                <w:lang w:val="en-US"/>
              </w:rPr>
            </w:pPr>
            <w:r w:rsidRPr="0051407E">
              <w:rPr>
                <w:lang w:val="en-US"/>
              </w:rPr>
              <w:t>LK-7</w:t>
            </w:r>
          </w:p>
        </w:tc>
        <w:tc>
          <w:tcPr>
            <w:tcW w:w="1258" w:type="dxa"/>
            <w:shd w:val="clear" w:color="auto" w:fill="FFFFFF"/>
          </w:tcPr>
          <w:p w:rsidR="00AC4C9E" w:rsidRPr="0051407E" w:rsidRDefault="00AC4C9E" w:rsidP="00265E1F">
            <w:pPr>
              <w:pStyle w:val="a3"/>
              <w:spacing w:after="0"/>
            </w:pPr>
            <w:r w:rsidRPr="0051407E">
              <w:t>+</w:t>
            </w:r>
          </w:p>
        </w:tc>
        <w:tc>
          <w:tcPr>
            <w:tcW w:w="1242" w:type="dxa"/>
            <w:shd w:val="clear" w:color="auto" w:fill="FFFFFF"/>
          </w:tcPr>
          <w:p w:rsidR="00AC4C9E" w:rsidRPr="0051407E" w:rsidRDefault="00AC4C9E" w:rsidP="00265E1F">
            <w:pPr>
              <w:pStyle w:val="a3"/>
              <w:spacing w:after="0"/>
            </w:pPr>
            <w:r w:rsidRPr="0051407E">
              <w:t>+</w:t>
            </w:r>
          </w:p>
        </w:tc>
        <w:tc>
          <w:tcPr>
            <w:tcW w:w="1364" w:type="dxa"/>
            <w:shd w:val="clear" w:color="auto" w:fill="FFFFFF"/>
          </w:tcPr>
          <w:p w:rsidR="00AC4C9E" w:rsidRPr="0051407E" w:rsidRDefault="00AC4C9E" w:rsidP="00265E1F">
            <w:pPr>
              <w:pStyle w:val="a3"/>
              <w:spacing w:after="0"/>
            </w:pPr>
            <w:r w:rsidRPr="0051407E">
              <w:t>+</w:t>
            </w:r>
          </w:p>
        </w:tc>
        <w:tc>
          <w:tcPr>
            <w:tcW w:w="1206" w:type="dxa"/>
            <w:shd w:val="clear" w:color="auto" w:fill="FFFFFF"/>
          </w:tcPr>
          <w:p w:rsidR="00AC4C9E" w:rsidRPr="0051407E" w:rsidRDefault="00AC4C9E" w:rsidP="00265E1F">
            <w:pPr>
              <w:pStyle w:val="a3"/>
              <w:spacing w:after="0"/>
            </w:pPr>
            <w:r w:rsidRPr="0051407E">
              <w:t>+</w:t>
            </w:r>
          </w:p>
        </w:tc>
        <w:tc>
          <w:tcPr>
            <w:tcW w:w="1220" w:type="dxa"/>
            <w:shd w:val="horzCross" w:color="auto" w:fill="FF00FF"/>
          </w:tcPr>
          <w:p w:rsidR="00AC4C9E" w:rsidRPr="0051407E" w:rsidRDefault="00AC4C9E" w:rsidP="00265E1F">
            <w:pPr>
              <w:pStyle w:val="a3"/>
              <w:spacing w:after="0"/>
            </w:pPr>
          </w:p>
        </w:tc>
      </w:tr>
    </w:tbl>
    <w:p w:rsidR="00AC4C9E" w:rsidRPr="0051407E" w:rsidRDefault="00AC4C9E" w:rsidP="00AC4C9E">
      <w:pPr>
        <w:ind w:firstLine="454"/>
        <w:jc w:val="both"/>
      </w:pPr>
    </w:p>
    <w:p w:rsidR="00AC4C9E" w:rsidRPr="0051407E" w:rsidRDefault="00AC4C9E" w:rsidP="00AC4C9E">
      <w:pPr>
        <w:pStyle w:val="2"/>
        <w:spacing w:after="0" w:line="240" w:lineRule="auto"/>
        <w:jc w:val="both"/>
      </w:pPr>
      <w:r w:rsidRPr="0051407E">
        <w:t xml:space="preserve">По результатам </w:t>
      </w:r>
      <w:proofErr w:type="gramStart"/>
      <w:r w:rsidRPr="0051407E">
        <w:t>экспресс-теста</w:t>
      </w:r>
      <w:proofErr w:type="gramEnd"/>
      <w:r w:rsidRPr="0051407E">
        <w:t xml:space="preserve"> на биосовместимость выяснилось, что штамм </w:t>
      </w:r>
      <w:r w:rsidRPr="0051407E">
        <w:rPr>
          <w:i/>
          <w:lang w:val="en-US"/>
        </w:rPr>
        <w:t>L</w:t>
      </w:r>
      <w:r w:rsidRPr="0051407E">
        <w:rPr>
          <w:i/>
        </w:rPr>
        <w:t>.</w:t>
      </w:r>
      <w:r w:rsidRPr="0051407E">
        <w:rPr>
          <w:i/>
          <w:lang w:val="en-US"/>
        </w:rPr>
        <w:t>acidophilus</w:t>
      </w:r>
      <w:r w:rsidRPr="0051407E">
        <w:t xml:space="preserve"> А</w:t>
      </w:r>
      <w:r w:rsidRPr="0051407E">
        <w:rPr>
          <w:lang w:val="en-US"/>
        </w:rPr>
        <w:t>I</w:t>
      </w:r>
      <w:r w:rsidRPr="0051407E">
        <w:t xml:space="preserve">-17 несовместим со штаммами </w:t>
      </w:r>
      <w:r w:rsidRPr="0051407E">
        <w:rPr>
          <w:i/>
          <w:lang w:val="en-US"/>
        </w:rPr>
        <w:t>L</w:t>
      </w:r>
      <w:r w:rsidRPr="0051407E">
        <w:rPr>
          <w:i/>
        </w:rPr>
        <w:t>.</w:t>
      </w:r>
      <w:r w:rsidRPr="0051407E">
        <w:rPr>
          <w:i/>
          <w:lang w:val="en-US"/>
        </w:rPr>
        <w:t>fermentum</w:t>
      </w:r>
      <w:r w:rsidRPr="0051407E">
        <w:t xml:space="preserve"> АК-2</w:t>
      </w:r>
      <w:r w:rsidRPr="0051407E">
        <w:rPr>
          <w:lang w:val="en-US"/>
        </w:rPr>
        <w:t>R</w:t>
      </w:r>
      <w:r w:rsidRPr="0051407E">
        <w:t xml:space="preserve">, </w:t>
      </w:r>
      <w:r w:rsidRPr="0051407E">
        <w:rPr>
          <w:i/>
          <w:lang w:val="en-US"/>
        </w:rPr>
        <w:t>L</w:t>
      </w:r>
      <w:r w:rsidRPr="0051407E">
        <w:rPr>
          <w:i/>
        </w:rPr>
        <w:t xml:space="preserve">. </w:t>
      </w:r>
      <w:r w:rsidRPr="0051407E">
        <w:rPr>
          <w:i/>
          <w:lang w:val="en-US"/>
        </w:rPr>
        <w:t>plantarum</w:t>
      </w:r>
      <w:r w:rsidRPr="0051407E">
        <w:t xml:space="preserve"> АР-1</w:t>
      </w:r>
      <w:r w:rsidRPr="0051407E">
        <w:rPr>
          <w:lang w:val="en-US"/>
        </w:rPr>
        <w:t>R</w:t>
      </w:r>
      <w:r w:rsidRPr="0051407E">
        <w:t xml:space="preserve"> и даже со штаммом того же вида </w:t>
      </w:r>
      <w:r w:rsidRPr="0051407E">
        <w:rPr>
          <w:i/>
        </w:rPr>
        <w:t xml:space="preserve"> </w:t>
      </w:r>
      <w:r w:rsidRPr="0051407E">
        <w:rPr>
          <w:i/>
          <w:lang w:val="en-US"/>
        </w:rPr>
        <w:t>L</w:t>
      </w:r>
      <w:r w:rsidRPr="0051407E">
        <w:rPr>
          <w:i/>
        </w:rPr>
        <w:t xml:space="preserve">. </w:t>
      </w:r>
      <w:r w:rsidRPr="0051407E">
        <w:rPr>
          <w:i/>
          <w:lang w:val="en-US"/>
        </w:rPr>
        <w:t>acidophilus</w:t>
      </w:r>
      <w:r w:rsidRPr="0051407E">
        <w:t xml:space="preserve"> АА-1</w:t>
      </w:r>
      <w:r w:rsidRPr="0051407E">
        <w:rPr>
          <w:lang w:val="en-US"/>
        </w:rPr>
        <w:t>R</w:t>
      </w:r>
      <w:r w:rsidRPr="0051407E">
        <w:t>. Судя по полученным в этом тесте результатам, А</w:t>
      </w:r>
      <w:r w:rsidRPr="0051407E">
        <w:rPr>
          <w:lang w:val="en-US"/>
        </w:rPr>
        <w:t>I</w:t>
      </w:r>
      <w:r w:rsidRPr="0051407E">
        <w:t xml:space="preserve">-17 проявляет гомоантагонистическое действие в отношении всех </w:t>
      </w:r>
      <w:r w:rsidRPr="0051407E">
        <w:lastRenderedPageBreak/>
        <w:t xml:space="preserve">используемых в эксперименте штаммов, кроме штамма </w:t>
      </w:r>
      <w:r w:rsidRPr="0051407E">
        <w:rPr>
          <w:lang w:val="en-US"/>
        </w:rPr>
        <w:t>LK</w:t>
      </w:r>
      <w:r w:rsidRPr="0051407E">
        <w:t xml:space="preserve">-7. Поэтому для основы бактериальной композиции из двух представителей вида </w:t>
      </w:r>
      <w:r w:rsidRPr="0051407E">
        <w:rPr>
          <w:i/>
          <w:lang w:val="en-US"/>
        </w:rPr>
        <w:t>L</w:t>
      </w:r>
      <w:r w:rsidRPr="0051407E">
        <w:rPr>
          <w:i/>
        </w:rPr>
        <w:t xml:space="preserve">. </w:t>
      </w:r>
      <w:r w:rsidRPr="0051407E">
        <w:rPr>
          <w:i/>
          <w:lang w:val="en-US"/>
        </w:rPr>
        <w:t>acidophilus</w:t>
      </w:r>
      <w:r w:rsidRPr="0051407E">
        <w:t xml:space="preserve">  был оставлен только штамм АА-1</w:t>
      </w:r>
      <w:r w:rsidRPr="0051407E">
        <w:rPr>
          <w:lang w:val="en-US"/>
        </w:rPr>
        <w:t>R</w:t>
      </w:r>
      <w:r w:rsidRPr="0051407E">
        <w:t>. Из полученных в этом эксперименте данных видно, что все использованные в работе штаммы полностью совместимы друг с другом. Зона задержки роста или полностью отсутствует, или ее размер не превышает 2-</w:t>
      </w:r>
      <w:smartTag w:uri="urn:schemas-microsoft-com:office:smarttags" w:element="metricconverter">
        <w:smartTagPr>
          <w:attr w:name="ProductID" w:val="3 мм"/>
        </w:smartTagPr>
        <w:r w:rsidRPr="0051407E">
          <w:t>3 мм</w:t>
        </w:r>
      </w:smartTag>
      <w:r w:rsidRPr="0051407E">
        <w:t>. Исходя из этого, теоретически возможно составление 4</w:t>
      </w:r>
      <w:r w:rsidRPr="0051407E">
        <w:rPr>
          <w:vertAlign w:val="superscript"/>
        </w:rPr>
        <w:t>-х</w:t>
      </w:r>
      <w:r w:rsidRPr="0051407E">
        <w:t xml:space="preserve"> разновидностей бактериальных композиций: </w:t>
      </w:r>
    </w:p>
    <w:p w:rsidR="00AC4C9E" w:rsidRPr="0051407E" w:rsidRDefault="00AC4C9E" w:rsidP="00AC4C9E">
      <w:pPr>
        <w:pStyle w:val="2"/>
        <w:spacing w:after="0" w:line="240" w:lineRule="auto"/>
        <w:rPr>
          <w:lang w:val="pt-BR"/>
        </w:rPr>
      </w:pPr>
      <w:r w:rsidRPr="0051407E">
        <w:rPr>
          <w:lang w:val="pt-BR"/>
        </w:rPr>
        <w:t xml:space="preserve">№1 - </w:t>
      </w:r>
      <w:r w:rsidRPr="0051407E">
        <w:t>АА</w:t>
      </w:r>
      <w:r w:rsidRPr="0051407E">
        <w:rPr>
          <w:lang w:val="pt-BR"/>
        </w:rPr>
        <w:t xml:space="preserve">-1R+ </w:t>
      </w:r>
      <w:r w:rsidRPr="0051407E">
        <w:t>АР</w:t>
      </w:r>
      <w:r w:rsidRPr="0051407E">
        <w:rPr>
          <w:lang w:val="pt-BR"/>
        </w:rPr>
        <w:t>-1R+LK7+</w:t>
      </w:r>
      <w:r w:rsidRPr="0051407E">
        <w:t>АК</w:t>
      </w:r>
      <w:r w:rsidRPr="0051407E">
        <w:rPr>
          <w:lang w:val="pt-BR"/>
        </w:rPr>
        <w:t xml:space="preserve">-2R; </w:t>
      </w:r>
    </w:p>
    <w:p w:rsidR="00AC4C9E" w:rsidRPr="0051407E" w:rsidRDefault="00AC4C9E" w:rsidP="00AC4C9E">
      <w:pPr>
        <w:pStyle w:val="2"/>
        <w:spacing w:after="0" w:line="240" w:lineRule="auto"/>
        <w:rPr>
          <w:lang w:val="pt-BR"/>
        </w:rPr>
      </w:pPr>
      <w:r w:rsidRPr="0051407E">
        <w:rPr>
          <w:lang w:val="pt-BR"/>
        </w:rPr>
        <w:t xml:space="preserve">№2 - </w:t>
      </w:r>
      <w:r w:rsidRPr="0051407E">
        <w:t>АА</w:t>
      </w:r>
      <w:r w:rsidRPr="0051407E">
        <w:rPr>
          <w:lang w:val="pt-BR"/>
        </w:rPr>
        <w:t xml:space="preserve">-1R + </w:t>
      </w:r>
      <w:r w:rsidRPr="0051407E">
        <w:t>АР</w:t>
      </w:r>
      <w:r w:rsidRPr="0051407E">
        <w:rPr>
          <w:lang w:val="pt-BR"/>
        </w:rPr>
        <w:t>-1R+</w:t>
      </w:r>
      <w:r w:rsidRPr="0051407E">
        <w:t>АК</w:t>
      </w:r>
      <w:r w:rsidRPr="0051407E">
        <w:rPr>
          <w:lang w:val="pt-BR"/>
        </w:rPr>
        <w:t xml:space="preserve">-2R; </w:t>
      </w:r>
    </w:p>
    <w:p w:rsidR="00AC4C9E" w:rsidRPr="0051407E" w:rsidRDefault="00AC4C9E" w:rsidP="00AC4C9E">
      <w:pPr>
        <w:pStyle w:val="2"/>
        <w:spacing w:after="0" w:line="240" w:lineRule="auto"/>
        <w:rPr>
          <w:lang w:val="pt-BR"/>
        </w:rPr>
      </w:pPr>
      <w:r w:rsidRPr="0051407E">
        <w:rPr>
          <w:lang w:val="pt-BR"/>
        </w:rPr>
        <w:t xml:space="preserve">№3 - </w:t>
      </w:r>
      <w:r w:rsidRPr="0051407E">
        <w:t>АА</w:t>
      </w:r>
      <w:r w:rsidRPr="0051407E">
        <w:rPr>
          <w:lang w:val="pt-BR"/>
        </w:rPr>
        <w:t xml:space="preserve">-12+ </w:t>
      </w:r>
      <w:r w:rsidRPr="0051407E">
        <w:t>АР</w:t>
      </w:r>
      <w:r w:rsidRPr="0051407E">
        <w:rPr>
          <w:lang w:val="pt-BR"/>
        </w:rPr>
        <w:t>-1R+ LK7;</w:t>
      </w:r>
    </w:p>
    <w:p w:rsidR="00AC4C9E" w:rsidRPr="0051407E" w:rsidRDefault="00AC4C9E" w:rsidP="00AC4C9E">
      <w:pPr>
        <w:pStyle w:val="2"/>
        <w:spacing w:after="0" w:line="240" w:lineRule="auto"/>
      </w:pPr>
      <w:r w:rsidRPr="0051407E">
        <w:t>№4 - АА-12+ АК-2</w:t>
      </w:r>
      <w:r w:rsidRPr="0051407E">
        <w:rPr>
          <w:lang w:val="en-US"/>
        </w:rPr>
        <w:t>R</w:t>
      </w:r>
      <w:r w:rsidRPr="0051407E">
        <w:t xml:space="preserve">+ </w:t>
      </w:r>
      <w:r w:rsidRPr="0051407E">
        <w:rPr>
          <w:lang w:val="en-US"/>
        </w:rPr>
        <w:t>LK</w:t>
      </w:r>
      <w:r w:rsidRPr="0051407E">
        <w:t xml:space="preserve">7. </w:t>
      </w:r>
    </w:p>
    <w:p w:rsidR="00AC4C9E" w:rsidRPr="0051407E" w:rsidRDefault="00AC4C9E" w:rsidP="00AC4C9E">
      <w:pPr>
        <w:pStyle w:val="2"/>
        <w:spacing w:after="0" w:line="240" w:lineRule="auto"/>
        <w:ind w:firstLine="454"/>
        <w:jc w:val="both"/>
      </w:pPr>
      <w:r w:rsidRPr="0051407E">
        <w:t xml:space="preserve">В микробиоценозе кишечника человека присутствуют представители трех таксономических групп лактобацилл: термобактерии или облигатные гомоферментативные лактобациллы (ОГОЛ), к которым относится вид </w:t>
      </w:r>
      <w:r w:rsidRPr="0051407E">
        <w:rPr>
          <w:i/>
          <w:lang w:val="en-US"/>
        </w:rPr>
        <w:t>L</w:t>
      </w:r>
      <w:r w:rsidRPr="0051407E">
        <w:rPr>
          <w:i/>
        </w:rPr>
        <w:t xml:space="preserve">. </w:t>
      </w:r>
      <w:r w:rsidRPr="0051407E">
        <w:rPr>
          <w:i/>
          <w:lang w:val="en-US"/>
        </w:rPr>
        <w:t>acidophilus</w:t>
      </w:r>
      <w:r w:rsidRPr="0051407E">
        <w:t xml:space="preserve">; стрептобактерии или факультативные гетероферментативные лактобациллы (ФГЕЛ), в эту группу входит вид </w:t>
      </w:r>
      <w:r w:rsidRPr="0051407E">
        <w:rPr>
          <w:i/>
          <w:lang w:val="en-US"/>
        </w:rPr>
        <w:t>L</w:t>
      </w:r>
      <w:r w:rsidRPr="0051407E">
        <w:rPr>
          <w:i/>
        </w:rPr>
        <w:t xml:space="preserve">. </w:t>
      </w:r>
      <w:r w:rsidRPr="0051407E">
        <w:rPr>
          <w:i/>
          <w:lang w:val="en-US"/>
        </w:rPr>
        <w:t>plantarum</w:t>
      </w:r>
      <w:r w:rsidRPr="0051407E">
        <w:t xml:space="preserve"> и бетабактерии - облигатные гетероферментативные лактобациллы (ОГЕЛ). Лактобациллы  </w:t>
      </w:r>
      <w:r w:rsidRPr="0051407E">
        <w:rPr>
          <w:i/>
          <w:lang w:val="en-US"/>
        </w:rPr>
        <w:t>L</w:t>
      </w:r>
      <w:r w:rsidRPr="0051407E">
        <w:rPr>
          <w:i/>
        </w:rPr>
        <w:t xml:space="preserve">. </w:t>
      </w:r>
      <w:r w:rsidRPr="0051407E">
        <w:rPr>
          <w:i/>
          <w:lang w:val="en-US"/>
        </w:rPr>
        <w:t>fermentum</w:t>
      </w:r>
      <w:r w:rsidRPr="0051407E">
        <w:t xml:space="preserve"> и </w:t>
      </w:r>
      <w:r w:rsidRPr="0051407E">
        <w:rPr>
          <w:i/>
          <w:lang w:val="en-US"/>
        </w:rPr>
        <w:t>L</w:t>
      </w:r>
      <w:r w:rsidRPr="0051407E">
        <w:rPr>
          <w:i/>
        </w:rPr>
        <w:t>.</w:t>
      </w:r>
      <w:r w:rsidRPr="0051407E">
        <w:rPr>
          <w:i/>
          <w:lang w:val="en-US"/>
        </w:rPr>
        <w:t>casei</w:t>
      </w:r>
      <w:r w:rsidRPr="0051407E">
        <w:t xml:space="preserve"> - среди составляющих эту группу видов. Комплексный препарат должен включать представителей всех физиологических групп. Примером является </w:t>
      </w:r>
      <w:proofErr w:type="gramStart"/>
      <w:r w:rsidRPr="0051407E">
        <w:t>Казахстанский</w:t>
      </w:r>
      <w:proofErr w:type="gramEnd"/>
      <w:r w:rsidRPr="0051407E">
        <w:t xml:space="preserve"> пробиотик «Плантафермин». Такой микроэкологический подход позволяет повысить эффективность пробиотикотерапии при дисбактериозах. Среди отобранных штаммов к группе ОГОЛ относится </w:t>
      </w:r>
      <w:r w:rsidRPr="0051407E">
        <w:rPr>
          <w:i/>
          <w:lang w:val="en-US"/>
        </w:rPr>
        <w:t>L</w:t>
      </w:r>
      <w:r w:rsidRPr="0051407E">
        <w:rPr>
          <w:i/>
        </w:rPr>
        <w:t>.</w:t>
      </w:r>
      <w:r w:rsidRPr="0051407E">
        <w:rPr>
          <w:i/>
          <w:lang w:val="en-US"/>
        </w:rPr>
        <w:t>acidophilus</w:t>
      </w:r>
      <w:r w:rsidRPr="0051407E">
        <w:t xml:space="preserve"> АА-1</w:t>
      </w:r>
      <w:r w:rsidRPr="0051407E">
        <w:rPr>
          <w:lang w:val="en-US"/>
        </w:rPr>
        <w:t>R</w:t>
      </w:r>
      <w:r w:rsidRPr="0051407E">
        <w:t xml:space="preserve">, Этот вид, как указывалось выше, составляет основу многих фармабиотиков. К группе ФГЕЛ относится штамм </w:t>
      </w:r>
      <w:r w:rsidRPr="0051407E">
        <w:rPr>
          <w:i/>
          <w:lang w:val="en-US"/>
        </w:rPr>
        <w:t>L</w:t>
      </w:r>
      <w:r w:rsidRPr="0051407E">
        <w:rPr>
          <w:i/>
        </w:rPr>
        <w:t>.</w:t>
      </w:r>
      <w:r w:rsidRPr="0051407E">
        <w:rPr>
          <w:i/>
          <w:lang w:val="en-US"/>
        </w:rPr>
        <w:t>plantarum</w:t>
      </w:r>
      <w:r w:rsidRPr="0051407E">
        <w:t xml:space="preserve"> АР-1</w:t>
      </w:r>
      <w:r w:rsidRPr="0051407E">
        <w:rPr>
          <w:lang w:val="en-US"/>
        </w:rPr>
        <w:t>R</w:t>
      </w:r>
      <w:r w:rsidRPr="0051407E">
        <w:t xml:space="preserve">, этот вид входит в состав широко известного препарата «Лактобактерин». Виды лактобацилл, такие как </w:t>
      </w:r>
      <w:r w:rsidRPr="0051407E">
        <w:rPr>
          <w:i/>
          <w:lang w:val="en-US"/>
        </w:rPr>
        <w:t>L</w:t>
      </w:r>
      <w:r w:rsidRPr="0051407E">
        <w:rPr>
          <w:i/>
        </w:rPr>
        <w:t>.</w:t>
      </w:r>
      <w:r w:rsidRPr="0051407E">
        <w:rPr>
          <w:i/>
          <w:lang w:val="en-US"/>
        </w:rPr>
        <w:t>fermentum</w:t>
      </w:r>
      <w:r w:rsidRPr="0051407E">
        <w:t xml:space="preserve"> и </w:t>
      </w:r>
      <w:r w:rsidRPr="0051407E">
        <w:rPr>
          <w:i/>
          <w:lang w:val="en-US"/>
        </w:rPr>
        <w:t>L</w:t>
      </w:r>
      <w:r w:rsidRPr="0051407E">
        <w:rPr>
          <w:i/>
        </w:rPr>
        <w:t>.</w:t>
      </w:r>
      <w:r w:rsidRPr="0051407E">
        <w:rPr>
          <w:i/>
          <w:lang w:val="en-US"/>
        </w:rPr>
        <w:t>casei</w:t>
      </w:r>
      <w:r w:rsidRPr="0051407E">
        <w:t xml:space="preserve">, входящие в группу ОГЕЛ, в составе пробиотических препаратов используются значительно реже, хотя по своим метаболическим особенностям они имеют сходный путь метаболизма с бифидобактериями. Последнее выглядит достаточно привлекательно с точки зрения возможности замены бифидобактерий в комплексных препаратах на виды, входящие в группу ОГЕЛ, что может упростить производственный процесс, поскольку лактобациллы можно выращивать на одной питательной среде. Вместе с тем, используемые в работе штаммы, принадлежащие к группе ОГЕЛ – </w:t>
      </w:r>
      <w:r w:rsidRPr="0051407E">
        <w:rPr>
          <w:lang w:val="en-US"/>
        </w:rPr>
        <w:t>LK</w:t>
      </w:r>
      <w:r w:rsidRPr="0051407E">
        <w:t>-7 и АК-2</w:t>
      </w:r>
      <w:r w:rsidRPr="0051407E">
        <w:rPr>
          <w:lang w:val="en-US"/>
        </w:rPr>
        <w:t>R</w:t>
      </w:r>
      <w:r w:rsidRPr="0051407E">
        <w:t xml:space="preserve"> обладают схожими антагонистическими особенностями, поэтому представляется обоснованным включение в композицию лишь одного из этих двух штаммов. </w:t>
      </w:r>
    </w:p>
    <w:p w:rsidR="00AC4C9E" w:rsidRPr="0051407E" w:rsidRDefault="00AC4C9E" w:rsidP="00AC4C9E">
      <w:pPr>
        <w:ind w:firstLine="454"/>
        <w:jc w:val="both"/>
        <w:rPr>
          <w:b/>
        </w:rPr>
      </w:pPr>
      <w:r w:rsidRPr="0051407E">
        <w:t>Таким образом, для разработки препарата предлагаются два варианта бактериального консорциума: №2 - АА-1</w:t>
      </w:r>
      <w:r w:rsidRPr="0051407E">
        <w:rPr>
          <w:lang w:val="en-US"/>
        </w:rPr>
        <w:t>R</w:t>
      </w:r>
      <w:r w:rsidRPr="0051407E">
        <w:t>+АР-1</w:t>
      </w:r>
      <w:r w:rsidRPr="0051407E">
        <w:rPr>
          <w:lang w:val="en-US"/>
        </w:rPr>
        <w:t>R</w:t>
      </w:r>
      <w:r w:rsidRPr="0051407E">
        <w:t>+АК-2</w:t>
      </w:r>
      <w:r w:rsidRPr="0051407E">
        <w:rPr>
          <w:lang w:val="en-US"/>
        </w:rPr>
        <w:t>R</w:t>
      </w:r>
      <w:r w:rsidRPr="0051407E">
        <w:t xml:space="preserve"> и №3 – АА-1</w:t>
      </w:r>
      <w:r w:rsidRPr="0051407E">
        <w:rPr>
          <w:lang w:val="en-US"/>
        </w:rPr>
        <w:t>R</w:t>
      </w:r>
      <w:r w:rsidRPr="0051407E">
        <w:t>+АР-1</w:t>
      </w:r>
      <w:r w:rsidRPr="0051407E">
        <w:rPr>
          <w:lang w:val="en-US"/>
        </w:rPr>
        <w:t>R</w:t>
      </w:r>
      <w:r w:rsidRPr="0051407E">
        <w:t>+</w:t>
      </w:r>
      <w:r w:rsidRPr="0051407E">
        <w:rPr>
          <w:lang w:val="en-US"/>
        </w:rPr>
        <w:t>LK</w:t>
      </w:r>
      <w:r w:rsidRPr="0051407E">
        <w:t>7. Из этих двух композиций одну наиболее перспективную, используя при этом такую технологическию характеристику, как накопление биомассы.</w:t>
      </w:r>
      <w:r w:rsidRPr="0051407E">
        <w:rPr>
          <w:b/>
        </w:rPr>
        <w:t xml:space="preserve"> </w:t>
      </w:r>
    </w:p>
    <w:p w:rsidR="00AC4C9E" w:rsidRPr="0051407E" w:rsidRDefault="00AC4C9E" w:rsidP="00AC4C9E">
      <w:pPr>
        <w:ind w:firstLine="360"/>
        <w:jc w:val="both"/>
      </w:pPr>
      <w:r w:rsidRPr="0051407E">
        <w:t xml:space="preserve">Уровень накопления биомассы является определяющим технологическим параметром, характеризующим культуру лактобактерий и влияющим на количество жизнеспособных клеток в дозе препарата. Для культивирования использовали казеиново-дрожжевую среду (КДС) традиционно применяемую в производстве лактосодержащих пробиотиков </w:t>
      </w:r>
      <w:r>
        <w:rPr>
          <w:noProof/>
        </w:rPr>
        <w:drawing>
          <wp:anchor distT="0" distB="0" distL="114300" distR="114300" simplePos="0" relativeHeight="251660288" behindDoc="0" locked="0" layoutInCell="1" allowOverlap="1">
            <wp:simplePos x="0" y="0"/>
            <wp:positionH relativeFrom="column">
              <wp:posOffset>8077200</wp:posOffset>
            </wp:positionH>
            <wp:positionV relativeFrom="paragraph">
              <wp:posOffset>13306425</wp:posOffset>
            </wp:positionV>
            <wp:extent cx="2352675" cy="2076450"/>
            <wp:effectExtent l="19050" t="0" r="9525" b="0"/>
            <wp:wrapNone/>
            <wp:docPr id="2" name="Рисунок 2" descr="2006_step_up_wallpap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step_up_wallpaper_001"/>
                    <pic:cNvPicPr>
                      <a:picLocks noChangeAspect="1" noChangeArrowheads="1"/>
                    </pic:cNvPicPr>
                  </pic:nvPicPr>
                  <pic:blipFill>
                    <a:blip r:embed="rId4" cstate="print"/>
                    <a:srcRect/>
                    <a:stretch>
                      <a:fillRect/>
                    </a:stretch>
                  </pic:blipFill>
                  <pic:spPr bwMode="auto">
                    <a:xfrm>
                      <a:off x="0" y="0"/>
                      <a:ext cx="2352675" cy="2076450"/>
                    </a:xfrm>
                    <a:prstGeom prst="rect">
                      <a:avLst/>
                    </a:prstGeom>
                    <a:noFill/>
                  </pic:spPr>
                </pic:pic>
              </a:graphicData>
            </a:graphic>
          </wp:anchor>
        </w:drawing>
      </w:r>
      <w:r w:rsidRPr="0051407E">
        <w:t>. Высокие ростовые качества казеиново-дрожжевой среды объясняются рациональным подбором питательных веществ.</w:t>
      </w:r>
    </w:p>
    <w:p w:rsidR="00AC4C9E" w:rsidRPr="0051407E" w:rsidRDefault="00AC4C9E" w:rsidP="00AC4C9E">
      <w:pPr>
        <w:ind w:firstLine="454"/>
        <w:jc w:val="both"/>
      </w:pPr>
      <w:r w:rsidRPr="0051407E">
        <w:t>Глубинное культивирование лактобактерий проводили при температуре (37±1)°</w:t>
      </w:r>
      <w:proofErr w:type="gramStart"/>
      <w:r w:rsidRPr="0051407E">
        <w:t>С</w:t>
      </w:r>
      <w:proofErr w:type="gramEnd"/>
      <w:r w:rsidRPr="0051407E">
        <w:t xml:space="preserve"> </w:t>
      </w:r>
      <w:proofErr w:type="gramStart"/>
      <w:r w:rsidRPr="0051407E">
        <w:t>в</w:t>
      </w:r>
      <w:proofErr w:type="gramEnd"/>
      <w:r w:rsidRPr="0051407E">
        <w:t xml:space="preserve"> условиях постоянного перемешивания, продолжительность культивирования составляла 10-12 ч. Доза вносимого инокулята составляла 10% от объема питательной среды. В процессе культивирования с помощью 10% раствора аммиака поддерживали рН среды на уровне 5,5-6,0. В качестве углеводной добавки использовали 40% раствор глюкозы. </w:t>
      </w:r>
    </w:p>
    <w:p w:rsidR="00AC4C9E" w:rsidRPr="0051407E" w:rsidRDefault="00AC4C9E" w:rsidP="00AC4C9E">
      <w:pPr>
        <w:ind w:firstLine="454"/>
        <w:jc w:val="both"/>
      </w:pPr>
      <w:r w:rsidRPr="0051407E">
        <w:t>Оптическую плотность бактериальных культур в процессе роста определяли с помощью фотоэлектроколориметра (кювета-</w:t>
      </w:r>
      <w:smartTag w:uri="urn:schemas-microsoft-com:office:smarttags" w:element="metricconverter">
        <w:smartTagPr>
          <w:attr w:name="ProductID" w:val="1 мм"/>
        </w:smartTagPr>
        <w:r w:rsidRPr="0051407E">
          <w:t>1 мм</w:t>
        </w:r>
      </w:smartTag>
      <w:r w:rsidRPr="0051407E">
        <w:t>, длина волны – 540 нм), пробу бактериальной взвеси перед измерением разводили 0,9 % раствором натрия хлорида в соотношении 1:1.</w:t>
      </w:r>
    </w:p>
    <w:p w:rsidR="00AC4C9E" w:rsidRPr="0051407E" w:rsidRDefault="00AC4C9E" w:rsidP="00AC4C9E">
      <w:pPr>
        <w:ind w:firstLine="454"/>
        <w:jc w:val="both"/>
      </w:pPr>
      <w:r w:rsidRPr="0051407E">
        <w:lastRenderedPageBreak/>
        <w:t xml:space="preserve">Оказалось, что накопление биомассы у штамма </w:t>
      </w:r>
      <w:r w:rsidRPr="0051407E">
        <w:rPr>
          <w:lang w:val="en-US"/>
        </w:rPr>
        <w:t>LK</w:t>
      </w:r>
      <w:r w:rsidRPr="0051407E">
        <w:t xml:space="preserve">-7 значительно ниже, чем у остальных штаммов. В связи с этим для комплексного препарата была выбрана бактериальная </w:t>
      </w:r>
      <w:proofErr w:type="gramStart"/>
      <w:r w:rsidRPr="0051407E">
        <w:t>композиция</w:t>
      </w:r>
      <w:proofErr w:type="gramEnd"/>
      <w:r w:rsidRPr="0051407E">
        <w:t xml:space="preserve"> состоящая из штаммов </w:t>
      </w:r>
      <w:r w:rsidRPr="0051407E">
        <w:rPr>
          <w:lang w:val="en-US"/>
        </w:rPr>
        <w:t>A</w:t>
      </w:r>
      <w:r w:rsidRPr="0051407E">
        <w:t>А-1</w:t>
      </w:r>
      <w:r w:rsidRPr="0051407E">
        <w:rPr>
          <w:lang w:val="en-US"/>
        </w:rPr>
        <w:t>R</w:t>
      </w:r>
      <w:r w:rsidRPr="0051407E">
        <w:t xml:space="preserve"> + </w:t>
      </w:r>
      <w:r w:rsidRPr="0051407E">
        <w:rPr>
          <w:lang w:val="en-US"/>
        </w:rPr>
        <w:t>A</w:t>
      </w:r>
      <w:r w:rsidRPr="0051407E">
        <w:t>Р-1</w:t>
      </w:r>
      <w:r w:rsidRPr="0051407E">
        <w:rPr>
          <w:lang w:val="en-US"/>
        </w:rPr>
        <w:t>R</w:t>
      </w:r>
      <w:r w:rsidRPr="0051407E">
        <w:t xml:space="preserve"> + АК-2</w:t>
      </w:r>
      <w:r w:rsidRPr="0051407E">
        <w:rPr>
          <w:lang w:val="en-US"/>
        </w:rPr>
        <w:t>R</w:t>
      </w:r>
      <w:r w:rsidRPr="0051407E">
        <w:t>.</w:t>
      </w:r>
    </w:p>
    <w:p w:rsidR="00AC4C9E" w:rsidRPr="0051407E" w:rsidRDefault="00AC4C9E" w:rsidP="00AC4C9E">
      <w:pPr>
        <w:ind w:firstLine="454"/>
        <w:jc w:val="both"/>
      </w:pPr>
      <w:r w:rsidRPr="0051407E">
        <w:t>При исследовании характера взаимоотношений между отдельными видами лактобацилл, входящих в состав комбинации для нового пробиотика, было установлено существование симбиоза между ними, выражавшееся в усилении антагонистической активности. Антагонистические свойства штаммов, входящих в комбинированный препарат исследовали с применением прямого совместного культивирования на плотной питательной среде (таблица 3).</w:t>
      </w:r>
    </w:p>
    <w:p w:rsidR="00AC4C9E" w:rsidRPr="0051407E" w:rsidRDefault="00AC4C9E" w:rsidP="00AC4C9E">
      <w:pPr>
        <w:ind w:firstLine="454"/>
        <w:jc w:val="both"/>
      </w:pPr>
    </w:p>
    <w:p w:rsidR="00AC4C9E" w:rsidRPr="0051407E" w:rsidRDefault="00AC4C9E" w:rsidP="00AC4C9E">
      <w:pPr>
        <w:jc w:val="both"/>
      </w:pPr>
      <w:r w:rsidRPr="0051407E">
        <w:t xml:space="preserve">Таблица 3 - Антагонистическая активность пробиотической компоции </w:t>
      </w:r>
    </w:p>
    <w:p w:rsidR="00AC4C9E" w:rsidRPr="0051407E" w:rsidRDefault="00AC4C9E" w:rsidP="00AC4C9E">
      <w:pPr>
        <w:ind w:firstLine="45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443"/>
        <w:gridCol w:w="1399"/>
        <w:gridCol w:w="1321"/>
        <w:gridCol w:w="1321"/>
        <w:gridCol w:w="1709"/>
        <w:gridCol w:w="1142"/>
      </w:tblGrid>
      <w:tr w:rsidR="00AC4C9E" w:rsidRPr="0051407E" w:rsidTr="00265E1F">
        <w:tc>
          <w:tcPr>
            <w:tcW w:w="1241" w:type="dxa"/>
            <w:vMerge w:val="restart"/>
          </w:tcPr>
          <w:p w:rsidR="00AC4C9E" w:rsidRPr="0051407E" w:rsidRDefault="00AC4C9E" w:rsidP="00265E1F">
            <w:pPr>
              <w:jc w:val="both"/>
            </w:pPr>
            <w:r w:rsidRPr="0051407E">
              <w:t xml:space="preserve">Штаммы </w:t>
            </w:r>
          </w:p>
        </w:tc>
        <w:tc>
          <w:tcPr>
            <w:tcW w:w="8407" w:type="dxa"/>
            <w:gridSpan w:val="6"/>
          </w:tcPr>
          <w:p w:rsidR="00AC4C9E" w:rsidRPr="0051407E" w:rsidRDefault="00AC4C9E" w:rsidP="00265E1F">
            <w:pPr>
              <w:jc w:val="center"/>
            </w:pPr>
            <w:r w:rsidRPr="0051407E">
              <w:t xml:space="preserve">Зона задержки роста, </w:t>
            </w:r>
            <w:proofErr w:type="gramStart"/>
            <w:r w:rsidRPr="0051407E">
              <w:t>мм</w:t>
            </w:r>
            <w:proofErr w:type="gramEnd"/>
          </w:p>
        </w:tc>
      </w:tr>
      <w:tr w:rsidR="00AC4C9E" w:rsidRPr="0051407E" w:rsidTr="00265E1F">
        <w:tc>
          <w:tcPr>
            <w:tcW w:w="1241" w:type="dxa"/>
            <w:vMerge/>
          </w:tcPr>
          <w:p w:rsidR="00AC4C9E" w:rsidRPr="0051407E" w:rsidRDefault="00AC4C9E" w:rsidP="00265E1F">
            <w:pPr>
              <w:jc w:val="both"/>
            </w:pPr>
          </w:p>
        </w:tc>
        <w:tc>
          <w:tcPr>
            <w:tcW w:w="1443" w:type="dxa"/>
          </w:tcPr>
          <w:p w:rsidR="00AC4C9E" w:rsidRPr="0085472F" w:rsidRDefault="00AC4C9E" w:rsidP="00265E1F">
            <w:pPr>
              <w:pStyle w:val="a7"/>
              <w:spacing w:after="0"/>
              <w:ind w:left="0"/>
              <w:jc w:val="both"/>
              <w:rPr>
                <w:i/>
                <w:sz w:val="24"/>
                <w:szCs w:val="24"/>
                <w:lang w:val="en-GB"/>
              </w:rPr>
            </w:pPr>
            <w:r w:rsidRPr="0085472F">
              <w:rPr>
                <w:i/>
                <w:sz w:val="24"/>
                <w:szCs w:val="24"/>
                <w:lang w:val="en-US"/>
              </w:rPr>
              <w:t xml:space="preserve">Salmonella typhimurium </w:t>
            </w:r>
          </w:p>
          <w:p w:rsidR="00AC4C9E" w:rsidRPr="0051407E" w:rsidRDefault="00AC4C9E" w:rsidP="00265E1F">
            <w:pPr>
              <w:jc w:val="both"/>
            </w:pPr>
            <w:r w:rsidRPr="0085472F">
              <w:rPr>
                <w:i/>
                <w:lang w:val="en-GB"/>
              </w:rPr>
              <w:t>59-60</w:t>
            </w:r>
          </w:p>
        </w:tc>
        <w:tc>
          <w:tcPr>
            <w:tcW w:w="1402" w:type="dxa"/>
          </w:tcPr>
          <w:p w:rsidR="00AC4C9E" w:rsidRPr="0085472F" w:rsidRDefault="00AC4C9E" w:rsidP="00265E1F">
            <w:pPr>
              <w:rPr>
                <w:i/>
              </w:rPr>
            </w:pPr>
            <w:r w:rsidRPr="0085472F">
              <w:rPr>
                <w:i/>
                <w:lang w:val="en-US"/>
              </w:rPr>
              <w:t xml:space="preserve">Eschercihia coli </w:t>
            </w:r>
            <w:r w:rsidRPr="0085472F">
              <w:rPr>
                <w:i/>
              </w:rPr>
              <w:t>157</w:t>
            </w:r>
          </w:p>
          <w:p w:rsidR="00AC4C9E" w:rsidRPr="0051407E" w:rsidRDefault="00AC4C9E" w:rsidP="00265E1F">
            <w:pPr>
              <w:jc w:val="both"/>
            </w:pPr>
          </w:p>
        </w:tc>
        <w:tc>
          <w:tcPr>
            <w:tcW w:w="1351" w:type="dxa"/>
          </w:tcPr>
          <w:p w:rsidR="00AC4C9E" w:rsidRPr="0085472F" w:rsidRDefault="00AC4C9E" w:rsidP="00265E1F">
            <w:pPr>
              <w:pStyle w:val="a7"/>
              <w:spacing w:after="0"/>
              <w:ind w:left="0"/>
              <w:jc w:val="both"/>
              <w:rPr>
                <w:i/>
                <w:iCs/>
                <w:sz w:val="24"/>
                <w:szCs w:val="24"/>
                <w:lang w:val="en-GB"/>
              </w:rPr>
            </w:pPr>
            <w:r w:rsidRPr="0085472F">
              <w:rPr>
                <w:i/>
                <w:sz w:val="24"/>
                <w:szCs w:val="24"/>
                <w:lang w:val="en-US"/>
              </w:rPr>
              <w:t xml:space="preserve">Shigella </w:t>
            </w:r>
            <w:r w:rsidRPr="0085472F">
              <w:rPr>
                <w:i/>
                <w:iCs/>
                <w:sz w:val="24"/>
                <w:szCs w:val="24"/>
                <w:lang w:val="en-US"/>
              </w:rPr>
              <w:t>sonnei</w:t>
            </w:r>
          </w:p>
          <w:p w:rsidR="00AC4C9E" w:rsidRPr="0051407E" w:rsidRDefault="00AC4C9E" w:rsidP="00265E1F">
            <w:pPr>
              <w:jc w:val="both"/>
            </w:pPr>
            <w:r w:rsidRPr="0085472F">
              <w:rPr>
                <w:i/>
                <w:iCs/>
                <w:lang w:val="en-GB"/>
              </w:rPr>
              <w:t xml:space="preserve"> 177</w:t>
            </w:r>
            <w:r w:rsidRPr="0085472F">
              <w:rPr>
                <w:i/>
                <w:iCs/>
              </w:rPr>
              <w:t>б</w:t>
            </w:r>
          </w:p>
        </w:tc>
        <w:tc>
          <w:tcPr>
            <w:tcW w:w="1351" w:type="dxa"/>
          </w:tcPr>
          <w:p w:rsidR="00AC4C9E" w:rsidRPr="0051407E" w:rsidRDefault="00AC4C9E" w:rsidP="00265E1F">
            <w:pPr>
              <w:jc w:val="both"/>
            </w:pPr>
            <w:r w:rsidRPr="0085472F">
              <w:rPr>
                <w:i/>
                <w:lang w:val="en-US"/>
              </w:rPr>
              <w:t xml:space="preserve">Proteus vulgaris </w:t>
            </w:r>
            <w:r w:rsidRPr="0085472F">
              <w:rPr>
                <w:i/>
                <w:lang w:val="en-GB"/>
              </w:rPr>
              <w:t>177</w:t>
            </w:r>
          </w:p>
        </w:tc>
        <w:tc>
          <w:tcPr>
            <w:tcW w:w="1709" w:type="dxa"/>
          </w:tcPr>
          <w:p w:rsidR="00AC4C9E" w:rsidRPr="0085472F" w:rsidRDefault="00AC4C9E" w:rsidP="00265E1F">
            <w:pPr>
              <w:rPr>
                <w:i/>
              </w:rPr>
            </w:pPr>
            <w:r w:rsidRPr="0085472F">
              <w:rPr>
                <w:i/>
                <w:lang w:val="en-US"/>
              </w:rPr>
              <w:t>Staphylococcus aureus</w:t>
            </w:r>
            <w:r w:rsidRPr="0085472F">
              <w:rPr>
                <w:i/>
                <w:lang w:val="en-GB"/>
              </w:rPr>
              <w:t xml:space="preserve"> </w:t>
            </w:r>
          </w:p>
          <w:p w:rsidR="00AC4C9E" w:rsidRPr="0085472F" w:rsidRDefault="00AC4C9E" w:rsidP="00265E1F">
            <w:pPr>
              <w:rPr>
                <w:lang w:val="en-GB"/>
              </w:rPr>
            </w:pPr>
            <w:r w:rsidRPr="0085472F">
              <w:rPr>
                <w:i/>
                <w:lang w:val="en-US"/>
              </w:rPr>
              <w:t xml:space="preserve"> S</w:t>
            </w:r>
            <w:r w:rsidRPr="0085472F">
              <w:rPr>
                <w:i/>
                <w:lang w:val="en-GB"/>
              </w:rPr>
              <w:t>60</w:t>
            </w:r>
          </w:p>
          <w:p w:rsidR="00AC4C9E" w:rsidRPr="0051407E" w:rsidRDefault="00AC4C9E" w:rsidP="00265E1F">
            <w:pPr>
              <w:jc w:val="both"/>
            </w:pPr>
          </w:p>
        </w:tc>
        <w:tc>
          <w:tcPr>
            <w:tcW w:w="1151" w:type="dxa"/>
          </w:tcPr>
          <w:p w:rsidR="00AC4C9E" w:rsidRPr="0085472F" w:rsidRDefault="00AC4C9E" w:rsidP="00265E1F">
            <w:pPr>
              <w:pStyle w:val="a7"/>
              <w:spacing w:after="0"/>
              <w:ind w:left="0"/>
              <w:jc w:val="both"/>
              <w:rPr>
                <w:i/>
                <w:sz w:val="24"/>
                <w:szCs w:val="24"/>
                <w:lang w:val="en-GB"/>
              </w:rPr>
            </w:pPr>
            <w:r w:rsidRPr="0085472F">
              <w:rPr>
                <w:i/>
                <w:sz w:val="24"/>
                <w:szCs w:val="24"/>
                <w:lang w:val="en-US"/>
              </w:rPr>
              <w:t>Candida albicans</w:t>
            </w:r>
          </w:p>
          <w:p w:rsidR="00AC4C9E" w:rsidRPr="0051407E" w:rsidRDefault="00AC4C9E" w:rsidP="00265E1F">
            <w:pPr>
              <w:jc w:val="both"/>
            </w:pPr>
            <w:r w:rsidRPr="0085472F">
              <w:rPr>
                <w:i/>
                <w:lang w:val="en-US"/>
              </w:rPr>
              <w:t>KAA-88</w:t>
            </w:r>
          </w:p>
        </w:tc>
      </w:tr>
      <w:tr w:rsidR="00AC4C9E" w:rsidRPr="0051407E" w:rsidTr="00265E1F">
        <w:tc>
          <w:tcPr>
            <w:tcW w:w="1241" w:type="dxa"/>
          </w:tcPr>
          <w:p w:rsidR="00AC4C9E" w:rsidRPr="0085472F" w:rsidRDefault="00AC4C9E" w:rsidP="00265E1F">
            <w:pPr>
              <w:jc w:val="both"/>
              <w:rPr>
                <w:lang w:val="en-US"/>
              </w:rPr>
            </w:pPr>
            <w:r w:rsidRPr="0051407E">
              <w:t>АА-1</w:t>
            </w:r>
            <w:r w:rsidRPr="0085472F">
              <w:rPr>
                <w:lang w:val="en-US"/>
              </w:rPr>
              <w:t>R</w:t>
            </w:r>
          </w:p>
        </w:tc>
        <w:tc>
          <w:tcPr>
            <w:tcW w:w="1443" w:type="dxa"/>
          </w:tcPr>
          <w:p w:rsidR="00AC4C9E" w:rsidRPr="0085472F" w:rsidRDefault="00AC4C9E" w:rsidP="00265E1F">
            <w:pPr>
              <w:jc w:val="center"/>
              <w:rPr>
                <w:lang w:val="en-US"/>
              </w:rPr>
            </w:pPr>
            <w:r w:rsidRPr="0085472F">
              <w:rPr>
                <w:lang w:val="en-US"/>
              </w:rPr>
              <w:t>15±2,0</w:t>
            </w:r>
          </w:p>
        </w:tc>
        <w:tc>
          <w:tcPr>
            <w:tcW w:w="1402" w:type="dxa"/>
          </w:tcPr>
          <w:p w:rsidR="00AC4C9E" w:rsidRPr="0085472F" w:rsidRDefault="00AC4C9E" w:rsidP="00265E1F">
            <w:pPr>
              <w:jc w:val="center"/>
              <w:rPr>
                <w:lang w:val="en-US"/>
              </w:rPr>
            </w:pPr>
            <w:r w:rsidRPr="0085472F">
              <w:rPr>
                <w:lang w:val="en-US"/>
              </w:rPr>
              <w:t>12±1,0</w:t>
            </w:r>
          </w:p>
        </w:tc>
        <w:tc>
          <w:tcPr>
            <w:tcW w:w="1351" w:type="dxa"/>
          </w:tcPr>
          <w:p w:rsidR="00AC4C9E" w:rsidRPr="0085472F" w:rsidRDefault="00AC4C9E" w:rsidP="00265E1F">
            <w:pPr>
              <w:jc w:val="center"/>
              <w:rPr>
                <w:lang w:val="en-US"/>
              </w:rPr>
            </w:pPr>
            <w:r w:rsidRPr="0085472F">
              <w:rPr>
                <w:lang w:val="en-US"/>
              </w:rPr>
              <w:t>16±1,1</w:t>
            </w:r>
          </w:p>
        </w:tc>
        <w:tc>
          <w:tcPr>
            <w:tcW w:w="1351" w:type="dxa"/>
          </w:tcPr>
          <w:p w:rsidR="00AC4C9E" w:rsidRPr="0085472F" w:rsidRDefault="00AC4C9E" w:rsidP="00265E1F">
            <w:pPr>
              <w:jc w:val="center"/>
              <w:rPr>
                <w:lang w:val="en-US"/>
              </w:rPr>
            </w:pPr>
            <w:r w:rsidRPr="0085472F">
              <w:rPr>
                <w:lang w:val="en-US"/>
              </w:rPr>
              <w:t>13±1,5</w:t>
            </w:r>
          </w:p>
        </w:tc>
        <w:tc>
          <w:tcPr>
            <w:tcW w:w="1709" w:type="dxa"/>
          </w:tcPr>
          <w:p w:rsidR="00AC4C9E" w:rsidRPr="0085472F" w:rsidRDefault="00AC4C9E" w:rsidP="00265E1F">
            <w:pPr>
              <w:jc w:val="center"/>
              <w:rPr>
                <w:lang w:val="en-US"/>
              </w:rPr>
            </w:pPr>
            <w:r w:rsidRPr="0085472F">
              <w:rPr>
                <w:lang w:val="en-US"/>
              </w:rPr>
              <w:t>10±1,1</w:t>
            </w:r>
          </w:p>
        </w:tc>
        <w:tc>
          <w:tcPr>
            <w:tcW w:w="1151" w:type="dxa"/>
          </w:tcPr>
          <w:p w:rsidR="00AC4C9E" w:rsidRPr="0085472F" w:rsidRDefault="00AC4C9E" w:rsidP="00265E1F">
            <w:pPr>
              <w:jc w:val="center"/>
              <w:rPr>
                <w:lang w:val="en-US"/>
              </w:rPr>
            </w:pPr>
            <w:r w:rsidRPr="0085472F">
              <w:rPr>
                <w:lang w:val="en-US"/>
              </w:rPr>
              <w:t>0</w:t>
            </w:r>
          </w:p>
        </w:tc>
      </w:tr>
      <w:tr w:rsidR="00AC4C9E" w:rsidRPr="0051407E" w:rsidTr="00265E1F">
        <w:tc>
          <w:tcPr>
            <w:tcW w:w="1241" w:type="dxa"/>
          </w:tcPr>
          <w:p w:rsidR="00AC4C9E" w:rsidRPr="0085472F" w:rsidRDefault="00AC4C9E" w:rsidP="00265E1F">
            <w:pPr>
              <w:jc w:val="both"/>
              <w:rPr>
                <w:lang w:val="en-US"/>
              </w:rPr>
            </w:pPr>
            <w:r w:rsidRPr="0051407E">
              <w:t>АР-1</w:t>
            </w:r>
            <w:r w:rsidRPr="0085472F">
              <w:rPr>
                <w:lang w:val="en-US"/>
              </w:rPr>
              <w:t>R</w:t>
            </w:r>
          </w:p>
        </w:tc>
        <w:tc>
          <w:tcPr>
            <w:tcW w:w="1443" w:type="dxa"/>
          </w:tcPr>
          <w:p w:rsidR="00AC4C9E" w:rsidRPr="0085472F" w:rsidRDefault="00AC4C9E" w:rsidP="00265E1F">
            <w:pPr>
              <w:jc w:val="center"/>
              <w:rPr>
                <w:lang w:val="en-US"/>
              </w:rPr>
            </w:pPr>
            <w:r w:rsidRPr="0085472F">
              <w:rPr>
                <w:lang w:val="en-US"/>
              </w:rPr>
              <w:t>10±1,0</w:t>
            </w:r>
          </w:p>
        </w:tc>
        <w:tc>
          <w:tcPr>
            <w:tcW w:w="1402" w:type="dxa"/>
          </w:tcPr>
          <w:p w:rsidR="00AC4C9E" w:rsidRPr="0085472F" w:rsidRDefault="00AC4C9E" w:rsidP="00265E1F">
            <w:pPr>
              <w:jc w:val="center"/>
              <w:rPr>
                <w:lang w:val="en-US"/>
              </w:rPr>
            </w:pPr>
            <w:r w:rsidRPr="0085472F">
              <w:rPr>
                <w:lang w:val="en-US"/>
              </w:rPr>
              <w:t>8±0,4</w:t>
            </w:r>
          </w:p>
        </w:tc>
        <w:tc>
          <w:tcPr>
            <w:tcW w:w="1351" w:type="dxa"/>
          </w:tcPr>
          <w:p w:rsidR="00AC4C9E" w:rsidRPr="0085472F" w:rsidRDefault="00AC4C9E" w:rsidP="00265E1F">
            <w:pPr>
              <w:jc w:val="center"/>
              <w:rPr>
                <w:lang w:val="en-US"/>
              </w:rPr>
            </w:pPr>
            <w:r w:rsidRPr="0085472F">
              <w:rPr>
                <w:lang w:val="en-US"/>
              </w:rPr>
              <w:t>7±0,8</w:t>
            </w:r>
          </w:p>
        </w:tc>
        <w:tc>
          <w:tcPr>
            <w:tcW w:w="1351" w:type="dxa"/>
          </w:tcPr>
          <w:p w:rsidR="00AC4C9E" w:rsidRPr="0085472F" w:rsidRDefault="00AC4C9E" w:rsidP="00265E1F">
            <w:pPr>
              <w:jc w:val="center"/>
              <w:rPr>
                <w:lang w:val="en-US"/>
              </w:rPr>
            </w:pPr>
            <w:r w:rsidRPr="0085472F">
              <w:rPr>
                <w:lang w:val="en-US"/>
              </w:rPr>
              <w:t>11±1,7</w:t>
            </w:r>
          </w:p>
        </w:tc>
        <w:tc>
          <w:tcPr>
            <w:tcW w:w="1709" w:type="dxa"/>
          </w:tcPr>
          <w:p w:rsidR="00AC4C9E" w:rsidRPr="0085472F" w:rsidRDefault="00AC4C9E" w:rsidP="00265E1F">
            <w:pPr>
              <w:jc w:val="center"/>
              <w:rPr>
                <w:lang w:val="en-US"/>
              </w:rPr>
            </w:pPr>
            <w:r w:rsidRPr="0085472F">
              <w:rPr>
                <w:lang w:val="en-US"/>
              </w:rPr>
              <w:t>8±0,6</w:t>
            </w:r>
          </w:p>
        </w:tc>
        <w:tc>
          <w:tcPr>
            <w:tcW w:w="1151" w:type="dxa"/>
          </w:tcPr>
          <w:p w:rsidR="00AC4C9E" w:rsidRPr="0085472F" w:rsidRDefault="00AC4C9E" w:rsidP="00265E1F">
            <w:pPr>
              <w:jc w:val="center"/>
              <w:rPr>
                <w:lang w:val="en-US"/>
              </w:rPr>
            </w:pPr>
            <w:r w:rsidRPr="0085472F">
              <w:rPr>
                <w:lang w:val="en-US"/>
              </w:rPr>
              <w:t>10±1,3</w:t>
            </w:r>
          </w:p>
        </w:tc>
      </w:tr>
      <w:tr w:rsidR="00AC4C9E" w:rsidRPr="0051407E" w:rsidTr="00265E1F">
        <w:tc>
          <w:tcPr>
            <w:tcW w:w="1241" w:type="dxa"/>
          </w:tcPr>
          <w:p w:rsidR="00AC4C9E" w:rsidRPr="0085472F" w:rsidRDefault="00AC4C9E" w:rsidP="00265E1F">
            <w:pPr>
              <w:jc w:val="both"/>
              <w:rPr>
                <w:lang w:val="en-US"/>
              </w:rPr>
            </w:pPr>
            <w:r w:rsidRPr="0085472F">
              <w:rPr>
                <w:lang w:val="en-US"/>
              </w:rPr>
              <w:t>AK-2R</w:t>
            </w:r>
          </w:p>
        </w:tc>
        <w:tc>
          <w:tcPr>
            <w:tcW w:w="1443" w:type="dxa"/>
          </w:tcPr>
          <w:p w:rsidR="00AC4C9E" w:rsidRPr="0085472F" w:rsidRDefault="00AC4C9E" w:rsidP="00265E1F">
            <w:pPr>
              <w:jc w:val="center"/>
              <w:rPr>
                <w:lang w:val="en-US"/>
              </w:rPr>
            </w:pPr>
            <w:r w:rsidRPr="0085472F">
              <w:rPr>
                <w:lang w:val="en-US"/>
              </w:rPr>
              <w:t>8±0,5</w:t>
            </w:r>
          </w:p>
        </w:tc>
        <w:tc>
          <w:tcPr>
            <w:tcW w:w="1402" w:type="dxa"/>
          </w:tcPr>
          <w:p w:rsidR="00AC4C9E" w:rsidRPr="0085472F" w:rsidRDefault="00AC4C9E" w:rsidP="00265E1F">
            <w:pPr>
              <w:jc w:val="center"/>
              <w:rPr>
                <w:lang w:val="en-US"/>
              </w:rPr>
            </w:pPr>
            <w:r w:rsidRPr="0085472F">
              <w:rPr>
                <w:lang w:val="en-US"/>
              </w:rPr>
              <w:t>6±0,7</w:t>
            </w:r>
          </w:p>
        </w:tc>
        <w:tc>
          <w:tcPr>
            <w:tcW w:w="1351" w:type="dxa"/>
          </w:tcPr>
          <w:p w:rsidR="00AC4C9E" w:rsidRPr="0085472F" w:rsidRDefault="00AC4C9E" w:rsidP="00265E1F">
            <w:pPr>
              <w:jc w:val="center"/>
              <w:rPr>
                <w:lang w:val="en-US"/>
              </w:rPr>
            </w:pPr>
            <w:r w:rsidRPr="0085472F">
              <w:rPr>
                <w:lang w:val="en-US"/>
              </w:rPr>
              <w:t>10±0,7</w:t>
            </w:r>
          </w:p>
        </w:tc>
        <w:tc>
          <w:tcPr>
            <w:tcW w:w="1351" w:type="dxa"/>
          </w:tcPr>
          <w:p w:rsidR="00AC4C9E" w:rsidRPr="0085472F" w:rsidRDefault="00AC4C9E" w:rsidP="00265E1F">
            <w:pPr>
              <w:jc w:val="center"/>
              <w:rPr>
                <w:lang w:val="en-US"/>
              </w:rPr>
            </w:pPr>
            <w:r w:rsidRPr="0085472F">
              <w:rPr>
                <w:lang w:val="en-US"/>
              </w:rPr>
              <w:t>8±0,7</w:t>
            </w:r>
          </w:p>
        </w:tc>
        <w:tc>
          <w:tcPr>
            <w:tcW w:w="1709" w:type="dxa"/>
          </w:tcPr>
          <w:p w:rsidR="00AC4C9E" w:rsidRPr="0085472F" w:rsidRDefault="00AC4C9E" w:rsidP="00265E1F">
            <w:pPr>
              <w:jc w:val="center"/>
              <w:rPr>
                <w:lang w:val="en-US"/>
              </w:rPr>
            </w:pPr>
            <w:r w:rsidRPr="0085472F">
              <w:rPr>
                <w:lang w:val="en-US"/>
              </w:rPr>
              <w:t>15±0,5</w:t>
            </w:r>
          </w:p>
        </w:tc>
        <w:tc>
          <w:tcPr>
            <w:tcW w:w="1151" w:type="dxa"/>
          </w:tcPr>
          <w:p w:rsidR="00AC4C9E" w:rsidRPr="0085472F" w:rsidRDefault="00AC4C9E" w:rsidP="00265E1F">
            <w:pPr>
              <w:jc w:val="center"/>
              <w:rPr>
                <w:lang w:val="en-US"/>
              </w:rPr>
            </w:pPr>
            <w:r w:rsidRPr="0085472F">
              <w:rPr>
                <w:lang w:val="en-US"/>
              </w:rPr>
              <w:t>0</w:t>
            </w:r>
          </w:p>
        </w:tc>
      </w:tr>
      <w:tr w:rsidR="00AC4C9E" w:rsidRPr="0051407E" w:rsidTr="00265E1F">
        <w:tc>
          <w:tcPr>
            <w:tcW w:w="1241" w:type="dxa"/>
          </w:tcPr>
          <w:p w:rsidR="00AC4C9E" w:rsidRPr="0051407E" w:rsidRDefault="00AC4C9E" w:rsidP="00265E1F">
            <w:pPr>
              <w:jc w:val="both"/>
            </w:pPr>
            <w:r w:rsidRPr="0051407E">
              <w:t>комплекс</w:t>
            </w:r>
          </w:p>
        </w:tc>
        <w:tc>
          <w:tcPr>
            <w:tcW w:w="1443" w:type="dxa"/>
          </w:tcPr>
          <w:p w:rsidR="00AC4C9E" w:rsidRPr="0051407E" w:rsidRDefault="00AC4C9E" w:rsidP="00265E1F">
            <w:pPr>
              <w:jc w:val="center"/>
            </w:pPr>
            <w:r w:rsidRPr="0051407E">
              <w:t>17</w:t>
            </w:r>
            <w:r w:rsidRPr="0085472F">
              <w:rPr>
                <w:lang w:val="en-US"/>
              </w:rPr>
              <w:t>±2,2</w:t>
            </w:r>
          </w:p>
        </w:tc>
        <w:tc>
          <w:tcPr>
            <w:tcW w:w="1402" w:type="dxa"/>
          </w:tcPr>
          <w:p w:rsidR="00AC4C9E" w:rsidRPr="0051407E" w:rsidRDefault="00AC4C9E" w:rsidP="00265E1F">
            <w:pPr>
              <w:jc w:val="center"/>
            </w:pPr>
            <w:r w:rsidRPr="0051407E">
              <w:t>15</w:t>
            </w:r>
            <w:r w:rsidRPr="0085472F">
              <w:rPr>
                <w:lang w:val="en-US"/>
              </w:rPr>
              <w:t>±0,9</w:t>
            </w:r>
          </w:p>
        </w:tc>
        <w:tc>
          <w:tcPr>
            <w:tcW w:w="1351" w:type="dxa"/>
          </w:tcPr>
          <w:p w:rsidR="00AC4C9E" w:rsidRPr="0051407E" w:rsidRDefault="00AC4C9E" w:rsidP="00265E1F">
            <w:pPr>
              <w:jc w:val="center"/>
            </w:pPr>
            <w:r w:rsidRPr="0051407E">
              <w:t>16</w:t>
            </w:r>
            <w:r w:rsidRPr="0085472F">
              <w:rPr>
                <w:lang w:val="en-US"/>
              </w:rPr>
              <w:t>±1,2</w:t>
            </w:r>
          </w:p>
        </w:tc>
        <w:tc>
          <w:tcPr>
            <w:tcW w:w="1351" w:type="dxa"/>
          </w:tcPr>
          <w:p w:rsidR="00AC4C9E" w:rsidRPr="0051407E" w:rsidRDefault="00AC4C9E" w:rsidP="00265E1F">
            <w:pPr>
              <w:jc w:val="center"/>
            </w:pPr>
            <w:r w:rsidRPr="0051407E">
              <w:t>15</w:t>
            </w:r>
            <w:r w:rsidRPr="0085472F">
              <w:rPr>
                <w:lang w:val="en-US"/>
              </w:rPr>
              <w:t>±0,9</w:t>
            </w:r>
          </w:p>
        </w:tc>
        <w:tc>
          <w:tcPr>
            <w:tcW w:w="1709" w:type="dxa"/>
          </w:tcPr>
          <w:p w:rsidR="00AC4C9E" w:rsidRPr="0051407E" w:rsidRDefault="00AC4C9E" w:rsidP="00265E1F">
            <w:pPr>
              <w:jc w:val="center"/>
            </w:pPr>
            <w:r w:rsidRPr="0051407E">
              <w:t>18</w:t>
            </w:r>
            <w:r w:rsidRPr="0085472F">
              <w:rPr>
                <w:lang w:val="en-US"/>
              </w:rPr>
              <w:t>±1,6</w:t>
            </w:r>
          </w:p>
        </w:tc>
        <w:tc>
          <w:tcPr>
            <w:tcW w:w="1151" w:type="dxa"/>
          </w:tcPr>
          <w:p w:rsidR="00AC4C9E" w:rsidRPr="0051407E" w:rsidRDefault="00AC4C9E" w:rsidP="00265E1F">
            <w:pPr>
              <w:jc w:val="center"/>
            </w:pPr>
            <w:r w:rsidRPr="0051407E">
              <w:t>12</w:t>
            </w:r>
            <w:r w:rsidRPr="0085472F">
              <w:rPr>
                <w:lang w:val="en-US"/>
              </w:rPr>
              <w:t>±1,8</w:t>
            </w:r>
          </w:p>
        </w:tc>
      </w:tr>
    </w:tbl>
    <w:p w:rsidR="00AC4C9E" w:rsidRPr="0051407E" w:rsidRDefault="00AC4C9E" w:rsidP="00AC4C9E">
      <w:pPr>
        <w:ind w:firstLine="454"/>
        <w:jc w:val="both"/>
      </w:pPr>
    </w:p>
    <w:p w:rsidR="00AC4C9E" w:rsidRPr="0051407E" w:rsidRDefault="00AC4C9E" w:rsidP="00AC4C9E">
      <w:pPr>
        <w:jc w:val="both"/>
      </w:pPr>
      <w:r w:rsidRPr="0051407E">
        <w:t xml:space="preserve">Использование штаммов в композиции увеличивало их антагонистическую активность против микроорганизмов-мишеней, кроме того, эта активность проявлялась теперь и в отношении как грамотрицательных, так и грамположительных микроорганизмов. Комплекс способен подавлять также и грибки рода </w:t>
      </w:r>
      <w:r w:rsidRPr="0051407E">
        <w:rPr>
          <w:i/>
          <w:lang w:val="en-US"/>
        </w:rPr>
        <w:t>Candida</w:t>
      </w:r>
      <w:r w:rsidRPr="0051407E">
        <w:t xml:space="preserve">. То есть объединение штаммов лактобацилл в консорциум позволяет расширить спектр биологической активности будущего препарата. </w:t>
      </w:r>
    </w:p>
    <w:p w:rsidR="00AC4C9E" w:rsidRPr="00AC4C9E" w:rsidRDefault="00AC4C9E" w:rsidP="00AC4C9E">
      <w:pPr>
        <w:ind w:firstLine="454"/>
        <w:jc w:val="both"/>
      </w:pPr>
      <w:r w:rsidRPr="0051407E">
        <w:t xml:space="preserve">В естественных средах обитания микроорганизмы находятся в условиях смешанных микробных популяций, где они вступают различного рода взаимоотношения друг с другом. Появляются данные, свидетельствующие о возможных изменениях адгезии микроорганизмов в этих условиях. Так, под влиянием одних микроорганизмов цитадгезия других может снижаться. Такое явление объяснимо либо формированием микробного барьера на поверхности клеток макроорганизма, либо конкуренцией за рецепторы для адгезинов. Иногда, наоборот цитадгезия микроорганизмов может усиливаться. Поэтому при создании бактериальных препаратов необходимо проведение исследований по изучению адгезивных свойств исследуемой комбинации лактобацилл в условиях смешанных микробных популяций. В работе использовали культуры стафилококков, сальмонелл, кандид и бифидобактерий. Исследования проводили параллельно при двух различных соотношениях лактобацилл и </w:t>
      </w:r>
      <w:proofErr w:type="gramStart"/>
      <w:r w:rsidRPr="0051407E">
        <w:t>тест-культур</w:t>
      </w:r>
      <w:proofErr w:type="gramEnd"/>
      <w:r w:rsidRPr="0051407E">
        <w:t xml:space="preserve"> 0,1:1; 1:1. В качестве контроля использовали суспензии отдельных микроорганизмов в концентрациях, соответствовавших их концентрации в опытном образце. Результаты по изучению адгезивных свойств исследуемой культуры лактобацилл в условиях смешанных микробных популяций представлены на рисунке 1.</w:t>
      </w:r>
    </w:p>
    <w:p w:rsidR="00AC4C9E" w:rsidRPr="00AC4C9E" w:rsidRDefault="00AC4C9E" w:rsidP="00AC4C9E">
      <w:pPr>
        <w:ind w:firstLine="454"/>
        <w:jc w:val="both"/>
      </w:pPr>
    </w:p>
    <w:p w:rsidR="00AC4C9E" w:rsidRPr="0051407E" w:rsidRDefault="00AC4C9E" w:rsidP="00AC4C9E">
      <w:pPr>
        <w:ind w:firstLine="454"/>
        <w:jc w:val="center"/>
      </w:pPr>
      <w:r>
        <w:rPr>
          <w:noProof/>
        </w:rPr>
        <w:lastRenderedPageBreak/>
        <w:drawing>
          <wp:inline distT="0" distB="0" distL="0" distR="0">
            <wp:extent cx="4536440" cy="217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36440" cy="2172970"/>
                    </a:xfrm>
                    <a:prstGeom prst="rect">
                      <a:avLst/>
                    </a:prstGeom>
                    <a:noFill/>
                    <a:ln w="9525">
                      <a:noFill/>
                      <a:miter lim="800000"/>
                      <a:headEnd/>
                      <a:tailEnd/>
                    </a:ln>
                  </pic:spPr>
                </pic:pic>
              </a:graphicData>
            </a:graphic>
          </wp:inline>
        </w:drawing>
      </w:r>
    </w:p>
    <w:p w:rsidR="00AC4C9E" w:rsidRPr="0051407E" w:rsidRDefault="00AC4C9E" w:rsidP="00AC4C9E">
      <w:pPr>
        <w:ind w:firstLine="454"/>
        <w:jc w:val="center"/>
      </w:pPr>
    </w:p>
    <w:p w:rsidR="00AC4C9E" w:rsidRPr="0051407E" w:rsidRDefault="00AC4C9E" w:rsidP="00AC4C9E">
      <w:pPr>
        <w:ind w:firstLine="454"/>
        <w:jc w:val="center"/>
      </w:pPr>
      <w:r w:rsidRPr="0051407E">
        <w:t xml:space="preserve">Рисунок 1 – Оценка адгезивных свойств </w:t>
      </w:r>
      <w:proofErr w:type="gramStart"/>
      <w:r w:rsidRPr="0051407E">
        <w:t>тест-штаммов</w:t>
      </w:r>
      <w:proofErr w:type="gramEnd"/>
      <w:r w:rsidRPr="0051407E">
        <w:t xml:space="preserve"> после культивирования с пробиотической композицией</w:t>
      </w:r>
    </w:p>
    <w:p w:rsidR="00AC4C9E" w:rsidRPr="0051407E" w:rsidRDefault="00AC4C9E" w:rsidP="00AC4C9E">
      <w:pPr>
        <w:ind w:firstLine="454"/>
        <w:jc w:val="center"/>
      </w:pPr>
    </w:p>
    <w:p w:rsidR="00AC4C9E" w:rsidRPr="0051407E" w:rsidRDefault="00AC4C9E" w:rsidP="00AC4C9E">
      <w:pPr>
        <w:ind w:firstLine="454"/>
        <w:jc w:val="both"/>
      </w:pPr>
      <w:r w:rsidRPr="0051407E">
        <w:t xml:space="preserve">В смешанных популяциях лактобациллы существенно снижали цитадгезию стафилококков при всех изученных соотношениях. Так, например средний показатель адгезии стафилококков в контроле был равен 4,1 в опытных вариантах при соотношении лактобацилл и стафилококков 0,1:1; 1:1 он был равен 2,1; 1,0 соответственно. Аналогичные результаты были получены в смешанных популяциях лактобацилл и кандид. При соотношении </w:t>
      </w:r>
      <w:proofErr w:type="gramStart"/>
      <w:r w:rsidRPr="0051407E">
        <w:t>изучаемых</w:t>
      </w:r>
      <w:proofErr w:type="gramEnd"/>
      <w:r w:rsidRPr="0051407E">
        <w:t xml:space="preserve"> лактобацилл с кандидами в соотношении 0,1:1; 1:1 средний показатель цитадгезии кандид снижался от 2,7 до 0,9. Контроль, при этом составлял 4,5 единицы. Отметим, что СПА сальмонелл был равен 3, а в условиях смешанных популяций при соотношении лактобацилл и сальмонеллами 0,1:1; 1:1 этот показатель у </w:t>
      </w:r>
      <w:proofErr w:type="gramStart"/>
      <w:r w:rsidRPr="0051407E">
        <w:t>данной</w:t>
      </w:r>
      <w:proofErr w:type="gramEnd"/>
      <w:r w:rsidRPr="0051407E">
        <w:t xml:space="preserve"> тест-культуры снижался и был равен соответственно 2; 0,5. Цитадгезия бифидобактерий в смешанных популяциях оставалась на уровне контроля во всех изученных вариантах.</w:t>
      </w:r>
    </w:p>
    <w:p w:rsidR="00AC4C9E" w:rsidRPr="0051407E" w:rsidRDefault="00AC4C9E" w:rsidP="00AC4C9E">
      <w:pPr>
        <w:ind w:firstLine="454"/>
        <w:jc w:val="both"/>
      </w:pPr>
      <w:r w:rsidRPr="0051407E">
        <w:t xml:space="preserve">Поскольку совместное применение трехкомпонентной пробиотической композиции снижает цитадгезию таких культур, как </w:t>
      </w:r>
      <w:r w:rsidRPr="0051407E">
        <w:rPr>
          <w:i/>
          <w:lang w:val="en-US"/>
        </w:rPr>
        <w:t>S</w:t>
      </w:r>
      <w:r w:rsidRPr="0051407E">
        <w:rPr>
          <w:i/>
        </w:rPr>
        <w:t>.</w:t>
      </w:r>
      <w:r w:rsidRPr="0051407E">
        <w:rPr>
          <w:i/>
          <w:lang w:val="en-US"/>
        </w:rPr>
        <w:t>typhimurium</w:t>
      </w:r>
      <w:r w:rsidRPr="0051407E">
        <w:rPr>
          <w:i/>
        </w:rPr>
        <w:t xml:space="preserve">, </w:t>
      </w:r>
      <w:r w:rsidRPr="0051407E">
        <w:rPr>
          <w:i/>
          <w:lang w:val="en-US"/>
        </w:rPr>
        <w:t>S</w:t>
      </w:r>
      <w:r w:rsidRPr="0051407E">
        <w:rPr>
          <w:i/>
        </w:rPr>
        <w:t>.</w:t>
      </w:r>
      <w:r w:rsidRPr="0051407E">
        <w:rPr>
          <w:i/>
          <w:lang w:val="en-US"/>
        </w:rPr>
        <w:t>aureus</w:t>
      </w:r>
      <w:r w:rsidRPr="0051407E">
        <w:rPr>
          <w:i/>
        </w:rPr>
        <w:t xml:space="preserve"> </w:t>
      </w:r>
      <w:r w:rsidRPr="0051407E">
        <w:t>и</w:t>
      </w:r>
      <w:r w:rsidRPr="0051407E">
        <w:rPr>
          <w:i/>
        </w:rPr>
        <w:t xml:space="preserve"> </w:t>
      </w:r>
      <w:r w:rsidRPr="0051407E">
        <w:rPr>
          <w:i/>
          <w:lang w:val="en-US"/>
        </w:rPr>
        <w:t>C</w:t>
      </w:r>
      <w:r w:rsidRPr="0051407E">
        <w:rPr>
          <w:i/>
        </w:rPr>
        <w:t>.</w:t>
      </w:r>
      <w:r w:rsidRPr="0051407E">
        <w:rPr>
          <w:i/>
          <w:lang w:val="en-US"/>
        </w:rPr>
        <w:t>albicans</w:t>
      </w:r>
      <w:r w:rsidRPr="0051407E">
        <w:t>, не изменяя при этом цитадгезии бифидобактерий, совместное использование штаммов в композиции позволяет существенно снижать адгезивные свойства патогенных и условно-патогенных бактерий.</w:t>
      </w:r>
    </w:p>
    <w:p w:rsidR="00AC4C9E" w:rsidRPr="0051407E" w:rsidRDefault="00AC4C9E" w:rsidP="00AC4C9E">
      <w:pPr>
        <w:pStyle w:val="a9"/>
        <w:ind w:left="0" w:right="0" w:firstLine="454"/>
        <w:rPr>
          <w:sz w:val="24"/>
          <w:szCs w:val="24"/>
        </w:rPr>
      </w:pPr>
      <w:r w:rsidRPr="0051407E">
        <w:rPr>
          <w:sz w:val="24"/>
          <w:szCs w:val="24"/>
        </w:rPr>
        <w:t>Таким образом, полученная пробиотическая композиция обладает биосовместимостью, а объединение штаммов лактобацилл в композизию позволяет расширить спектр и уровень их антагонистической активности.</w:t>
      </w:r>
    </w:p>
    <w:p w:rsidR="00AC4C9E" w:rsidRPr="0051407E" w:rsidRDefault="00AC4C9E" w:rsidP="00AC4C9E">
      <w:pPr>
        <w:pStyle w:val="aa"/>
        <w:widowControl w:val="0"/>
        <w:ind w:firstLine="0"/>
        <w:rPr>
          <w:b w:val="0"/>
          <w:sz w:val="24"/>
          <w:szCs w:val="24"/>
        </w:rPr>
      </w:pPr>
    </w:p>
    <w:p w:rsidR="00AC4C9E" w:rsidRPr="0051407E" w:rsidRDefault="00AC4C9E" w:rsidP="00AC4C9E">
      <w:pPr>
        <w:pStyle w:val="aa"/>
        <w:widowControl w:val="0"/>
        <w:ind w:firstLine="0"/>
        <w:rPr>
          <w:b w:val="0"/>
          <w:sz w:val="24"/>
          <w:szCs w:val="24"/>
        </w:rPr>
      </w:pPr>
      <w:r w:rsidRPr="0051407E">
        <w:rPr>
          <w:b w:val="0"/>
          <w:sz w:val="24"/>
          <w:szCs w:val="24"/>
        </w:rPr>
        <w:t>Литература</w:t>
      </w:r>
    </w:p>
    <w:p w:rsidR="00AC4C9E" w:rsidRPr="0051407E" w:rsidRDefault="00AC4C9E" w:rsidP="00AC4C9E">
      <w:pPr>
        <w:pStyle w:val="a9"/>
        <w:ind w:left="0" w:right="0" w:firstLine="0"/>
        <w:rPr>
          <w:sz w:val="24"/>
          <w:szCs w:val="24"/>
        </w:rPr>
      </w:pPr>
    </w:p>
    <w:p w:rsidR="00AC4C9E" w:rsidRPr="0051407E" w:rsidRDefault="00AC4C9E" w:rsidP="00AC4C9E">
      <w:pPr>
        <w:jc w:val="both"/>
      </w:pPr>
      <w:r w:rsidRPr="0051407E">
        <w:t xml:space="preserve">1 Шендеров Б.А. Медицинская микробная экология и функциональное питание. Микрофлора человека и животных и ее функции. – Грантъ. - 1998. – Т.1. – 280 с. </w:t>
      </w:r>
    </w:p>
    <w:p w:rsidR="00AC4C9E" w:rsidRPr="0051407E" w:rsidRDefault="00AC4C9E" w:rsidP="00AC4C9E">
      <w:pPr>
        <w:jc w:val="both"/>
      </w:pPr>
      <w:r w:rsidRPr="0051407E">
        <w:t>2 Михайлова, Т.Л., Калинская Т.Ю., Румянцев В.Г. Биопрепараты и пищевые добавки в коррекции дисбактериоза // Рос</w:t>
      </w:r>
      <w:proofErr w:type="gramStart"/>
      <w:r w:rsidRPr="0051407E">
        <w:t>.</w:t>
      </w:r>
      <w:proofErr w:type="gramEnd"/>
      <w:r w:rsidRPr="0051407E">
        <w:t xml:space="preserve"> </w:t>
      </w:r>
      <w:proofErr w:type="gramStart"/>
      <w:r w:rsidRPr="0051407E">
        <w:t>ж</w:t>
      </w:r>
      <w:proofErr w:type="gramEnd"/>
      <w:r w:rsidRPr="0051407E">
        <w:t>урн. гастроэнтерол, гепатол, колопроктол. – 1999. - Т.9, №3. - С. 67-70.</w:t>
      </w:r>
    </w:p>
    <w:p w:rsidR="00AC4C9E" w:rsidRPr="00AC4C9E" w:rsidRDefault="00AC4C9E" w:rsidP="00AC4C9E">
      <w:pPr>
        <w:jc w:val="both"/>
        <w:rPr>
          <w:lang w:val="en-US"/>
        </w:rPr>
      </w:pPr>
      <w:r w:rsidRPr="0051407E">
        <w:rPr>
          <w:lang w:val="en-US"/>
        </w:rPr>
        <w:t xml:space="preserve">3 Ishibashi N., Yamazaki S. Probiotics and safety // Am. J. of Clin. </w:t>
      </w:r>
      <w:proofErr w:type="gramStart"/>
      <w:r w:rsidRPr="0051407E">
        <w:rPr>
          <w:lang w:val="en-US"/>
        </w:rPr>
        <w:t>Nutr</w:t>
      </w:r>
      <w:r w:rsidRPr="00AC4C9E">
        <w:rPr>
          <w:lang w:val="en-US"/>
        </w:rPr>
        <w:t>.</w:t>
      </w:r>
      <w:proofErr w:type="gramEnd"/>
      <w:r w:rsidRPr="00AC4C9E">
        <w:rPr>
          <w:lang w:val="en-US"/>
        </w:rPr>
        <w:t xml:space="preserve">  – 2001. – </w:t>
      </w:r>
      <w:r w:rsidRPr="0051407E">
        <w:rPr>
          <w:lang w:val="en-US"/>
        </w:rPr>
        <w:t>Vol</w:t>
      </w:r>
      <w:r w:rsidRPr="00AC4C9E">
        <w:rPr>
          <w:lang w:val="en-US"/>
        </w:rPr>
        <w:t xml:space="preserve">. 73, № 2. – </w:t>
      </w:r>
      <w:r w:rsidRPr="0051407E">
        <w:rPr>
          <w:lang w:val="en-US"/>
        </w:rPr>
        <w:t>P</w:t>
      </w:r>
      <w:r w:rsidRPr="00AC4C9E">
        <w:rPr>
          <w:lang w:val="en-US"/>
        </w:rPr>
        <w:t>. 465-470.</w:t>
      </w:r>
    </w:p>
    <w:p w:rsidR="00AC4C9E" w:rsidRPr="00AC4C9E" w:rsidRDefault="00AC4C9E" w:rsidP="00AC4C9E">
      <w:pPr>
        <w:jc w:val="both"/>
        <w:rPr>
          <w:lang w:val="en-US"/>
        </w:rPr>
      </w:pPr>
      <w:proofErr w:type="gramStart"/>
      <w:r w:rsidRPr="0051407E">
        <w:rPr>
          <w:lang w:val="en-US"/>
        </w:rPr>
        <w:t>4 Dunne C., O`Mahony L., Murphy L. et al.</w:t>
      </w:r>
      <w:proofErr w:type="gramEnd"/>
      <w:r w:rsidRPr="0051407E">
        <w:rPr>
          <w:lang w:val="en-US"/>
        </w:rPr>
        <w:t xml:space="preserve"> In vitro selection </w:t>
      </w:r>
      <w:proofErr w:type="gramStart"/>
      <w:r w:rsidRPr="0051407E">
        <w:rPr>
          <w:lang w:val="en-US"/>
        </w:rPr>
        <w:t>criteria  for</w:t>
      </w:r>
      <w:proofErr w:type="gramEnd"/>
      <w:r w:rsidRPr="0051407E">
        <w:rPr>
          <w:lang w:val="en-US"/>
        </w:rPr>
        <w:t xml:space="preserve"> probiotic bacteria of human origin: correlation with in vivo findings // American Journals of Clinic Nutrition. – 2001. – Vol. 73, № 2. – P. 386-392.</w:t>
      </w:r>
    </w:p>
    <w:p w:rsidR="00AC4C9E" w:rsidRPr="0051407E" w:rsidRDefault="00AC4C9E" w:rsidP="00AC4C9E">
      <w:pPr>
        <w:jc w:val="both"/>
      </w:pPr>
      <w:r w:rsidRPr="0051407E">
        <w:t>5 Шевелева С.А. Пробиотики, пребиотики и пробиотические продукты. Современное состояние вопроса // Вопросы питания. – 1999. - №2. – С. 32-40.</w:t>
      </w:r>
    </w:p>
    <w:p w:rsidR="00AC4C9E" w:rsidRPr="0051407E" w:rsidRDefault="00AC4C9E" w:rsidP="00AC4C9E">
      <w:pPr>
        <w:jc w:val="both"/>
      </w:pPr>
      <w:r w:rsidRPr="0051407E">
        <w:t xml:space="preserve">6 Ганина В.И., Лысенко А.М., Гурьева Ю.В., Калинина Н.Ф. Изучение антагонистической активности и идентификация бифидобактерий и молочнокислых палочек, рекомендуемых </w:t>
      </w:r>
      <w:r w:rsidRPr="0051407E">
        <w:lastRenderedPageBreak/>
        <w:t>для получения продуктов лечебно-профилактического назначения и пробиотиков // Биотехнология. – 1999. – № 2. – С. 15-21.</w:t>
      </w:r>
    </w:p>
    <w:p w:rsidR="00AC4C9E" w:rsidRPr="0051407E" w:rsidRDefault="00AC4C9E" w:rsidP="00AC4C9E">
      <w:pPr>
        <w:jc w:val="both"/>
      </w:pPr>
      <w:r w:rsidRPr="0051407E">
        <w:rPr>
          <w:bCs/>
        </w:rPr>
        <w:t>7 Глушанова Н.А., Блинова А.И., Бахаева В.В.</w:t>
      </w:r>
      <w:r w:rsidRPr="0051407E">
        <w:t xml:space="preserve"> Об антагонизме пробиотических лактобацилл // Эпидемиология и инфекционные болезни. – 2004. - № 6. – С. 37-39. </w:t>
      </w:r>
    </w:p>
    <w:p w:rsidR="00AC4C9E" w:rsidRPr="0051407E" w:rsidRDefault="00AC4C9E" w:rsidP="00AC4C9E">
      <w:pPr>
        <w:pStyle w:val="a9"/>
        <w:tabs>
          <w:tab w:val="left" w:pos="851"/>
        </w:tabs>
        <w:autoSpaceDE w:val="0"/>
        <w:autoSpaceDN w:val="0"/>
        <w:ind w:left="0" w:right="0" w:firstLine="0"/>
        <w:rPr>
          <w:sz w:val="24"/>
          <w:szCs w:val="24"/>
        </w:rPr>
      </w:pPr>
      <w:r w:rsidRPr="0051407E">
        <w:rPr>
          <w:sz w:val="24"/>
          <w:szCs w:val="24"/>
        </w:rPr>
        <w:t xml:space="preserve">8 Брилис В.И., Брилене Т.А., Ленцнер Х.П., Ленцнер А.А. Методика изучения адгезивного процесса микроорганизмов // Лаб. дело. – 1986. - № 4. – С. 211-212. </w:t>
      </w:r>
    </w:p>
    <w:p w:rsidR="00AC4C9E" w:rsidRPr="0051407E" w:rsidRDefault="00AC4C9E" w:rsidP="00AC4C9E">
      <w:pPr>
        <w:tabs>
          <w:tab w:val="left" w:pos="142"/>
        </w:tabs>
        <w:jc w:val="both"/>
      </w:pPr>
      <w:r w:rsidRPr="0051407E">
        <w:rPr>
          <w:bCs/>
        </w:rPr>
        <w:t>9 Гизатулина С.С., Биргер М.О., Кулинич Л.И., Фиш Н.Г., Мазитова О.П., Бирюкова Н.В.</w:t>
      </w:r>
      <w:r w:rsidRPr="0051407E">
        <w:t xml:space="preserve"> Способ </w:t>
      </w:r>
      <w:proofErr w:type="gramStart"/>
      <w:r w:rsidRPr="0051407E">
        <w:t>оценки состояния микрофлоры кишечника человека</w:t>
      </w:r>
      <w:proofErr w:type="gramEnd"/>
      <w:r w:rsidRPr="0051407E">
        <w:t xml:space="preserve"> по количеству адгезивно-активных бактерий и типу адгезинов // ЖМЭИ. – 1991. – № 4. – С. 21-23. </w:t>
      </w:r>
    </w:p>
    <w:p w:rsidR="00AC4C9E" w:rsidRPr="0051407E" w:rsidRDefault="00AC4C9E" w:rsidP="00AC4C9E">
      <w:r w:rsidRPr="0051407E">
        <w:rPr>
          <w:lang w:val="kk-KZ"/>
        </w:rPr>
        <w:t>10</w:t>
      </w:r>
      <w:r w:rsidRPr="0051407E">
        <w:t xml:space="preserve"> Блинкова Л.П. Бактериоцины: критерии, классификация, свойства, методы выявления // ЖМЭИ. – 2003. - № 3. – С. 109-113.</w:t>
      </w:r>
    </w:p>
    <w:p w:rsidR="00AC4C9E" w:rsidRPr="0051407E" w:rsidRDefault="00AC4C9E" w:rsidP="00AC4C9E">
      <w:r w:rsidRPr="0051407E">
        <w:rPr>
          <w:lang w:val="kk-KZ"/>
        </w:rPr>
        <w:t>11</w:t>
      </w:r>
      <w:r w:rsidRPr="00AC4C9E">
        <w:rPr>
          <w:lang w:val="en-US"/>
        </w:rPr>
        <w:t xml:space="preserve"> </w:t>
      </w:r>
      <w:r w:rsidRPr="0051407E">
        <w:rPr>
          <w:lang w:val="en-US"/>
        </w:rPr>
        <w:t>Parente</w:t>
      </w:r>
      <w:r w:rsidRPr="00AC4C9E">
        <w:rPr>
          <w:lang w:val="en-US"/>
        </w:rPr>
        <w:t xml:space="preserve"> </w:t>
      </w:r>
      <w:r w:rsidRPr="0051407E">
        <w:rPr>
          <w:lang w:val="en-US"/>
        </w:rPr>
        <w:t>E</w:t>
      </w:r>
      <w:r w:rsidRPr="00AC4C9E">
        <w:rPr>
          <w:lang w:val="en-US"/>
        </w:rPr>
        <w:t xml:space="preserve">., </w:t>
      </w:r>
      <w:r w:rsidRPr="0051407E">
        <w:rPr>
          <w:lang w:val="en-US"/>
        </w:rPr>
        <w:t>Ricciardi</w:t>
      </w:r>
      <w:r w:rsidRPr="00AC4C9E">
        <w:rPr>
          <w:lang w:val="en-US"/>
        </w:rPr>
        <w:t xml:space="preserve"> </w:t>
      </w:r>
      <w:r w:rsidRPr="0051407E">
        <w:rPr>
          <w:lang w:val="en-US"/>
        </w:rPr>
        <w:t>A</w:t>
      </w:r>
      <w:r w:rsidRPr="00AC4C9E">
        <w:rPr>
          <w:lang w:val="en-US"/>
        </w:rPr>
        <w:t xml:space="preserve">. </w:t>
      </w:r>
      <w:r w:rsidRPr="0051407E">
        <w:rPr>
          <w:lang w:val="en-US"/>
        </w:rPr>
        <w:t>Production</w:t>
      </w:r>
      <w:r w:rsidRPr="00AC4C9E">
        <w:rPr>
          <w:lang w:val="en-US"/>
        </w:rPr>
        <w:t xml:space="preserve">, </w:t>
      </w:r>
      <w:r w:rsidRPr="0051407E">
        <w:rPr>
          <w:lang w:val="en-US"/>
        </w:rPr>
        <w:t>recovery</w:t>
      </w:r>
      <w:r w:rsidRPr="00AC4C9E">
        <w:rPr>
          <w:lang w:val="en-US"/>
        </w:rPr>
        <w:t xml:space="preserve"> </w:t>
      </w:r>
      <w:r w:rsidRPr="0051407E">
        <w:rPr>
          <w:lang w:val="en-US"/>
        </w:rPr>
        <w:t>and</w:t>
      </w:r>
      <w:r w:rsidRPr="00AC4C9E">
        <w:rPr>
          <w:lang w:val="en-US"/>
        </w:rPr>
        <w:t xml:space="preserve"> </w:t>
      </w:r>
      <w:r w:rsidRPr="0051407E">
        <w:rPr>
          <w:lang w:val="en-US"/>
        </w:rPr>
        <w:t>purification</w:t>
      </w:r>
      <w:r w:rsidRPr="00AC4C9E">
        <w:rPr>
          <w:lang w:val="en-US"/>
        </w:rPr>
        <w:t xml:space="preserve"> </w:t>
      </w:r>
      <w:r w:rsidRPr="0051407E">
        <w:rPr>
          <w:lang w:val="en-US"/>
        </w:rPr>
        <w:t>of</w:t>
      </w:r>
      <w:r w:rsidRPr="00AC4C9E">
        <w:rPr>
          <w:lang w:val="en-US"/>
        </w:rPr>
        <w:t xml:space="preserve"> </w:t>
      </w:r>
      <w:r w:rsidRPr="0051407E">
        <w:rPr>
          <w:lang w:val="en-US"/>
        </w:rPr>
        <w:t>bacteriocins</w:t>
      </w:r>
      <w:r w:rsidRPr="00AC4C9E">
        <w:rPr>
          <w:lang w:val="en-US"/>
        </w:rPr>
        <w:t xml:space="preserve"> </w:t>
      </w:r>
      <w:r w:rsidRPr="0051407E">
        <w:rPr>
          <w:lang w:val="en-US"/>
        </w:rPr>
        <w:t>from</w:t>
      </w:r>
      <w:r w:rsidRPr="00AC4C9E">
        <w:rPr>
          <w:lang w:val="en-US"/>
        </w:rPr>
        <w:t xml:space="preserve"> </w:t>
      </w:r>
      <w:r w:rsidRPr="0051407E">
        <w:rPr>
          <w:lang w:val="en-US"/>
        </w:rPr>
        <w:t>lactic</w:t>
      </w:r>
      <w:r w:rsidRPr="00AC4C9E">
        <w:rPr>
          <w:lang w:val="en-US"/>
        </w:rPr>
        <w:t xml:space="preserve"> </w:t>
      </w:r>
      <w:r w:rsidRPr="0051407E">
        <w:rPr>
          <w:lang w:val="en-US"/>
        </w:rPr>
        <w:t>acid</w:t>
      </w:r>
      <w:r w:rsidRPr="00AC4C9E">
        <w:rPr>
          <w:lang w:val="en-US"/>
        </w:rPr>
        <w:t xml:space="preserve"> </w:t>
      </w:r>
      <w:r w:rsidRPr="0051407E">
        <w:rPr>
          <w:lang w:val="en-US"/>
        </w:rPr>
        <w:t>bacteria</w:t>
      </w:r>
      <w:r w:rsidRPr="00AC4C9E">
        <w:rPr>
          <w:lang w:val="en-US"/>
        </w:rPr>
        <w:t xml:space="preserve"> // </w:t>
      </w:r>
      <w:r w:rsidRPr="0051407E">
        <w:rPr>
          <w:lang w:val="en-US"/>
        </w:rPr>
        <w:t>Appl</w:t>
      </w:r>
      <w:r w:rsidRPr="00AC4C9E">
        <w:rPr>
          <w:lang w:val="en-US"/>
        </w:rPr>
        <w:t xml:space="preserve">. </w:t>
      </w:r>
      <w:r w:rsidRPr="0051407E">
        <w:rPr>
          <w:lang w:val="en-US"/>
        </w:rPr>
        <w:t>Microbiol</w:t>
      </w:r>
      <w:r w:rsidRPr="0051407E">
        <w:t xml:space="preserve">. </w:t>
      </w:r>
      <w:proofErr w:type="gramStart"/>
      <w:r w:rsidRPr="0051407E">
        <w:rPr>
          <w:lang w:val="en-US"/>
        </w:rPr>
        <w:t>Biotechnol</w:t>
      </w:r>
      <w:r w:rsidRPr="0051407E">
        <w:t>.</w:t>
      </w:r>
      <w:proofErr w:type="gramEnd"/>
      <w:r w:rsidRPr="0051407E">
        <w:t xml:space="preserve"> – 1999. – </w:t>
      </w:r>
      <w:proofErr w:type="gramStart"/>
      <w:r w:rsidRPr="0051407E">
        <w:rPr>
          <w:lang w:val="en-US"/>
        </w:rPr>
        <w:t>Vol</w:t>
      </w:r>
      <w:r w:rsidRPr="0051407E">
        <w:t>. 52.</w:t>
      </w:r>
      <w:proofErr w:type="gramEnd"/>
      <w:r w:rsidRPr="0051407E">
        <w:t xml:space="preserve"> – </w:t>
      </w:r>
      <w:r w:rsidRPr="0051407E">
        <w:rPr>
          <w:lang w:val="en-US"/>
        </w:rPr>
        <w:t>P</w:t>
      </w:r>
      <w:r w:rsidRPr="0051407E">
        <w:t>. 628-638.</w:t>
      </w:r>
    </w:p>
    <w:p w:rsidR="00AC4C9E" w:rsidRPr="0051407E" w:rsidRDefault="00AC4C9E" w:rsidP="00AC4C9E">
      <w:pPr>
        <w:tabs>
          <w:tab w:val="left" w:pos="142"/>
        </w:tabs>
        <w:jc w:val="both"/>
      </w:pPr>
      <w:r w:rsidRPr="0051407E">
        <w:rPr>
          <w:rFonts w:eastAsia="Batang"/>
          <w:bCs/>
          <w:lang w:eastAsia="ko-KR"/>
        </w:rPr>
        <w:t>12 Коваленко Н.К., Подгорский В.С., Касумова С.А.</w:t>
      </w:r>
      <w:r w:rsidRPr="0051407E">
        <w:rPr>
          <w:rFonts w:eastAsia="Batang"/>
          <w:lang w:eastAsia="ko-KR"/>
        </w:rPr>
        <w:t xml:space="preserve"> Адгезия молочнокислых бактерий к эпителию различных полостей организма человека // Микробиол. журн. – 2004. – Т. 66, №4. – С. 62-68. </w:t>
      </w:r>
    </w:p>
    <w:p w:rsidR="00AC4C9E" w:rsidRPr="00AC4C9E" w:rsidRDefault="00AC4C9E" w:rsidP="00AC4C9E">
      <w:pPr>
        <w:keepNext/>
        <w:keepLines/>
        <w:jc w:val="both"/>
        <w:rPr>
          <w:b/>
          <w:bCs/>
        </w:rPr>
      </w:pPr>
    </w:p>
    <w:p w:rsidR="00AC4C9E" w:rsidRPr="0085472F" w:rsidRDefault="00AC4C9E" w:rsidP="00AC4C9E">
      <w:pPr>
        <w:jc w:val="center"/>
        <w:rPr>
          <w:b/>
          <w:lang w:val="kk-KZ"/>
        </w:rPr>
      </w:pPr>
      <w:r w:rsidRPr="0085472F">
        <w:rPr>
          <w:b/>
          <w:lang w:val="kk-KZ"/>
        </w:rPr>
        <w:t>Түйін</w:t>
      </w:r>
    </w:p>
    <w:p w:rsidR="00AC4C9E" w:rsidRPr="0085472F" w:rsidRDefault="00AC4C9E" w:rsidP="00AC4C9E">
      <w:pPr>
        <w:ind w:firstLine="600"/>
        <w:jc w:val="both"/>
        <w:rPr>
          <w:lang w:val="kk-KZ"/>
        </w:rPr>
      </w:pPr>
      <w:r w:rsidRPr="0085472F">
        <w:rPr>
          <w:lang w:val="kk-KZ"/>
        </w:rPr>
        <w:t xml:space="preserve">Биологиялық және технологиялық лактобацилла штаммдарының сәйкестілігі анықталады. Үш штаммнан құралатын композиция </w:t>
      </w:r>
      <w:r w:rsidRPr="0085472F">
        <w:rPr>
          <w:i/>
          <w:lang w:val="kk-KZ"/>
        </w:rPr>
        <w:t>L.fermentum</w:t>
      </w:r>
      <w:r w:rsidRPr="0085472F">
        <w:rPr>
          <w:lang w:val="kk-KZ"/>
        </w:rPr>
        <w:t xml:space="preserve"> AK-2R, </w:t>
      </w:r>
      <w:r w:rsidRPr="0085472F">
        <w:rPr>
          <w:i/>
          <w:lang w:val="kk-KZ"/>
        </w:rPr>
        <w:t>L.acidophilus</w:t>
      </w:r>
      <w:r w:rsidRPr="0085472F">
        <w:rPr>
          <w:lang w:val="kk-KZ"/>
        </w:rPr>
        <w:t xml:space="preserve"> AA-1,  </w:t>
      </w:r>
      <w:r w:rsidRPr="0085472F">
        <w:rPr>
          <w:i/>
          <w:lang w:val="kk-KZ"/>
        </w:rPr>
        <w:t>L.plantarum</w:t>
      </w:r>
      <w:r w:rsidRPr="0085472F">
        <w:rPr>
          <w:lang w:val="kk-KZ"/>
        </w:rPr>
        <w:t xml:space="preserve"> AP-1 жасалынды. Композицияға үш штамм кірді, олар антагонисттік бейсенділігімен ерекшеленеді. Пробиотикалық консорциум қабілеттілігін кеңейтеді.</w:t>
      </w:r>
    </w:p>
    <w:p w:rsidR="00AC4C9E" w:rsidRPr="00AC4C9E" w:rsidRDefault="00AC4C9E" w:rsidP="00AC4C9E">
      <w:pPr>
        <w:rPr>
          <w:lang w:val="kk-KZ"/>
        </w:rPr>
      </w:pPr>
    </w:p>
    <w:p w:rsidR="00AC4C9E" w:rsidRPr="0085472F" w:rsidRDefault="00AC4C9E" w:rsidP="00AC4C9E">
      <w:pPr>
        <w:jc w:val="center"/>
        <w:rPr>
          <w:b/>
          <w:lang w:val="en-US"/>
        </w:rPr>
      </w:pPr>
      <w:r w:rsidRPr="0085472F">
        <w:rPr>
          <w:b/>
          <w:lang w:val="en-US"/>
        </w:rPr>
        <w:t>Summary</w:t>
      </w:r>
    </w:p>
    <w:p w:rsidR="00AC4C9E" w:rsidRPr="0085472F" w:rsidRDefault="00AC4C9E" w:rsidP="00AC4C9E">
      <w:pPr>
        <w:ind w:firstLine="600"/>
        <w:jc w:val="both"/>
        <w:rPr>
          <w:lang w:val="en-US"/>
        </w:rPr>
      </w:pPr>
      <w:r w:rsidRPr="0085472F">
        <w:rPr>
          <w:lang w:val="en-US"/>
        </w:rPr>
        <w:t xml:space="preserve">In the result of doing work has appointed determinant biological and technological compatibly of 3 lactobacillus strains. Was composed the composition of 3 lactobacillus strains: composition </w:t>
      </w:r>
      <w:r w:rsidRPr="0085472F">
        <w:rPr>
          <w:i/>
          <w:lang w:val="kk-KZ"/>
        </w:rPr>
        <w:t>L.fermentum</w:t>
      </w:r>
      <w:r w:rsidRPr="0085472F">
        <w:rPr>
          <w:lang w:val="kk-KZ"/>
        </w:rPr>
        <w:t xml:space="preserve"> AK-2R, </w:t>
      </w:r>
      <w:r w:rsidRPr="0085472F">
        <w:rPr>
          <w:i/>
          <w:lang w:val="kk-KZ"/>
        </w:rPr>
        <w:t>L.acidophilus</w:t>
      </w:r>
      <w:r w:rsidRPr="0085472F">
        <w:rPr>
          <w:lang w:val="kk-KZ"/>
        </w:rPr>
        <w:t xml:space="preserve"> AA-1</w:t>
      </w:r>
      <w:proofErr w:type="gramStart"/>
      <w:r w:rsidRPr="0085472F">
        <w:rPr>
          <w:lang w:val="kk-KZ"/>
        </w:rPr>
        <w:t xml:space="preserve">,  </w:t>
      </w:r>
      <w:r w:rsidRPr="0085472F">
        <w:rPr>
          <w:i/>
          <w:lang w:val="kk-KZ"/>
        </w:rPr>
        <w:t>L.plantarum</w:t>
      </w:r>
      <w:proofErr w:type="gramEnd"/>
      <w:r w:rsidRPr="0085472F">
        <w:rPr>
          <w:lang w:val="kk-KZ"/>
        </w:rPr>
        <w:t xml:space="preserve"> AP-1</w:t>
      </w:r>
      <w:r w:rsidRPr="0085472F">
        <w:rPr>
          <w:lang w:val="en-US"/>
        </w:rPr>
        <w:t>. Strains of which differentiated for antagonistic activity was extensions in composition. It extend spectrum of consortium probiotical effect.</w:t>
      </w:r>
    </w:p>
    <w:p w:rsidR="009F6791" w:rsidRDefault="009F6791"/>
    <w:sectPr w:rsidR="009F6791" w:rsidSect="00514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AC4C9E"/>
    <w:rsid w:val="009F6791"/>
    <w:rsid w:val="00AC4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9E"/>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AC4C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C4C9E"/>
    <w:rPr>
      <w:rFonts w:ascii="Arial" w:eastAsia="Times New Roman" w:hAnsi="Arial" w:cs="Arial"/>
      <w:lang w:eastAsia="ru-RU"/>
    </w:rPr>
  </w:style>
  <w:style w:type="paragraph" w:styleId="2">
    <w:name w:val="Body Text 2"/>
    <w:basedOn w:val="a"/>
    <w:link w:val="20"/>
    <w:rsid w:val="00AC4C9E"/>
    <w:pPr>
      <w:spacing w:after="120" w:line="480" w:lineRule="auto"/>
    </w:pPr>
  </w:style>
  <w:style w:type="character" w:customStyle="1" w:styleId="20">
    <w:name w:val="Основной текст 2 Знак"/>
    <w:basedOn w:val="a0"/>
    <w:link w:val="2"/>
    <w:rsid w:val="00AC4C9E"/>
    <w:rPr>
      <w:rFonts w:ascii="Times New Roman" w:eastAsia="Times New Roman" w:hAnsi="Times New Roman" w:cs="Times New Roman"/>
      <w:sz w:val="24"/>
      <w:szCs w:val="24"/>
      <w:lang w:eastAsia="ru-RU"/>
    </w:rPr>
  </w:style>
  <w:style w:type="paragraph" w:styleId="a3">
    <w:name w:val="Body Text"/>
    <w:basedOn w:val="a"/>
    <w:link w:val="a4"/>
    <w:rsid w:val="00AC4C9E"/>
    <w:pPr>
      <w:spacing w:after="120"/>
    </w:pPr>
  </w:style>
  <w:style w:type="character" w:customStyle="1" w:styleId="a4">
    <w:name w:val="Основной текст Знак"/>
    <w:basedOn w:val="a0"/>
    <w:link w:val="a3"/>
    <w:rsid w:val="00AC4C9E"/>
    <w:rPr>
      <w:rFonts w:ascii="Times New Roman" w:eastAsia="Times New Roman" w:hAnsi="Times New Roman" w:cs="Times New Roman"/>
      <w:sz w:val="24"/>
      <w:szCs w:val="24"/>
      <w:lang w:eastAsia="ru-RU"/>
    </w:rPr>
  </w:style>
  <w:style w:type="paragraph" w:styleId="a5">
    <w:name w:val="footer"/>
    <w:basedOn w:val="a"/>
    <w:link w:val="a6"/>
    <w:rsid w:val="00AC4C9E"/>
    <w:pPr>
      <w:tabs>
        <w:tab w:val="center" w:pos="4677"/>
        <w:tab w:val="right" w:pos="9355"/>
      </w:tabs>
    </w:pPr>
    <w:rPr>
      <w:rFonts w:eastAsia="Batang"/>
      <w:sz w:val="20"/>
      <w:szCs w:val="20"/>
    </w:rPr>
  </w:style>
  <w:style w:type="character" w:customStyle="1" w:styleId="a6">
    <w:name w:val="Нижний колонтитул Знак"/>
    <w:basedOn w:val="a0"/>
    <w:link w:val="a5"/>
    <w:rsid w:val="00AC4C9E"/>
    <w:rPr>
      <w:rFonts w:ascii="Times New Roman" w:eastAsia="Batang" w:hAnsi="Times New Roman" w:cs="Times New Roman"/>
      <w:sz w:val="20"/>
      <w:szCs w:val="20"/>
      <w:lang w:eastAsia="ru-RU"/>
    </w:rPr>
  </w:style>
  <w:style w:type="paragraph" w:styleId="a7">
    <w:name w:val="Body Text Indent"/>
    <w:basedOn w:val="a"/>
    <w:link w:val="a8"/>
    <w:rsid w:val="00AC4C9E"/>
    <w:pPr>
      <w:spacing w:after="120"/>
      <w:ind w:left="283"/>
    </w:pPr>
    <w:rPr>
      <w:rFonts w:eastAsia="Batang"/>
      <w:sz w:val="20"/>
      <w:szCs w:val="20"/>
    </w:rPr>
  </w:style>
  <w:style w:type="character" w:customStyle="1" w:styleId="a8">
    <w:name w:val="Основной текст с отступом Знак"/>
    <w:basedOn w:val="a0"/>
    <w:link w:val="a7"/>
    <w:rsid w:val="00AC4C9E"/>
    <w:rPr>
      <w:rFonts w:ascii="Times New Roman" w:eastAsia="Batang" w:hAnsi="Times New Roman" w:cs="Times New Roman"/>
      <w:sz w:val="20"/>
      <w:szCs w:val="20"/>
      <w:lang w:eastAsia="ru-RU"/>
    </w:rPr>
  </w:style>
  <w:style w:type="paragraph" w:styleId="a9">
    <w:name w:val="Block Text"/>
    <w:basedOn w:val="a"/>
    <w:rsid w:val="00AC4C9E"/>
    <w:pPr>
      <w:ind w:left="-567" w:right="-766" w:firstLine="567"/>
      <w:jc w:val="both"/>
    </w:pPr>
    <w:rPr>
      <w:rFonts w:eastAsia="Batang"/>
      <w:sz w:val="28"/>
      <w:szCs w:val="20"/>
    </w:rPr>
  </w:style>
  <w:style w:type="paragraph" w:styleId="aa">
    <w:name w:val="Title"/>
    <w:basedOn w:val="a"/>
    <w:link w:val="ab"/>
    <w:qFormat/>
    <w:rsid w:val="00AC4C9E"/>
    <w:pPr>
      <w:ind w:firstLine="454"/>
      <w:jc w:val="center"/>
    </w:pPr>
    <w:rPr>
      <w:b/>
      <w:sz w:val="28"/>
      <w:szCs w:val="20"/>
    </w:rPr>
  </w:style>
  <w:style w:type="character" w:customStyle="1" w:styleId="ab">
    <w:name w:val="Название Знак"/>
    <w:basedOn w:val="a0"/>
    <w:link w:val="aa"/>
    <w:rsid w:val="00AC4C9E"/>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AC4C9E"/>
    <w:rPr>
      <w:rFonts w:ascii="Tahoma" w:hAnsi="Tahoma" w:cs="Tahoma"/>
      <w:sz w:val="16"/>
      <w:szCs w:val="16"/>
    </w:rPr>
  </w:style>
  <w:style w:type="character" w:customStyle="1" w:styleId="ad">
    <w:name w:val="Текст выноски Знак"/>
    <w:basedOn w:val="a0"/>
    <w:link w:val="ac"/>
    <w:uiPriority w:val="99"/>
    <w:semiHidden/>
    <w:rsid w:val="00AC4C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a.zhubanova</dc:creator>
  <cp:keywords/>
  <dc:description/>
  <cp:lastModifiedBy>a.zhubanova</cp:lastModifiedBy>
  <cp:revision>2</cp:revision>
  <dcterms:created xsi:type="dcterms:W3CDTF">2012-06-05T08:33:00Z</dcterms:created>
  <dcterms:modified xsi:type="dcterms:W3CDTF">2012-06-05T08:33:00Z</dcterms:modified>
</cp:coreProperties>
</file>