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98" w:rsidRPr="00E91149" w:rsidRDefault="009D3A98" w:rsidP="009D3A98">
      <w:pPr>
        <w:ind w:firstLine="567"/>
        <w:jc w:val="center"/>
        <w:rPr>
          <w:b/>
          <w:sz w:val="26"/>
          <w:szCs w:val="26"/>
        </w:rPr>
      </w:pPr>
      <w:r w:rsidRPr="00E91149">
        <w:rPr>
          <w:b/>
          <w:sz w:val="26"/>
          <w:szCs w:val="26"/>
        </w:rPr>
        <w:t xml:space="preserve">Батарея бактериальных тест-систем для  генетической токсикологии </w:t>
      </w:r>
    </w:p>
    <w:p w:rsidR="009D3A98" w:rsidRPr="00082254" w:rsidRDefault="009D3A98" w:rsidP="009D3A98">
      <w:pPr>
        <w:pStyle w:val="a3"/>
        <w:ind w:firstLine="567"/>
        <w:jc w:val="both"/>
        <w:rPr>
          <w:b w:val="0"/>
          <w:bCs w:val="0"/>
          <w:sz w:val="26"/>
          <w:szCs w:val="26"/>
        </w:rPr>
      </w:pPr>
    </w:p>
    <w:p w:rsidR="009D3A98" w:rsidRPr="00FC28F6" w:rsidRDefault="009D3A98" w:rsidP="009D3A98">
      <w:pPr>
        <w:pStyle w:val="2"/>
        <w:ind w:firstLine="567"/>
        <w:jc w:val="center"/>
        <w:rPr>
          <w:b/>
          <w:sz w:val="24"/>
        </w:rPr>
      </w:pPr>
      <w:r w:rsidRPr="00FC28F6">
        <w:rPr>
          <w:b/>
          <w:sz w:val="24"/>
        </w:rPr>
        <w:t>Савицкая И.С., Тарасов В.А., Кистаубаева А.С., Воронова Н.В.</w:t>
      </w:r>
    </w:p>
    <w:p w:rsidR="009D3A98" w:rsidRPr="00FC28F6" w:rsidRDefault="009D3A98" w:rsidP="009D3A98">
      <w:pPr>
        <w:pStyle w:val="2"/>
        <w:ind w:firstLine="567"/>
        <w:jc w:val="center"/>
        <w:rPr>
          <w:b/>
          <w:sz w:val="24"/>
        </w:rPr>
      </w:pPr>
    </w:p>
    <w:p w:rsidR="009D3A98" w:rsidRPr="00FC28F6" w:rsidRDefault="009D3A98" w:rsidP="009D3A98">
      <w:pPr>
        <w:pStyle w:val="3"/>
        <w:ind w:firstLine="567"/>
        <w:rPr>
          <w:b/>
          <w:i/>
          <w:sz w:val="24"/>
        </w:rPr>
      </w:pPr>
      <w:r w:rsidRPr="00FC28F6">
        <w:rPr>
          <w:b/>
          <w:i/>
          <w:sz w:val="24"/>
        </w:rPr>
        <w:t>Казахский национальный университет им.</w:t>
      </w:r>
      <w:r w:rsidRPr="00FC28F6">
        <w:rPr>
          <w:b/>
          <w:i/>
          <w:sz w:val="24"/>
          <w:lang w:val="kk-KZ"/>
        </w:rPr>
        <w:t xml:space="preserve"> </w:t>
      </w:r>
      <w:r w:rsidRPr="00FC28F6">
        <w:rPr>
          <w:b/>
          <w:i/>
          <w:sz w:val="24"/>
        </w:rPr>
        <w:t>аль-Фараби</w:t>
      </w:r>
    </w:p>
    <w:p w:rsidR="009D3A98" w:rsidRPr="00FC28F6" w:rsidRDefault="009D3A98" w:rsidP="009D3A98">
      <w:pPr>
        <w:ind w:firstLine="567"/>
        <w:jc w:val="both"/>
        <w:rPr>
          <w:b/>
        </w:rPr>
      </w:pPr>
    </w:p>
    <w:p w:rsidR="009D3A98" w:rsidRPr="00FC28F6" w:rsidRDefault="009D3A98" w:rsidP="009D3A98">
      <w:pPr>
        <w:pStyle w:val="2"/>
        <w:tabs>
          <w:tab w:val="left" w:pos="2700"/>
        </w:tabs>
        <w:ind w:firstLine="567"/>
        <w:rPr>
          <w:sz w:val="24"/>
        </w:rPr>
      </w:pPr>
      <w:r w:rsidRPr="00FC28F6">
        <w:rPr>
          <w:sz w:val="24"/>
        </w:rPr>
        <w:t>Одним из перспективных направлений экологических исследований является генетическая токсикология и ее новый раздел – экотоксикогенетика, который изучает воздействие факторов среды на генетический аппарат различных организмов в составе биоценоза. Основной задачей этого направления является создание методологии для классификации факторов окружающей среды по степени их генетической опасности и осуществление мероприятий, направленных на уменьшение возможных неблагоприятных генетических последствий [1].</w:t>
      </w:r>
      <w:r w:rsidRPr="00FC28F6">
        <w:rPr>
          <w:i/>
          <w:sz w:val="24"/>
        </w:rPr>
        <w:t xml:space="preserve"> </w:t>
      </w:r>
      <w:r w:rsidRPr="00FC28F6">
        <w:rPr>
          <w:sz w:val="24"/>
        </w:rPr>
        <w:t xml:space="preserve"> Химические соединения, повсеместно распространенные в природе, способные мигрировать по пищевым цепям и представляющие наибольшую опасность, носят название суперэкотоксиканты [2].</w:t>
      </w:r>
      <w:r w:rsidRPr="00FC28F6">
        <w:rPr>
          <w:i/>
          <w:sz w:val="24"/>
        </w:rPr>
        <w:t xml:space="preserve">  </w:t>
      </w:r>
      <w:r w:rsidRPr="00FC28F6">
        <w:rPr>
          <w:sz w:val="24"/>
        </w:rPr>
        <w:t xml:space="preserve">Для контроля за их содержанием в окружающей среде, необходимо разработать тест-системы для выявления как отдельных генотоксикантов, так и оценки суммарной активности этих факторов в сложных смесях и природных средах, прежде всего в почве. </w:t>
      </w:r>
    </w:p>
    <w:p w:rsidR="009D3A98" w:rsidRPr="00FC28F6" w:rsidRDefault="009D3A98" w:rsidP="009D3A98">
      <w:pPr>
        <w:pStyle w:val="2"/>
        <w:tabs>
          <w:tab w:val="left" w:pos="2700"/>
        </w:tabs>
        <w:ind w:firstLine="567"/>
        <w:rPr>
          <w:sz w:val="24"/>
        </w:rPr>
      </w:pPr>
      <w:r w:rsidRPr="00FC28F6">
        <w:rPr>
          <w:sz w:val="24"/>
        </w:rPr>
        <w:t>Поскольку основное количество загрязнителей попадает именно в этот биосферный объект, при проведении эколого-генетического мониторинга почв имеет смысл осуществлять  не только выявление и оценку мутагенного потенциала химических соединений, традиционно поступающих в почву, но и определять уровень загрязнения мутагенами почвенного покрова – среды обитания почвенных микроорганизмов. В связи с этим традиционно применяемые в генетической токсикологии бактериальные тесты с успехом могут применяться для данных целей не только из-за своей краткосрочности, но и ввиду возможности определения мутагенного воздействия  загрязнителей на обитающие в почве прокариоты.</w:t>
      </w:r>
    </w:p>
    <w:p w:rsidR="009D3A98" w:rsidRPr="00FC28F6" w:rsidRDefault="009D3A98" w:rsidP="009D3A98">
      <w:pPr>
        <w:pStyle w:val="2"/>
        <w:tabs>
          <w:tab w:val="left" w:pos="2700"/>
        </w:tabs>
        <w:ind w:firstLine="567"/>
        <w:rPr>
          <w:sz w:val="24"/>
        </w:rPr>
      </w:pPr>
      <w:r w:rsidRPr="00FC28F6">
        <w:rPr>
          <w:sz w:val="24"/>
        </w:rPr>
        <w:t xml:space="preserve">Для этого на практике основное тестирование или просеивающую программу можно начинать с применением первичной батареи, состоящей из трех разновидностей тестов [3].  В первую включены репарационные тесты, в которых оценивается ДНК - повреждающая активность тестируемых агентов. Они </w:t>
      </w:r>
      <w:r w:rsidRPr="00FC28F6">
        <w:rPr>
          <w:sz w:val="24"/>
          <w:lang w:val="ru-MO"/>
        </w:rPr>
        <w:t>основаны на регистрации большего ингибирующего действия этих агентов у дефектных по репарации штаммов по сравнению с диким типом</w:t>
      </w:r>
      <w:r w:rsidRPr="00FC28F6">
        <w:rPr>
          <w:sz w:val="24"/>
        </w:rPr>
        <w:t xml:space="preserve">. Экспресс - методы регистрации агентов, взаимодействующих с ДНК, разработаны для различных микроорганизмов: </w:t>
      </w:r>
      <w:r w:rsidRPr="00FC28F6">
        <w:rPr>
          <w:i/>
          <w:sz w:val="24"/>
          <w:lang w:val="en-US"/>
        </w:rPr>
        <w:t>B</w:t>
      </w:r>
      <w:r w:rsidRPr="00FC28F6">
        <w:rPr>
          <w:i/>
          <w:sz w:val="24"/>
        </w:rPr>
        <w:t>.</w:t>
      </w:r>
      <w:r w:rsidRPr="00FC28F6">
        <w:rPr>
          <w:i/>
          <w:sz w:val="24"/>
          <w:lang w:val="en-US"/>
        </w:rPr>
        <w:t>subtilis</w:t>
      </w:r>
      <w:r w:rsidRPr="00FC28F6">
        <w:rPr>
          <w:i/>
          <w:sz w:val="24"/>
        </w:rPr>
        <w:t xml:space="preserve">, </w:t>
      </w:r>
      <w:r w:rsidRPr="00FC28F6">
        <w:rPr>
          <w:i/>
          <w:sz w:val="24"/>
          <w:lang w:val="en-US"/>
        </w:rPr>
        <w:t>P</w:t>
      </w:r>
      <w:r w:rsidRPr="00FC28F6">
        <w:rPr>
          <w:i/>
          <w:sz w:val="24"/>
        </w:rPr>
        <w:t>.</w:t>
      </w:r>
      <w:r w:rsidRPr="00FC28F6">
        <w:rPr>
          <w:i/>
          <w:sz w:val="24"/>
          <w:lang w:val="en-US"/>
        </w:rPr>
        <w:t>mirabilis</w:t>
      </w:r>
      <w:r w:rsidRPr="00FC28F6">
        <w:rPr>
          <w:i/>
          <w:sz w:val="24"/>
        </w:rPr>
        <w:t xml:space="preserve">, </w:t>
      </w:r>
      <w:r w:rsidRPr="00FC28F6">
        <w:rPr>
          <w:i/>
          <w:sz w:val="24"/>
          <w:lang w:val="en-US"/>
        </w:rPr>
        <w:t>E</w:t>
      </w:r>
      <w:r w:rsidRPr="00FC28F6">
        <w:rPr>
          <w:i/>
          <w:sz w:val="24"/>
          <w:lang w:val="ru-MO"/>
        </w:rPr>
        <w:t xml:space="preserve">. </w:t>
      </w:r>
      <w:r w:rsidRPr="00FC28F6">
        <w:rPr>
          <w:i/>
          <w:sz w:val="24"/>
          <w:lang w:val="en-US"/>
        </w:rPr>
        <w:t>coli</w:t>
      </w:r>
      <w:r w:rsidRPr="00FC28F6">
        <w:rPr>
          <w:sz w:val="24"/>
        </w:rPr>
        <w:t xml:space="preserve">. В целом эта группа методов носит название </w:t>
      </w:r>
      <w:r w:rsidRPr="00FC28F6">
        <w:rPr>
          <w:sz w:val="24"/>
          <w:lang w:val="en-US"/>
        </w:rPr>
        <w:t>Rec</w:t>
      </w:r>
      <w:r w:rsidRPr="00FC28F6">
        <w:rPr>
          <w:sz w:val="24"/>
        </w:rPr>
        <w:t>А-тест, который в настоящее время существует в разных модификациях. Это, прежде всего,  диффузионный тест - «</w:t>
      </w:r>
      <w:r w:rsidRPr="00FC28F6">
        <w:rPr>
          <w:sz w:val="24"/>
          <w:lang w:val="en-US"/>
        </w:rPr>
        <w:t>spot</w:t>
      </w:r>
      <w:r w:rsidRPr="00FC28F6">
        <w:rPr>
          <w:sz w:val="24"/>
        </w:rPr>
        <w:t>»-тест и получивший наибольшее развитие чашечный метод - «</w:t>
      </w:r>
      <w:r w:rsidRPr="00FC28F6">
        <w:rPr>
          <w:i/>
          <w:sz w:val="24"/>
          <w:lang w:val="en-US"/>
        </w:rPr>
        <w:t>plate</w:t>
      </w:r>
      <w:r w:rsidRPr="00FC28F6">
        <w:rPr>
          <w:i/>
          <w:sz w:val="24"/>
        </w:rPr>
        <w:t xml:space="preserve"> </w:t>
      </w:r>
      <w:r w:rsidRPr="00FC28F6">
        <w:rPr>
          <w:i/>
          <w:sz w:val="24"/>
          <w:lang w:val="en-US"/>
        </w:rPr>
        <w:t>incorp</w:t>
      </w:r>
      <w:r w:rsidRPr="00FC28F6">
        <w:rPr>
          <w:i/>
          <w:sz w:val="24"/>
        </w:rPr>
        <w:t>о</w:t>
      </w:r>
      <w:r w:rsidRPr="00FC28F6">
        <w:rPr>
          <w:i/>
          <w:sz w:val="24"/>
          <w:lang w:val="en-US"/>
        </w:rPr>
        <w:t>ration</w:t>
      </w:r>
      <w:r w:rsidRPr="00FC28F6">
        <w:rPr>
          <w:i/>
          <w:sz w:val="24"/>
        </w:rPr>
        <w:t xml:space="preserve"> </w:t>
      </w:r>
      <w:r w:rsidRPr="00FC28F6">
        <w:rPr>
          <w:i/>
          <w:sz w:val="24"/>
          <w:lang w:val="en-US"/>
        </w:rPr>
        <w:t>test</w:t>
      </w:r>
      <w:r w:rsidRPr="00FC28F6">
        <w:rPr>
          <w:sz w:val="24"/>
        </w:rPr>
        <w:t>» [4].  Принципиально</w:t>
      </w:r>
      <w:r w:rsidRPr="00FC28F6">
        <w:rPr>
          <w:sz w:val="24"/>
          <w:lang w:val="ru-MO"/>
        </w:rPr>
        <w:t xml:space="preserve">  </w:t>
      </w:r>
      <w:r w:rsidRPr="00FC28F6">
        <w:rPr>
          <w:sz w:val="24"/>
        </w:rPr>
        <w:t xml:space="preserve">они регистрируют один и тот же эффект – различие в  токсичности испытуемых соединений в зависимости от наличия или отсутствия  </w:t>
      </w:r>
      <w:r w:rsidRPr="00FC28F6">
        <w:rPr>
          <w:sz w:val="24"/>
          <w:lang w:val="en-US"/>
        </w:rPr>
        <w:t>rec</w:t>
      </w:r>
      <w:r w:rsidRPr="00FC28F6">
        <w:rPr>
          <w:sz w:val="24"/>
        </w:rPr>
        <w:t>А функции, одного из ключевых ферментов, участвующих в репарационных процессах. Однако результаты, полученные в  «</w:t>
      </w:r>
      <w:r w:rsidRPr="00FC28F6">
        <w:rPr>
          <w:sz w:val="24"/>
          <w:lang w:val="en-US"/>
        </w:rPr>
        <w:t>spot</w:t>
      </w:r>
      <w:r w:rsidRPr="00FC28F6">
        <w:rPr>
          <w:sz w:val="24"/>
        </w:rPr>
        <w:t xml:space="preserve">»-тесте трудно оценить количественно, в этом методе в большей степени регистрируется качественный эффект. Чашечный тест более трудоемкий, по сравнению с другими модификациями и хуже поддается автоматизации. </w:t>
      </w:r>
    </w:p>
    <w:p w:rsidR="009D3A98" w:rsidRPr="00FC28F6" w:rsidRDefault="009D3A98" w:rsidP="009D3A98">
      <w:pPr>
        <w:ind w:firstLine="567"/>
        <w:jc w:val="both"/>
      </w:pPr>
      <w:r w:rsidRPr="00FC28F6">
        <w:t xml:space="preserve">Измерение же оптической плотности бактериальной культуры может быть легко автоматизировано путем использования фотоколориметрических методов, и в этом отношении суспензионный тест является наиболее перспективным в плане создания автоматизированных систем массового скрининга. Разработанная на кафедре биотехнологии КазНУ им.аль-Фараби и в лаборатории молекулярной организации генома Иогена АН России модификация этого теста связана не просто с определением количества клеток в суспензионной культуре, а с учетом </w:t>
      </w:r>
      <w:r w:rsidRPr="00FC28F6">
        <w:sym w:font="Symbol" w:char="F062"/>
      </w:r>
      <w:r w:rsidRPr="00FC28F6">
        <w:t xml:space="preserve">-галактозидазной активности в </w:t>
      </w:r>
      <w:r w:rsidRPr="00FC28F6">
        <w:rPr>
          <w:lang w:val="en-US"/>
        </w:rPr>
        <w:t>lac</w:t>
      </w:r>
      <w:r w:rsidRPr="00FC28F6">
        <w:t>+</w:t>
      </w:r>
      <w:r w:rsidRPr="00FC28F6">
        <w:rPr>
          <w:vertAlign w:val="superscript"/>
        </w:rPr>
        <w:t xml:space="preserve">  </w:t>
      </w:r>
      <w:r w:rsidRPr="00FC28F6">
        <w:t xml:space="preserve">штаммах </w:t>
      </w:r>
      <w:r w:rsidRPr="00FC28F6">
        <w:rPr>
          <w:i/>
          <w:lang w:val="en-US"/>
        </w:rPr>
        <w:t>E</w:t>
      </w:r>
      <w:r w:rsidRPr="00FC28F6">
        <w:rPr>
          <w:i/>
          <w:lang w:val="ru-MO"/>
        </w:rPr>
        <w:t>.</w:t>
      </w:r>
      <w:r w:rsidRPr="00FC28F6">
        <w:rPr>
          <w:i/>
          <w:lang w:val="en-US"/>
        </w:rPr>
        <w:t>coli</w:t>
      </w:r>
      <w:r w:rsidRPr="00FC28F6">
        <w:t xml:space="preserve"> </w:t>
      </w:r>
      <w:r w:rsidRPr="00FC28F6">
        <w:rPr>
          <w:lang w:val="en-US"/>
        </w:rPr>
        <w:t>RR</w:t>
      </w:r>
      <w:r w:rsidRPr="00FC28F6">
        <w:t>1 (</w:t>
      </w:r>
      <w:r w:rsidRPr="00FC28F6">
        <w:rPr>
          <w:lang w:val="en-US"/>
        </w:rPr>
        <w:t>rec</w:t>
      </w:r>
      <w:r w:rsidRPr="00FC28F6">
        <w:t xml:space="preserve">А+) и </w:t>
      </w:r>
      <w:r w:rsidRPr="00FC28F6">
        <w:rPr>
          <w:i/>
          <w:lang w:val="en-US"/>
        </w:rPr>
        <w:t>E</w:t>
      </w:r>
      <w:r w:rsidRPr="00FC28F6">
        <w:rPr>
          <w:i/>
          <w:lang w:val="ru-MO"/>
        </w:rPr>
        <w:t>.</w:t>
      </w:r>
      <w:r w:rsidRPr="00FC28F6">
        <w:rPr>
          <w:i/>
          <w:lang w:val="en-US"/>
        </w:rPr>
        <w:t>coli</w:t>
      </w:r>
      <w:r w:rsidRPr="00FC28F6">
        <w:t xml:space="preserve"> </w:t>
      </w:r>
      <w:r w:rsidRPr="00FC28F6">
        <w:rPr>
          <w:lang w:val="en-US"/>
        </w:rPr>
        <w:t>HB</w:t>
      </w:r>
      <w:r w:rsidRPr="00FC28F6">
        <w:t>101(</w:t>
      </w:r>
      <w:r w:rsidRPr="00FC28F6">
        <w:rPr>
          <w:lang w:val="en-US"/>
        </w:rPr>
        <w:t>rec</w:t>
      </w:r>
      <w:r w:rsidRPr="00FC28F6">
        <w:t xml:space="preserve">А-) после контакта с мутагеном.  Уровень продукции этого фермента также измеряется фотометрически, отдельно для </w:t>
      </w:r>
      <w:r w:rsidRPr="00FC28F6">
        <w:rPr>
          <w:vertAlign w:val="superscript"/>
        </w:rPr>
        <w:t xml:space="preserve"> </w:t>
      </w:r>
      <w:r w:rsidRPr="00FC28F6">
        <w:rPr>
          <w:lang w:val="en-US"/>
        </w:rPr>
        <w:t>rec</w:t>
      </w:r>
      <w:r w:rsidRPr="00FC28F6">
        <w:t>А+</w:t>
      </w:r>
      <w:r w:rsidRPr="00FC28F6">
        <w:rPr>
          <w:vertAlign w:val="superscript"/>
        </w:rPr>
        <w:t xml:space="preserve"> </w:t>
      </w:r>
      <w:r w:rsidRPr="00FC28F6">
        <w:t xml:space="preserve">и </w:t>
      </w:r>
      <w:r w:rsidRPr="00FC28F6">
        <w:rPr>
          <w:lang w:val="en-US"/>
        </w:rPr>
        <w:t>rec</w:t>
      </w:r>
      <w:r w:rsidRPr="00FC28F6">
        <w:t>А-</w:t>
      </w:r>
      <w:r w:rsidRPr="00FC28F6">
        <w:rPr>
          <w:vertAlign w:val="superscript"/>
        </w:rPr>
        <w:t xml:space="preserve">  </w:t>
      </w:r>
      <w:r w:rsidRPr="00FC28F6">
        <w:t xml:space="preserve">мутантов. Это </w:t>
      </w:r>
      <w:r w:rsidRPr="00FC28F6">
        <w:lastRenderedPageBreak/>
        <w:t xml:space="preserve">связано с наличием специфических красителей для </w:t>
      </w:r>
      <w:r w:rsidRPr="00FC28F6">
        <w:sym w:font="Symbol" w:char="F062"/>
      </w:r>
      <w:r w:rsidRPr="00FC28F6">
        <w:t>–галактозидазы и, в связи с этим, высокой точностью измерения ее активности в клетках, т.е. с повышением разрешающей способности метода спектрофотометрии.</w:t>
      </w:r>
    </w:p>
    <w:p w:rsidR="009D3A98" w:rsidRPr="009D3A98" w:rsidRDefault="009D3A98" w:rsidP="009D3A98">
      <w:pPr>
        <w:ind w:firstLine="567"/>
        <w:jc w:val="both"/>
      </w:pPr>
      <w:r w:rsidRPr="00FC28F6">
        <w:t xml:space="preserve">Предлагаемая  тест-система была апробирована на ряде классических мутагенов, индуцирующих в ДНК различные типы первичных повреждений. Для этого у </w:t>
      </w:r>
      <w:r w:rsidRPr="00FC28F6">
        <w:rPr>
          <w:lang w:val="en-US"/>
        </w:rPr>
        <w:t>recA</w:t>
      </w:r>
      <w:r w:rsidRPr="00FC28F6">
        <w:t xml:space="preserve">+ и </w:t>
      </w:r>
      <w:r w:rsidRPr="00FC28F6">
        <w:rPr>
          <w:lang w:val="en-US"/>
        </w:rPr>
        <w:t>recA</w:t>
      </w:r>
      <w:r w:rsidRPr="00FC28F6">
        <w:t xml:space="preserve">- штаммов </w:t>
      </w:r>
      <w:r w:rsidRPr="00FC28F6">
        <w:rPr>
          <w:lang w:val="en-US"/>
        </w:rPr>
        <w:t>E</w:t>
      </w:r>
      <w:r w:rsidRPr="00FC28F6">
        <w:rPr>
          <w:lang w:val="ru-MO"/>
        </w:rPr>
        <w:t>.</w:t>
      </w:r>
      <w:r w:rsidRPr="00FC28F6">
        <w:rPr>
          <w:lang w:val="en-US"/>
        </w:rPr>
        <w:t>coli</w:t>
      </w:r>
      <w:r w:rsidRPr="00FC28F6">
        <w:t xml:space="preserve"> после 2-х часовой обработки мутагеном определялась оптическая плотность суспензии и активность </w:t>
      </w:r>
      <w:r w:rsidRPr="00FC28F6">
        <w:sym w:font="Symbol" w:char="F062"/>
      </w:r>
      <w:r w:rsidRPr="00FC28F6">
        <w:t xml:space="preserve">–галактозидазы. В качестве модельных мутагенов использовали классическимй алкилирующий агент метилметансульфонат (ММС), основным типом первичных повреждений которого являются модифицированные основания в ДНК. Параллельно с ним исследовали ДНК-тропное действие бифункционального алкилирующего агента – Митомицина С (МтС), в результате действия которого, наряду с индукцией моноаддуктов, образуются еще и межнитевые сшивки. </w:t>
      </w:r>
    </w:p>
    <w:p w:rsidR="009D3A98" w:rsidRPr="009D3A98" w:rsidRDefault="009D3A98" w:rsidP="009D3A98">
      <w:pPr>
        <w:ind w:firstLine="567"/>
        <w:jc w:val="both"/>
      </w:pPr>
    </w:p>
    <w:p w:rsidR="009D3A98" w:rsidRPr="006F4FD2" w:rsidRDefault="009D3A98" w:rsidP="009D3A98">
      <w:pPr>
        <w:jc w:val="both"/>
      </w:pPr>
      <w:r w:rsidRPr="006F4FD2">
        <w:t xml:space="preserve">Таблица - Сравнительная чувствительность суспензионного Rec -теста и Rec -хромотеста  </w:t>
      </w:r>
    </w:p>
    <w:p w:rsidR="009D3A98" w:rsidRDefault="009D3A98" w:rsidP="009D3A98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887"/>
        <w:gridCol w:w="914"/>
        <w:gridCol w:w="979"/>
        <w:gridCol w:w="884"/>
        <w:gridCol w:w="818"/>
        <w:gridCol w:w="943"/>
        <w:gridCol w:w="1378"/>
      </w:tblGrid>
      <w:tr w:rsidR="009D3A98" w:rsidRPr="006F4FD2" w:rsidTr="00265E1F">
        <w:tc>
          <w:tcPr>
            <w:tcW w:w="2665" w:type="dxa"/>
            <w:vMerge w:val="restart"/>
          </w:tcPr>
          <w:p w:rsidR="009D3A98" w:rsidRPr="006F4FD2" w:rsidRDefault="009D3A98" w:rsidP="00265E1F">
            <w:pPr>
              <w:jc w:val="center"/>
            </w:pPr>
            <w:r w:rsidRPr="006F4FD2">
              <w:t>Мутаген</w:t>
            </w:r>
          </w:p>
        </w:tc>
        <w:tc>
          <w:tcPr>
            <w:tcW w:w="6803" w:type="dxa"/>
            <w:gridSpan w:val="7"/>
          </w:tcPr>
          <w:p w:rsidR="009D3A98" w:rsidRPr="006F4FD2" w:rsidRDefault="009D3A98" w:rsidP="00265E1F">
            <w:pPr>
              <w:jc w:val="center"/>
            </w:pPr>
            <w:r w:rsidRPr="006F4FD2">
              <w:t>Доза, (мкг/мл), при которой наблюдается % снижение регистрируемых параметров</w:t>
            </w:r>
          </w:p>
        </w:tc>
      </w:tr>
      <w:tr w:rsidR="009D3A98" w:rsidRPr="006F4FD2" w:rsidTr="00265E1F">
        <w:tc>
          <w:tcPr>
            <w:tcW w:w="2665" w:type="dxa"/>
            <w:vMerge/>
          </w:tcPr>
          <w:p w:rsidR="009D3A98" w:rsidRPr="006F4FD2" w:rsidRDefault="009D3A98" w:rsidP="00265E1F">
            <w:pPr>
              <w:jc w:val="center"/>
            </w:pPr>
          </w:p>
        </w:tc>
        <w:tc>
          <w:tcPr>
            <w:tcW w:w="2891" w:type="dxa"/>
            <w:gridSpan w:val="3"/>
          </w:tcPr>
          <w:p w:rsidR="009D3A98" w:rsidRPr="006F4FD2" w:rsidRDefault="009D3A98" w:rsidP="00265E1F">
            <w:pPr>
              <w:jc w:val="center"/>
            </w:pPr>
            <w:r w:rsidRPr="006F4FD2">
              <w:t>Активность β-галактозидазы</w:t>
            </w:r>
          </w:p>
        </w:tc>
        <w:tc>
          <w:tcPr>
            <w:tcW w:w="2650" w:type="dxa"/>
            <w:gridSpan w:val="3"/>
          </w:tcPr>
          <w:p w:rsidR="009D3A98" w:rsidRPr="006F4FD2" w:rsidRDefault="009D3A98" w:rsidP="00265E1F">
            <w:pPr>
              <w:jc w:val="center"/>
            </w:pPr>
            <w:r w:rsidRPr="006F4FD2">
              <w:t>Оптическая плотность</w:t>
            </w:r>
          </w:p>
        </w:tc>
        <w:tc>
          <w:tcPr>
            <w:tcW w:w="1262" w:type="dxa"/>
            <w:vMerge w:val="restart"/>
          </w:tcPr>
          <w:p w:rsidR="009D3A98" w:rsidRPr="006F4FD2" w:rsidRDefault="009D3A98" w:rsidP="00265E1F">
            <w:r w:rsidRPr="006F4FD2">
              <w:t>Кч rec-хромотеста</w:t>
            </w:r>
          </w:p>
        </w:tc>
      </w:tr>
      <w:tr w:rsidR="009D3A98" w:rsidRPr="006F4FD2" w:rsidTr="00265E1F">
        <w:tc>
          <w:tcPr>
            <w:tcW w:w="2665" w:type="dxa"/>
            <w:vMerge/>
          </w:tcPr>
          <w:p w:rsidR="009D3A98" w:rsidRPr="006F4FD2" w:rsidRDefault="009D3A98" w:rsidP="00265E1F">
            <w:pPr>
              <w:jc w:val="center"/>
            </w:pPr>
          </w:p>
        </w:tc>
        <w:tc>
          <w:tcPr>
            <w:tcW w:w="1887" w:type="dxa"/>
            <w:gridSpan w:val="2"/>
          </w:tcPr>
          <w:p w:rsidR="009D3A98" w:rsidRPr="006F4FD2" w:rsidRDefault="009D3A98" w:rsidP="00265E1F">
            <w:pPr>
              <w:jc w:val="center"/>
            </w:pPr>
            <w:r w:rsidRPr="006F4FD2">
              <w:t>РД50</w:t>
            </w:r>
          </w:p>
        </w:tc>
        <w:tc>
          <w:tcPr>
            <w:tcW w:w="1004" w:type="dxa"/>
            <w:vMerge w:val="restart"/>
          </w:tcPr>
          <w:p w:rsidR="009D3A98" w:rsidRPr="006F4FD2" w:rsidRDefault="009D3A98" w:rsidP="00265E1F">
            <w:pPr>
              <w:jc w:val="center"/>
            </w:pPr>
            <w:r w:rsidRPr="006F4FD2">
              <w:t>КРД50</w:t>
            </w:r>
          </w:p>
        </w:tc>
        <w:tc>
          <w:tcPr>
            <w:tcW w:w="1733" w:type="dxa"/>
            <w:gridSpan w:val="2"/>
          </w:tcPr>
          <w:p w:rsidR="009D3A98" w:rsidRPr="006F4FD2" w:rsidRDefault="009D3A98" w:rsidP="00265E1F">
            <w:pPr>
              <w:jc w:val="center"/>
            </w:pPr>
            <w:r w:rsidRPr="006F4FD2">
              <w:t>ЛД50</w:t>
            </w:r>
          </w:p>
        </w:tc>
        <w:tc>
          <w:tcPr>
            <w:tcW w:w="917" w:type="dxa"/>
            <w:vMerge w:val="restart"/>
          </w:tcPr>
          <w:p w:rsidR="009D3A98" w:rsidRPr="006F4FD2" w:rsidRDefault="009D3A98" w:rsidP="00265E1F">
            <w:r w:rsidRPr="006F4FD2">
              <w:t>КЛД50</w:t>
            </w:r>
          </w:p>
        </w:tc>
        <w:tc>
          <w:tcPr>
            <w:tcW w:w="1262" w:type="dxa"/>
            <w:vMerge/>
          </w:tcPr>
          <w:p w:rsidR="009D3A98" w:rsidRPr="006F4FD2" w:rsidRDefault="009D3A98" w:rsidP="00265E1F"/>
        </w:tc>
      </w:tr>
      <w:tr w:rsidR="009D3A98" w:rsidRPr="006F4FD2" w:rsidTr="00265E1F">
        <w:tc>
          <w:tcPr>
            <w:tcW w:w="2665" w:type="dxa"/>
            <w:vMerge/>
          </w:tcPr>
          <w:p w:rsidR="009D3A98" w:rsidRPr="006F4FD2" w:rsidRDefault="009D3A98" w:rsidP="00265E1F"/>
        </w:tc>
        <w:tc>
          <w:tcPr>
            <w:tcW w:w="935" w:type="dxa"/>
          </w:tcPr>
          <w:p w:rsidR="009D3A98" w:rsidRPr="006F4FD2" w:rsidRDefault="009D3A98" w:rsidP="00265E1F">
            <w:r w:rsidRPr="006F4FD2">
              <w:t>recА-</w:t>
            </w:r>
          </w:p>
        </w:tc>
        <w:tc>
          <w:tcPr>
            <w:tcW w:w="952" w:type="dxa"/>
          </w:tcPr>
          <w:p w:rsidR="009D3A98" w:rsidRPr="006F4FD2" w:rsidRDefault="009D3A98" w:rsidP="00265E1F">
            <w:r w:rsidRPr="006F4FD2">
              <w:t>recА+</w:t>
            </w:r>
          </w:p>
        </w:tc>
        <w:tc>
          <w:tcPr>
            <w:tcW w:w="1004" w:type="dxa"/>
            <w:vMerge/>
          </w:tcPr>
          <w:p w:rsidR="009D3A98" w:rsidRPr="006F4FD2" w:rsidRDefault="009D3A98" w:rsidP="00265E1F"/>
        </w:tc>
        <w:tc>
          <w:tcPr>
            <w:tcW w:w="932" w:type="dxa"/>
          </w:tcPr>
          <w:p w:rsidR="009D3A98" w:rsidRPr="006F4FD2" w:rsidRDefault="009D3A98" w:rsidP="00265E1F">
            <w:r w:rsidRPr="006F4FD2">
              <w:t>recА-</w:t>
            </w:r>
          </w:p>
        </w:tc>
        <w:tc>
          <w:tcPr>
            <w:tcW w:w="801" w:type="dxa"/>
          </w:tcPr>
          <w:p w:rsidR="009D3A98" w:rsidRPr="006F4FD2" w:rsidRDefault="009D3A98" w:rsidP="00265E1F">
            <w:r w:rsidRPr="006F4FD2">
              <w:t>recА+</w:t>
            </w:r>
          </w:p>
        </w:tc>
        <w:tc>
          <w:tcPr>
            <w:tcW w:w="917" w:type="dxa"/>
            <w:vMerge/>
          </w:tcPr>
          <w:p w:rsidR="009D3A98" w:rsidRPr="006F4FD2" w:rsidRDefault="009D3A98" w:rsidP="00265E1F"/>
        </w:tc>
        <w:tc>
          <w:tcPr>
            <w:tcW w:w="1262" w:type="dxa"/>
            <w:vMerge/>
          </w:tcPr>
          <w:p w:rsidR="009D3A98" w:rsidRPr="006F4FD2" w:rsidRDefault="009D3A98" w:rsidP="00265E1F"/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Митомицин С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1,5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120,0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0,0013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17,0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120,0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0,14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56,0</w:t>
            </w:r>
          </w:p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Метилметансульфонат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2,0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131,0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0,013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177,0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327,0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0,5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33,3</w:t>
            </w:r>
          </w:p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Нитрозометилмочевина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4,2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213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0,02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97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176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0,5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25,0</w:t>
            </w:r>
          </w:p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Нитрозогуанидин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0,2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6,2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0,03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1,7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5,8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0,3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10,0</w:t>
            </w:r>
          </w:p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2-Нитрофлуорен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11,0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545,0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0,08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163,0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270,0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0,6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30,0</w:t>
            </w:r>
          </w:p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Этидиумбромид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36,0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43,0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0,8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70,0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92,0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0,8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1,0</w:t>
            </w:r>
          </w:p>
        </w:tc>
      </w:tr>
      <w:tr w:rsidR="009D3A98" w:rsidRPr="006F4FD2" w:rsidTr="00265E1F">
        <w:tc>
          <w:tcPr>
            <w:tcW w:w="2665" w:type="dxa"/>
          </w:tcPr>
          <w:p w:rsidR="009D3A98" w:rsidRPr="006F4FD2" w:rsidRDefault="009D3A98" w:rsidP="00265E1F">
            <w:r w:rsidRPr="006F4FD2">
              <w:t>2-Аминопурин</w:t>
            </w:r>
          </w:p>
        </w:tc>
        <w:tc>
          <w:tcPr>
            <w:tcW w:w="935" w:type="dxa"/>
          </w:tcPr>
          <w:p w:rsidR="009D3A98" w:rsidRPr="006F4FD2" w:rsidRDefault="009D3A98" w:rsidP="00265E1F">
            <w:pPr>
              <w:jc w:val="center"/>
            </w:pPr>
            <w:r w:rsidRPr="006F4FD2">
              <w:t>227,0</w:t>
            </w:r>
          </w:p>
        </w:tc>
        <w:tc>
          <w:tcPr>
            <w:tcW w:w="952" w:type="dxa"/>
          </w:tcPr>
          <w:p w:rsidR="009D3A98" w:rsidRPr="006F4FD2" w:rsidRDefault="009D3A98" w:rsidP="00265E1F">
            <w:pPr>
              <w:jc w:val="center"/>
            </w:pPr>
            <w:r w:rsidRPr="006F4FD2">
              <w:t>212,0</w:t>
            </w:r>
          </w:p>
        </w:tc>
        <w:tc>
          <w:tcPr>
            <w:tcW w:w="1004" w:type="dxa"/>
          </w:tcPr>
          <w:p w:rsidR="009D3A98" w:rsidRPr="006F4FD2" w:rsidRDefault="009D3A98" w:rsidP="00265E1F">
            <w:pPr>
              <w:jc w:val="center"/>
            </w:pPr>
            <w:r w:rsidRPr="006F4FD2">
              <w:t>1,1</w:t>
            </w:r>
          </w:p>
        </w:tc>
        <w:tc>
          <w:tcPr>
            <w:tcW w:w="932" w:type="dxa"/>
          </w:tcPr>
          <w:p w:rsidR="009D3A98" w:rsidRPr="006F4FD2" w:rsidRDefault="009D3A98" w:rsidP="00265E1F">
            <w:pPr>
              <w:jc w:val="center"/>
            </w:pPr>
            <w:r w:rsidRPr="006F4FD2">
              <w:t>205,0</w:t>
            </w:r>
          </w:p>
        </w:tc>
        <w:tc>
          <w:tcPr>
            <w:tcW w:w="801" w:type="dxa"/>
          </w:tcPr>
          <w:p w:rsidR="009D3A98" w:rsidRPr="006F4FD2" w:rsidRDefault="009D3A98" w:rsidP="00265E1F">
            <w:pPr>
              <w:jc w:val="center"/>
            </w:pPr>
            <w:r w:rsidRPr="006F4FD2">
              <w:t>210,0</w:t>
            </w:r>
          </w:p>
        </w:tc>
        <w:tc>
          <w:tcPr>
            <w:tcW w:w="917" w:type="dxa"/>
          </w:tcPr>
          <w:p w:rsidR="009D3A98" w:rsidRPr="006F4FD2" w:rsidRDefault="009D3A98" w:rsidP="00265E1F">
            <w:pPr>
              <w:jc w:val="center"/>
            </w:pPr>
            <w:r w:rsidRPr="006F4FD2">
              <w:t>1,0</w:t>
            </w:r>
          </w:p>
        </w:tc>
        <w:tc>
          <w:tcPr>
            <w:tcW w:w="1262" w:type="dxa"/>
          </w:tcPr>
          <w:p w:rsidR="009D3A98" w:rsidRPr="006F4FD2" w:rsidRDefault="009D3A98" w:rsidP="00265E1F">
            <w:pPr>
              <w:jc w:val="center"/>
            </w:pPr>
            <w:r w:rsidRPr="006F4FD2">
              <w:t>1,0</w:t>
            </w:r>
          </w:p>
        </w:tc>
      </w:tr>
    </w:tbl>
    <w:p w:rsidR="009D3A98" w:rsidRPr="006F4FD2" w:rsidRDefault="009D3A98" w:rsidP="009D3A98">
      <w:pPr>
        <w:ind w:firstLine="567"/>
        <w:jc w:val="both"/>
      </w:pPr>
    </w:p>
    <w:p w:rsidR="009D3A98" w:rsidRPr="00FC28F6" w:rsidRDefault="009D3A98" w:rsidP="009D3A98">
      <w:pPr>
        <w:ind w:firstLine="567"/>
        <w:jc w:val="both"/>
      </w:pPr>
      <w:r w:rsidRPr="00FC28F6">
        <w:t xml:space="preserve">Параметры дозовой кривой рассчитывали в полулогарифмическом масштабе, а эффективность работы тест-системы учитывали по величине коэффифиента К ЛД50, который вычисляли по отношению дозы мутагена, вызывающего 50% гибель клеток (ЛД50) у штамма  </w:t>
      </w:r>
      <w:r w:rsidRPr="00FC28F6">
        <w:rPr>
          <w:lang w:val="en-US"/>
        </w:rPr>
        <w:t>recA</w:t>
      </w:r>
      <w:r w:rsidRPr="00FC28F6">
        <w:t xml:space="preserve">- по сравнению со штаммом </w:t>
      </w:r>
      <w:r w:rsidRPr="00FC28F6">
        <w:rPr>
          <w:lang w:val="en-US"/>
        </w:rPr>
        <w:t>recA</w:t>
      </w:r>
      <w:r w:rsidRPr="00FC28F6">
        <w:t xml:space="preserve">+. Для варианта </w:t>
      </w:r>
      <w:r w:rsidRPr="00FC28F6">
        <w:rPr>
          <w:lang w:val="en-US"/>
        </w:rPr>
        <w:t>Rec</w:t>
      </w:r>
      <w:r w:rsidRPr="00FC28F6">
        <w:t xml:space="preserve">-теста К ЛД50= ЛД50 </w:t>
      </w:r>
      <w:r w:rsidRPr="00FC28F6">
        <w:rPr>
          <w:lang w:val="en-US"/>
        </w:rPr>
        <w:t>recA</w:t>
      </w:r>
      <w:r w:rsidRPr="00FC28F6">
        <w:t xml:space="preserve">-/ ЛД50 </w:t>
      </w:r>
      <w:r w:rsidRPr="00FC28F6">
        <w:rPr>
          <w:lang w:val="en-US"/>
        </w:rPr>
        <w:t>recA</w:t>
      </w:r>
      <w:r w:rsidRPr="00FC28F6">
        <w:t>+.</w:t>
      </w:r>
    </w:p>
    <w:p w:rsidR="009D3A98" w:rsidRPr="00FC28F6" w:rsidRDefault="009D3A98" w:rsidP="009D3A98">
      <w:pPr>
        <w:ind w:firstLine="567"/>
        <w:jc w:val="both"/>
      </w:pPr>
      <w:r w:rsidRPr="00FC28F6">
        <w:t xml:space="preserve"> В случае </w:t>
      </w:r>
      <w:r w:rsidRPr="00FC28F6">
        <w:rPr>
          <w:lang w:val="en-US"/>
        </w:rPr>
        <w:t>Rec</w:t>
      </w:r>
      <w:r w:rsidRPr="00FC28F6">
        <w:t xml:space="preserve">-хромотеста коэфффициент рассчитывали подобным образом, но при этом определяли дозу мутагена, которая вызывает 50% снижение ферментативной активности </w:t>
      </w:r>
      <w:r w:rsidRPr="00FC28F6">
        <w:sym w:font="Symbol" w:char="F062"/>
      </w:r>
      <w:r w:rsidRPr="00FC28F6">
        <w:t xml:space="preserve">–галактозидазы – редукционную дозу (РД50). Для </w:t>
      </w:r>
      <w:r w:rsidRPr="00FC28F6">
        <w:rPr>
          <w:lang w:val="en-US"/>
        </w:rPr>
        <w:t>Rec</w:t>
      </w:r>
      <w:r w:rsidRPr="00FC28F6">
        <w:t xml:space="preserve">-хромотеста КРД50= РД50 </w:t>
      </w:r>
      <w:r w:rsidRPr="00FC28F6">
        <w:rPr>
          <w:lang w:val="en-US"/>
        </w:rPr>
        <w:t>recA</w:t>
      </w:r>
      <w:r w:rsidRPr="00FC28F6">
        <w:t xml:space="preserve">-/ РД50 </w:t>
      </w:r>
      <w:r w:rsidRPr="00FC28F6">
        <w:rPr>
          <w:lang w:val="en-US"/>
        </w:rPr>
        <w:t>recA</w:t>
      </w:r>
      <w:r w:rsidRPr="00FC28F6">
        <w:t xml:space="preserve">+. По этим данным определяется коэффициент чувствительности (Кч), по которому можно сравнить эти  два теста. Коэффициент чувствительности </w:t>
      </w:r>
      <w:r w:rsidRPr="00FC28F6">
        <w:rPr>
          <w:lang w:val="en-US"/>
        </w:rPr>
        <w:t>Rec</w:t>
      </w:r>
      <w:r w:rsidRPr="00FC28F6">
        <w:t xml:space="preserve">-хромотеста Кч = К ЛД50/ КРД50. </w:t>
      </w:r>
    </w:p>
    <w:p w:rsidR="009D3A98" w:rsidRPr="00FC28F6" w:rsidRDefault="009D3A98" w:rsidP="009D3A98">
      <w:pPr>
        <w:ind w:firstLine="567"/>
        <w:jc w:val="both"/>
        <w:rPr>
          <w:lang w:val="ru-MO"/>
        </w:rPr>
      </w:pPr>
      <w:r w:rsidRPr="00FC28F6">
        <w:t>Эффективность работы системы оценивалась по величине ко</w:t>
      </w:r>
      <w:r w:rsidRPr="00FC28F6">
        <w:rPr>
          <w:lang w:val="kk-KZ"/>
        </w:rPr>
        <w:t>эф</w:t>
      </w:r>
      <w:r w:rsidRPr="00FC28F6">
        <w:t xml:space="preserve">фициента </w:t>
      </w:r>
      <w:r w:rsidRPr="00FC28F6">
        <w:rPr>
          <w:lang w:val="en-US"/>
        </w:rPr>
        <w:t>R</w:t>
      </w:r>
      <w:r w:rsidRPr="00FC28F6">
        <w:t xml:space="preserve">50, регистрирующего кратность показателей 50% снижения активности фермента или плотности культуры у </w:t>
      </w:r>
      <w:r w:rsidRPr="00FC28F6">
        <w:rPr>
          <w:lang w:val="en-US"/>
        </w:rPr>
        <w:t>recA</w:t>
      </w:r>
      <w:r w:rsidRPr="00FC28F6">
        <w:rPr>
          <w:lang w:val="ru-MO"/>
        </w:rPr>
        <w:t xml:space="preserve">+ и </w:t>
      </w:r>
      <w:r w:rsidRPr="00FC28F6">
        <w:rPr>
          <w:lang w:val="en-US"/>
        </w:rPr>
        <w:t>recA</w:t>
      </w:r>
      <w:r w:rsidRPr="00FC28F6">
        <w:rPr>
          <w:lang w:val="ru-MO"/>
        </w:rPr>
        <w:t>-</w:t>
      </w:r>
      <w:r w:rsidRPr="00FC28F6">
        <w:t xml:space="preserve"> штаммов после воздействия мутагена. Видно, что Кч</w:t>
      </w:r>
      <w:r w:rsidRPr="00FC28F6">
        <w:rPr>
          <w:lang w:val="ru-MO"/>
        </w:rPr>
        <w:t xml:space="preserve"> предлагаемой тест-системы значительно различается в зависимости от того, какого типа повреждения ДНК вызывает тот или иной мутаген. Так, при воздействии таких агентов как 2-Аминопурин и этидиумбромид, коэффициент </w:t>
      </w:r>
      <w:r w:rsidRPr="00FC28F6">
        <w:t>Кч =1, т.е. значения К ЛД50 (концентрация клеток) и КРД50</w:t>
      </w:r>
      <w:r w:rsidRPr="00FC28F6">
        <w:rPr>
          <w:lang w:val="ru-MO"/>
        </w:rPr>
        <w:t xml:space="preserve"> (редукция активности </w:t>
      </w:r>
      <w:r w:rsidRPr="00FC28F6">
        <w:sym w:font="Symbol" w:char="F062"/>
      </w:r>
      <w:r w:rsidRPr="00FC28F6">
        <w:t xml:space="preserve">–галактозидазы у </w:t>
      </w:r>
      <w:r w:rsidRPr="00FC28F6">
        <w:rPr>
          <w:lang w:val="en-US"/>
        </w:rPr>
        <w:t>recA</w:t>
      </w:r>
      <w:r w:rsidRPr="00FC28F6">
        <w:rPr>
          <w:lang w:val="ru-MO"/>
        </w:rPr>
        <w:t xml:space="preserve">+ и </w:t>
      </w:r>
      <w:r w:rsidRPr="00FC28F6">
        <w:rPr>
          <w:lang w:val="en-US"/>
        </w:rPr>
        <w:t>recA</w:t>
      </w:r>
      <w:r w:rsidRPr="00FC28F6">
        <w:rPr>
          <w:lang w:val="ru-MO"/>
        </w:rPr>
        <w:t xml:space="preserve">- штаммов) </w:t>
      </w:r>
      <w:r w:rsidRPr="00FC28F6">
        <w:t xml:space="preserve">не различаются. </w:t>
      </w:r>
      <w:r w:rsidRPr="00FC28F6">
        <w:rPr>
          <w:lang w:val="ru-MO"/>
        </w:rPr>
        <w:t xml:space="preserve">Этого и следовало ожидать, поскольку данные мутагены индуцируют повреждения, которые реализуются как ошибки репликации. </w:t>
      </w:r>
    </w:p>
    <w:p w:rsidR="009D3A98" w:rsidRPr="00FC28F6" w:rsidRDefault="009D3A98" w:rsidP="009D3A98">
      <w:pPr>
        <w:ind w:firstLine="567"/>
        <w:jc w:val="both"/>
      </w:pPr>
      <w:r w:rsidRPr="00FC28F6">
        <w:rPr>
          <w:lang w:val="ru-MO"/>
        </w:rPr>
        <w:t>Однако, для других использованных в работе мутагенов, запускающих работу репарационных систем, значения сравниваемых коэффициентов</w:t>
      </w:r>
      <w:r w:rsidRPr="00FC28F6">
        <w:t xml:space="preserve"> различаются в 10,0 – 33,3 раза для алкилирующих мутагенов, а в случае МтС в 56 раз. Полученные данные позволяют </w:t>
      </w:r>
      <w:r w:rsidRPr="00FC28F6">
        <w:lastRenderedPageBreak/>
        <w:t>заключить, что эта новая система «</w:t>
      </w:r>
      <w:r w:rsidRPr="00FC28F6">
        <w:rPr>
          <w:lang w:val="en-US"/>
        </w:rPr>
        <w:t>Rec</w:t>
      </w:r>
      <w:r w:rsidRPr="00FC28F6">
        <w:t xml:space="preserve">А-хромотест» является сверхчувствительной и может быть использована не только для обнаружения мутагенов, но и мутагенного фона объектов окружающей среды с различной степенью загрязнения [5].  </w:t>
      </w:r>
    </w:p>
    <w:p w:rsidR="009D3A98" w:rsidRPr="00FC28F6" w:rsidRDefault="009D3A98" w:rsidP="009D3A98">
      <w:pPr>
        <w:pStyle w:val="31"/>
        <w:ind w:firstLine="567"/>
        <w:jc w:val="both"/>
        <w:rPr>
          <w:sz w:val="24"/>
        </w:rPr>
      </w:pPr>
      <w:r w:rsidRPr="00FC28F6">
        <w:rPr>
          <w:sz w:val="24"/>
          <w:lang w:val="ru-MO"/>
        </w:rPr>
        <w:t xml:space="preserve">В основе другой категории методов тестирования химических веществ на генетическую активность с помощью индикаторных микроорганизмов лежит экспериментальная проверка их способности индуцировать генные мутации. Для этого чаще всего </w:t>
      </w:r>
      <w:r w:rsidRPr="00FC28F6">
        <w:rPr>
          <w:sz w:val="24"/>
        </w:rPr>
        <w:t xml:space="preserve">используется бактериальная тест-система Эймса, ставшая уже классической. Метод основан на способности мутагенов вызывать реверсии к прототрофности у ауксотрофных по гистидину штаммов </w:t>
      </w:r>
      <w:r w:rsidRPr="00FC28F6">
        <w:rPr>
          <w:i/>
          <w:sz w:val="24"/>
          <w:lang w:val="en-US"/>
        </w:rPr>
        <w:t>S</w:t>
      </w:r>
      <w:r w:rsidRPr="00FC28F6">
        <w:rPr>
          <w:i/>
          <w:sz w:val="24"/>
        </w:rPr>
        <w:t>.</w:t>
      </w:r>
      <w:r w:rsidRPr="00FC28F6">
        <w:rPr>
          <w:i/>
          <w:sz w:val="24"/>
          <w:lang w:val="en-US"/>
        </w:rPr>
        <w:t>typhimurium</w:t>
      </w:r>
      <w:r w:rsidRPr="00FC28F6">
        <w:rPr>
          <w:i/>
          <w:sz w:val="24"/>
        </w:rPr>
        <w:t>.</w:t>
      </w:r>
      <w:r w:rsidRPr="00FC28F6">
        <w:rPr>
          <w:sz w:val="24"/>
        </w:rPr>
        <w:t xml:space="preserve"> Ревертировавшие под действием мутагена клетки при высеве на селективную питательную среду образуют колонии. Если исследуемый агент оказывается мутагеном, то в его присутствии число таких колоний будет больше, чем в контроле (спонтанный уровень мутаций).</w:t>
      </w:r>
    </w:p>
    <w:p w:rsidR="009D3A98" w:rsidRPr="00FC28F6" w:rsidRDefault="009D3A98" w:rsidP="009D3A98">
      <w:pPr>
        <w:pStyle w:val="31"/>
        <w:ind w:firstLine="567"/>
        <w:jc w:val="both"/>
        <w:rPr>
          <w:sz w:val="24"/>
        </w:rPr>
      </w:pPr>
      <w:r w:rsidRPr="00FC28F6">
        <w:rPr>
          <w:sz w:val="24"/>
        </w:rPr>
        <w:t xml:space="preserve">Предложено достаточно большое число различных модификаций теста Эймса. Основная идея  усовершенствований – автоматизация процедуры тестирования и/или повышение чувствительности к отдельным типам мутагенов. Среди наиболее значимых отметим «градиент»-тест Эймса  и автоматизированный  «спиральный» тест Эймса [6]. С помощью этих модификаций можно одномоментно на одной чашке оценивать мутагенные свойства веществ сразу в нескольких концентрациях. </w:t>
      </w:r>
    </w:p>
    <w:p w:rsidR="009D3A98" w:rsidRPr="00FC28F6" w:rsidRDefault="009D3A98" w:rsidP="009D3A98">
      <w:pPr>
        <w:pStyle w:val="31"/>
        <w:ind w:firstLine="567"/>
        <w:jc w:val="both"/>
        <w:rPr>
          <w:sz w:val="24"/>
        </w:rPr>
      </w:pPr>
      <w:r w:rsidRPr="00FC28F6">
        <w:rPr>
          <w:sz w:val="24"/>
        </w:rPr>
        <w:t xml:space="preserve">Вместе с тем тест Эймса, несмотря на несомненную популярность, имеет и недостатки. Метод достаточно трудоемок, требует большого количества реактивов, оценка результатов может быть проведена лишь через 48 часов инкубации индикаторных бактерий с испытуемым образцом. Кроме того, тестирование нерастворимых в воде соединений может быть затруднено или даже вообще неосуществимо ввиду сложности его диффузии в слой селективного агара на чашке. И, наконец невозможно оценить  мутагенную активность образцов, содержащих токсические компоненты. Поэтому предлагается новая модификация теста Эймса, основанная на биолюминесцентном методе индикации АТФ бактериальных клеток, в основе которого лежит взаимодействие АТФ, люциферазы и люциферина, сопровождающееся свечением. Т.е. биолюминесцентные варианты теста предусматривают использование штаммов, имеющих гены  </w:t>
      </w:r>
      <w:r w:rsidRPr="00FC28F6">
        <w:rPr>
          <w:sz w:val="24"/>
          <w:lang w:val="en-US"/>
        </w:rPr>
        <w:t>lux</w:t>
      </w:r>
      <w:r w:rsidRPr="00FC28F6">
        <w:rPr>
          <w:sz w:val="24"/>
        </w:rPr>
        <w:t xml:space="preserve"> [7]. </w:t>
      </w:r>
    </w:p>
    <w:p w:rsidR="009D3A98" w:rsidRPr="00FC28F6" w:rsidRDefault="009D3A98" w:rsidP="009D3A98">
      <w:pPr>
        <w:pStyle w:val="31"/>
        <w:ind w:firstLine="567"/>
        <w:jc w:val="both"/>
        <w:rPr>
          <w:sz w:val="24"/>
        </w:rPr>
      </w:pPr>
      <w:r w:rsidRPr="00FC28F6">
        <w:rPr>
          <w:sz w:val="24"/>
        </w:rPr>
        <w:t xml:space="preserve">При этом одновременно определяется рост и ауксотрофов и прототрофов, что обеспечивает возможность параллельного измерения не только мутагенного, но и токсического эффекта. При этом время анализа значительно сокращается, реакция происходит в жидкой среде, измерение поддается автоматизации, что исключает субъективный фактор оценки, присутствующей в тесте Эймса. Данная модификация с успехом испытана на двух стандартных мутагенах – метилметансульфонате и нитрохинолиноксиде. Высокая чувствительность данного теста позволяет рекомендовать его для системы экологического контроля. </w:t>
      </w:r>
    </w:p>
    <w:p w:rsidR="009D3A98" w:rsidRPr="00FC28F6" w:rsidRDefault="009D3A98" w:rsidP="009D3A98">
      <w:pPr>
        <w:ind w:firstLine="567"/>
        <w:jc w:val="both"/>
      </w:pPr>
      <w:r w:rsidRPr="00FC28F6">
        <w:t xml:space="preserve">Существование в клетках </w:t>
      </w:r>
      <w:r w:rsidRPr="00FC28F6">
        <w:rPr>
          <w:lang w:val="en-US"/>
        </w:rPr>
        <w:t>E</w:t>
      </w:r>
      <w:r w:rsidRPr="00FC28F6">
        <w:t xml:space="preserve">. </w:t>
      </w:r>
      <w:r w:rsidRPr="00FC28F6">
        <w:rPr>
          <w:lang w:val="en-US"/>
        </w:rPr>
        <w:t>coli</w:t>
      </w:r>
      <w:r w:rsidRPr="00FC28F6">
        <w:t xml:space="preserve"> системы генов </w:t>
      </w:r>
      <w:r w:rsidRPr="00FC28F6">
        <w:rPr>
          <w:lang w:val="en-US"/>
        </w:rPr>
        <w:t>SOS</w:t>
      </w:r>
      <w:r w:rsidRPr="00FC28F6">
        <w:t xml:space="preserve">- ответа, выражение которых происходит координированно в ответ на действие мутагенов, создает реальную возможность, путем учета индукции активности любого из известных </w:t>
      </w:r>
      <w:r w:rsidRPr="00FC28F6">
        <w:rPr>
          <w:lang w:val="en-US"/>
        </w:rPr>
        <w:t>SOS</w:t>
      </w:r>
      <w:r w:rsidRPr="00FC28F6">
        <w:t xml:space="preserve"> - генов при действии испытуемого соединения, судить о его мутагенной активности. Эта принципиальная возможность реализована при создании так называемых </w:t>
      </w:r>
      <w:r w:rsidRPr="00FC28F6">
        <w:rPr>
          <w:lang w:val="en-US"/>
        </w:rPr>
        <w:t>SOS</w:t>
      </w:r>
      <w:r w:rsidRPr="00FC28F6">
        <w:t xml:space="preserve"> – хромотестов. Путем слежения за синтезом фермента β- галактозидазы, находящегося под контролем </w:t>
      </w:r>
      <w:r w:rsidRPr="00FC28F6">
        <w:rPr>
          <w:lang w:val="en-US"/>
        </w:rPr>
        <w:t>SOS</w:t>
      </w:r>
      <w:r w:rsidRPr="00FC28F6">
        <w:t>-индуцибельного промотора, полученные системы позволяют качественно и количественно оценивать генотоксичность тестируемых соединений.</w:t>
      </w:r>
    </w:p>
    <w:p w:rsidR="009D3A98" w:rsidRPr="00FC28F6" w:rsidRDefault="009D3A98" w:rsidP="009D3A98">
      <w:pPr>
        <w:pStyle w:val="31"/>
        <w:ind w:firstLine="567"/>
        <w:jc w:val="both"/>
        <w:rPr>
          <w:sz w:val="24"/>
        </w:rPr>
      </w:pPr>
      <w:r w:rsidRPr="00FC28F6">
        <w:rPr>
          <w:sz w:val="24"/>
        </w:rPr>
        <w:t xml:space="preserve">В настоящее время </w:t>
      </w:r>
      <w:r w:rsidRPr="00FC28F6">
        <w:rPr>
          <w:sz w:val="24"/>
          <w:lang w:val="en-US"/>
        </w:rPr>
        <w:t>SOS</w:t>
      </w:r>
      <w:r w:rsidRPr="00FC28F6">
        <w:rPr>
          <w:sz w:val="24"/>
        </w:rPr>
        <w:t xml:space="preserve"> – хромотест  существует в двух вариантах – «хромосомном» и «плазмидном». Достаточно обширный экпериментальный материал по сравнению эффективности </w:t>
      </w:r>
      <w:r w:rsidRPr="00FC28F6">
        <w:rPr>
          <w:sz w:val="24"/>
          <w:lang w:val="en-US"/>
        </w:rPr>
        <w:t>SOS</w:t>
      </w:r>
      <w:r w:rsidRPr="00FC28F6">
        <w:rPr>
          <w:sz w:val="24"/>
        </w:rPr>
        <w:t xml:space="preserve"> – хромотеста с широко известным тестом Эймса указывает, что по уровню прогностической способности эти тесты примерно одинаковы. Это касается также и порога чувствительности тестов, однако по времени, затрачиваемому на одно измерение, а также простоте и возможности автоматизации </w:t>
      </w:r>
      <w:r w:rsidRPr="00FC28F6">
        <w:rPr>
          <w:sz w:val="24"/>
          <w:lang w:val="en-US"/>
        </w:rPr>
        <w:t>SOS</w:t>
      </w:r>
      <w:r w:rsidRPr="00FC28F6">
        <w:rPr>
          <w:sz w:val="24"/>
        </w:rPr>
        <w:t xml:space="preserve"> – хромотест  несомненно превосходит </w:t>
      </w:r>
      <w:r w:rsidRPr="00FC28F6">
        <w:rPr>
          <w:sz w:val="24"/>
        </w:rPr>
        <w:lastRenderedPageBreak/>
        <w:t xml:space="preserve">тест Эймса. Следует сказать, что это сравнение относится к случаю – «хромосомного» варианта </w:t>
      </w:r>
      <w:r w:rsidRPr="00FC28F6">
        <w:rPr>
          <w:sz w:val="24"/>
          <w:lang w:val="en-US"/>
        </w:rPr>
        <w:t>SOS</w:t>
      </w:r>
      <w:r w:rsidRPr="00FC28F6">
        <w:rPr>
          <w:sz w:val="24"/>
        </w:rPr>
        <w:t xml:space="preserve"> – хромотеста [8]. </w:t>
      </w:r>
    </w:p>
    <w:p w:rsidR="009D3A98" w:rsidRPr="00FC28F6" w:rsidRDefault="009D3A98" w:rsidP="009D3A98">
      <w:pPr>
        <w:ind w:firstLine="567"/>
        <w:jc w:val="both"/>
        <w:rPr>
          <w:lang w:val="ru-MO"/>
        </w:rPr>
      </w:pPr>
      <w:r w:rsidRPr="00FC28F6">
        <w:t xml:space="preserve">Однако проведенные нами исследования по определению генотоксичности таких загрязнителей, как фосфорорганические и триазиновые пестициды показали, что </w:t>
      </w:r>
      <w:r w:rsidRPr="00FC28F6">
        <w:rPr>
          <w:lang w:val="en-US"/>
        </w:rPr>
        <w:t>SOS</w:t>
      </w:r>
      <w:r w:rsidRPr="00FC28F6">
        <w:t xml:space="preserve"> – хромотест  на базе плазмиды </w:t>
      </w:r>
      <w:r w:rsidRPr="00FC28F6">
        <w:rPr>
          <w:lang w:val="en-US"/>
        </w:rPr>
        <w:t>pJB</w:t>
      </w:r>
      <w:r w:rsidRPr="00FC28F6">
        <w:t>43 превосходит «хромосомный» аналог Килларде и др. по минимально обнаруживаемой концентрации (порогу чувствительности), времени, затрачиваемому на одно измерение и коэффициенту индукции в несколько раз. Достоверный эффект наблюдается в области малых доз – 1 и 10 мкг/мл, для которых активности на штаммах Эймса не обнаружено [9].</w:t>
      </w:r>
    </w:p>
    <w:p w:rsidR="009D3A98" w:rsidRPr="00FC28F6" w:rsidRDefault="009D3A98" w:rsidP="009D3A98">
      <w:pPr>
        <w:ind w:firstLine="567"/>
        <w:jc w:val="both"/>
      </w:pPr>
      <w:r w:rsidRPr="00FC28F6">
        <w:t>Общим достоинством бактериальных тестов является быстрота, экономичность, высокая чувствительность, возможность автоматизации. Краткосрочные бактериальные тест-системы, применяемые в генетической токсикологии, могут быть использованы в системе экологического мониторинга для измерения мутагенного фона объектов окружающей среды.</w:t>
      </w:r>
    </w:p>
    <w:p w:rsidR="009D3A98" w:rsidRPr="00FC28F6" w:rsidRDefault="009D3A98" w:rsidP="009D3A98">
      <w:pPr>
        <w:ind w:firstLine="567"/>
        <w:jc w:val="both"/>
        <w:rPr>
          <w:lang w:val="ru-MO"/>
        </w:rPr>
      </w:pPr>
    </w:p>
    <w:p w:rsidR="009D3A98" w:rsidRPr="00FC28F6" w:rsidRDefault="009D3A98" w:rsidP="009D3A98">
      <w:pPr>
        <w:tabs>
          <w:tab w:val="left" w:pos="360"/>
        </w:tabs>
        <w:ind w:left="567"/>
        <w:jc w:val="both"/>
        <w:rPr>
          <w:i/>
        </w:rPr>
      </w:pPr>
      <w:r w:rsidRPr="00FC28F6">
        <w:rPr>
          <w:i/>
        </w:rPr>
        <w:t>Литература</w:t>
      </w:r>
    </w:p>
    <w:p w:rsidR="009D3A98" w:rsidRPr="00FC28F6" w:rsidRDefault="009D3A98" w:rsidP="009D3A98">
      <w:pPr>
        <w:tabs>
          <w:tab w:val="left" w:pos="360"/>
        </w:tabs>
        <w:ind w:left="567"/>
        <w:jc w:val="both"/>
      </w:pPr>
    </w:p>
    <w:p w:rsidR="009D3A98" w:rsidRPr="00FC28F6" w:rsidRDefault="009D3A98" w:rsidP="009D3A98">
      <w:pPr>
        <w:tabs>
          <w:tab w:val="left" w:pos="360"/>
        </w:tabs>
        <w:jc w:val="both"/>
      </w:pPr>
      <w:r w:rsidRPr="00FC28F6">
        <w:t xml:space="preserve">1.  Новиков А.В. Экология, окружающая среда и человек // М.: Наука. – 2001. – 306 </w:t>
      </w:r>
      <w:r w:rsidRPr="00FC28F6">
        <w:rPr>
          <w:lang w:val="en-US"/>
        </w:rPr>
        <w:t>c</w:t>
      </w:r>
      <w:r w:rsidRPr="00FC28F6">
        <w:t>.</w:t>
      </w:r>
    </w:p>
    <w:p w:rsidR="009D3A98" w:rsidRPr="00FC28F6" w:rsidRDefault="009D3A98" w:rsidP="009D3A98">
      <w:pPr>
        <w:tabs>
          <w:tab w:val="left" w:pos="360"/>
        </w:tabs>
        <w:jc w:val="both"/>
      </w:pPr>
      <w:r w:rsidRPr="00FC28F6">
        <w:rPr>
          <w:lang w:val="en-US"/>
        </w:rPr>
        <w:t>2. Fahring R.F., Lang R., Madle S. General strategy for the assessment of genotoxicity // Mutat. Res. – 1991. – Vol. 252. – P. 161</w:t>
      </w:r>
      <w:r w:rsidRPr="00FC28F6">
        <w:t>-163.</w:t>
      </w:r>
    </w:p>
    <w:p w:rsidR="009D3A98" w:rsidRPr="00FC28F6" w:rsidRDefault="009D3A98" w:rsidP="009D3A98">
      <w:pPr>
        <w:jc w:val="both"/>
      </w:pPr>
      <w:r w:rsidRPr="00FC28F6">
        <w:t>3. Тарасов В.А., Абилев С.К., Велибеков Р.М., Асланян М.М. Эффективность батарей тестов при оценке потенциальной мутагенной опасности химических соединений // Генетика. – 2003. -  Т.39. - №10. – С.1406-1417.</w:t>
      </w:r>
    </w:p>
    <w:p w:rsidR="009D3A98" w:rsidRPr="00FC28F6" w:rsidRDefault="009D3A98" w:rsidP="009D3A98">
      <w:pPr>
        <w:jc w:val="both"/>
        <w:rPr>
          <w:lang w:val="en-US"/>
        </w:rPr>
      </w:pPr>
      <w:r w:rsidRPr="00FC28F6">
        <w:rPr>
          <w:lang w:val="en-US"/>
        </w:rPr>
        <w:t>4. Yamaguci T. Mutagenic activity of various kinds of cheese on the Ames, rec and umu assay // Mutat. Res.-1989. Vol. – 224. - №4. -P.493-502.</w:t>
      </w:r>
    </w:p>
    <w:p w:rsidR="009D3A98" w:rsidRPr="00FC28F6" w:rsidRDefault="009D3A98" w:rsidP="009D3A98">
      <w:pPr>
        <w:jc w:val="both"/>
      </w:pPr>
      <w:r w:rsidRPr="00FC28F6">
        <w:t xml:space="preserve">5. Савицкая И.С., Махмудова Г.С., Кистаубаева А.С., Ахметова Ж.А. Перспективы использования автоматизированных бактериальных тест-систем для массового скрининга генотоксичных агентов в почве // Сборник материалов </w:t>
      </w:r>
      <w:r w:rsidRPr="00FC28F6">
        <w:rPr>
          <w:lang w:val="en-US"/>
        </w:rPr>
        <w:t>II</w:t>
      </w:r>
      <w:r w:rsidRPr="00FC28F6">
        <w:t xml:space="preserve"> Международной конференции «Современные проблемы геоэкологии и сохранение биоразнобразия». - Бишкек, 2007 - С. 278-280. </w:t>
      </w:r>
    </w:p>
    <w:p w:rsidR="009D3A98" w:rsidRPr="00FC28F6" w:rsidRDefault="009D3A98" w:rsidP="009D3A98">
      <w:pPr>
        <w:tabs>
          <w:tab w:val="left" w:pos="360"/>
        </w:tabs>
        <w:jc w:val="both"/>
        <w:rPr>
          <w:lang w:val="en-US"/>
        </w:rPr>
      </w:pPr>
      <w:r w:rsidRPr="00FC28F6">
        <w:rPr>
          <w:lang w:val="en-US"/>
        </w:rPr>
        <w:t>6. Diehl M., Fort F. Spiral Salmonella assay: validation against the standard pour-plate assay // Environ. Mol. Mutagen. – 1996. – Vol. 27. – P. 227-236.</w:t>
      </w:r>
    </w:p>
    <w:p w:rsidR="009D3A98" w:rsidRPr="00FC28F6" w:rsidRDefault="009D3A98" w:rsidP="009D3A98">
      <w:pPr>
        <w:jc w:val="both"/>
        <w:rPr>
          <w:lang w:val="en-US"/>
        </w:rPr>
      </w:pPr>
      <w:r w:rsidRPr="00FC28F6">
        <w:rPr>
          <w:lang w:val="en-US"/>
        </w:rPr>
        <w:t>7. Guadano A., Pena E., Azucena G.C., Jose F.A. Development of new bioluminescent mutagenicity assay based on the Ames test // Mutagenesis, 1999, Vol.14, № 4. -P.411-415.</w:t>
      </w:r>
    </w:p>
    <w:p w:rsidR="009D3A98" w:rsidRPr="00FC28F6" w:rsidRDefault="009D3A98" w:rsidP="009D3A98">
      <w:pPr>
        <w:jc w:val="both"/>
        <w:rPr>
          <w:lang w:val="en-US"/>
        </w:rPr>
      </w:pPr>
      <w:r w:rsidRPr="00FC28F6">
        <w:rPr>
          <w:lang w:val="en-US"/>
        </w:rPr>
        <w:t>8. Quillardet P., Huisman O.,De An R., Hofnung M. SOS-chromotesti, ei direct assay of induction of a SOS function in Escherichia coli k12 to measure genotoxicity // Proc. Nat. Acad . Sci. (USA). - 1982. -  Vol.79. -  P.5971-5975.</w:t>
      </w:r>
    </w:p>
    <w:p w:rsidR="009D3A98" w:rsidRDefault="009D3A98" w:rsidP="009D3A98">
      <w:pPr>
        <w:jc w:val="both"/>
      </w:pPr>
      <w:r w:rsidRPr="00FC28F6">
        <w:t xml:space="preserve">9. Савицкая И.С., Махмудова Г.С., Кистаубаева А.С., Ахметова Ж.А. Перспективы использования автоматизированных бактериальных тест-систем для массового скрининга генотоксичных агентов в почве // Сборник материалов </w:t>
      </w:r>
      <w:r w:rsidRPr="00FC28F6">
        <w:rPr>
          <w:lang w:val="en-US"/>
        </w:rPr>
        <w:t>II</w:t>
      </w:r>
      <w:r w:rsidRPr="00FC28F6">
        <w:t xml:space="preserve"> Международной конференции «Современные проблемы геоэкологии и сохранение биоразнобразия». - Бишкек, 2007 - С. 278-280.</w:t>
      </w:r>
    </w:p>
    <w:p w:rsidR="009D3A98" w:rsidRDefault="009D3A98" w:rsidP="009D3A98">
      <w:pPr>
        <w:jc w:val="both"/>
      </w:pPr>
    </w:p>
    <w:p w:rsidR="009D3A98" w:rsidRPr="00FC28F6" w:rsidRDefault="009D3A98" w:rsidP="009D3A98">
      <w:pPr>
        <w:ind w:firstLine="567"/>
        <w:jc w:val="both"/>
        <w:rPr>
          <w:b/>
        </w:rPr>
      </w:pPr>
      <w:r w:rsidRPr="00FC28F6">
        <w:rPr>
          <w:b/>
        </w:rPr>
        <w:t xml:space="preserve">Аннотация </w:t>
      </w:r>
    </w:p>
    <w:p w:rsidR="009D3A98" w:rsidRPr="00FC28F6" w:rsidRDefault="009D3A98" w:rsidP="009D3A98">
      <w:pPr>
        <w:ind w:firstLine="567"/>
        <w:jc w:val="both"/>
      </w:pPr>
      <w:r>
        <w:t>П</w:t>
      </w:r>
      <w:r w:rsidRPr="00FC28F6">
        <w:t xml:space="preserve">риводится краткая характеристика основных разновидностей бактериальных тест-систем на мутагенез и репарацию, применяемых в экотоксикологии. Обсуждаются их достоинства и недостатки. </w:t>
      </w:r>
      <w:r w:rsidRPr="00FC28F6">
        <w:rPr>
          <w:lang w:val="ru-MO"/>
        </w:rPr>
        <w:t xml:space="preserve">Разработана </w:t>
      </w:r>
      <w:r w:rsidRPr="00FC28F6">
        <w:t xml:space="preserve">новая модификация </w:t>
      </w:r>
      <w:r w:rsidRPr="00FC28F6">
        <w:rPr>
          <w:lang w:val="en-US"/>
        </w:rPr>
        <w:t>Rec</w:t>
      </w:r>
      <w:r w:rsidRPr="00FC28F6">
        <w:t>-хромотеста. Она рекомендуется для использования в генетической токсикологии при скрининговых исследованиях для определения ДНК-тропной и антигенотоксической активности различных факторов.</w:t>
      </w:r>
    </w:p>
    <w:p w:rsidR="009D3A98" w:rsidRDefault="009D3A98" w:rsidP="009D3A98">
      <w:pPr>
        <w:ind w:firstLine="567"/>
        <w:jc w:val="both"/>
        <w:rPr>
          <w:lang w:val="kk-KZ"/>
        </w:rPr>
      </w:pPr>
    </w:p>
    <w:p w:rsidR="009D3A98" w:rsidRDefault="009D3A98" w:rsidP="009D3A98">
      <w:pPr>
        <w:ind w:firstLine="567"/>
        <w:jc w:val="both"/>
        <w:rPr>
          <w:lang w:val="kk-KZ"/>
        </w:rPr>
      </w:pPr>
    </w:p>
    <w:p w:rsidR="009D3A98" w:rsidRPr="006F4FD2" w:rsidRDefault="009D3A98" w:rsidP="009D3A98">
      <w:pPr>
        <w:ind w:firstLine="567"/>
        <w:jc w:val="both"/>
        <w:rPr>
          <w:lang w:val="kk-KZ"/>
        </w:rPr>
      </w:pPr>
    </w:p>
    <w:p w:rsidR="009D3A98" w:rsidRPr="00FC28F6" w:rsidRDefault="009D3A98" w:rsidP="009D3A98">
      <w:pPr>
        <w:ind w:firstLine="567"/>
        <w:rPr>
          <w:b/>
          <w:lang w:val="en-US"/>
        </w:rPr>
      </w:pPr>
      <w:r w:rsidRPr="00FC28F6">
        <w:rPr>
          <w:b/>
          <w:lang w:val="en-US"/>
        </w:rPr>
        <w:lastRenderedPageBreak/>
        <w:t>Summary</w:t>
      </w:r>
    </w:p>
    <w:p w:rsidR="009D3A98" w:rsidRPr="00FC28F6" w:rsidRDefault="009D3A98" w:rsidP="009D3A98">
      <w:pPr>
        <w:ind w:firstLine="567"/>
        <w:jc w:val="both"/>
        <w:rPr>
          <w:lang w:val="en-US"/>
        </w:rPr>
      </w:pPr>
      <w:r w:rsidRPr="00FC28F6">
        <w:rPr>
          <w:lang w:val="en-US"/>
        </w:rPr>
        <w:t xml:space="preserve">The short characteristic of the basic versions of bacterial test systems on </w:t>
      </w:r>
      <w:r w:rsidRPr="00FC28F6">
        <w:rPr>
          <w:rStyle w:val="unknownword"/>
          <w:lang w:val="en-US"/>
        </w:rPr>
        <w:t>mutation</w:t>
      </w:r>
      <w:r w:rsidRPr="00FC28F6">
        <w:rPr>
          <w:lang w:val="en-US"/>
        </w:rPr>
        <w:t xml:space="preserve"> and a reparation, applied in </w:t>
      </w:r>
      <w:r w:rsidRPr="00FC28F6">
        <w:rPr>
          <w:rStyle w:val="unknownword"/>
          <w:lang w:val="en-US"/>
        </w:rPr>
        <w:t>ecotoxicology</w:t>
      </w:r>
      <w:r w:rsidRPr="00FC28F6">
        <w:rPr>
          <w:lang w:val="en-US"/>
        </w:rPr>
        <w:t xml:space="preserve"> is resulted. Their merits and demerits are discussed. Is developed new updating Rec-hromotests. It is recommended for use in genetic toxicology at </w:t>
      </w:r>
      <w:r w:rsidRPr="00FC28F6">
        <w:rPr>
          <w:rStyle w:val="unknownword"/>
          <w:lang w:val="en-US"/>
        </w:rPr>
        <w:t xml:space="preserve">screenings </w:t>
      </w:r>
      <w:r w:rsidRPr="00FC28F6">
        <w:rPr>
          <w:lang w:val="en-US"/>
        </w:rPr>
        <w:t xml:space="preserve">researches for definition of DNA-trops and </w:t>
      </w:r>
      <w:r w:rsidRPr="00FC28F6">
        <w:rPr>
          <w:rStyle w:val="unknownword"/>
          <w:lang w:val="en-US"/>
        </w:rPr>
        <w:t xml:space="preserve">antigen toxics </w:t>
      </w:r>
      <w:r w:rsidRPr="00FC28F6">
        <w:rPr>
          <w:lang w:val="en-US"/>
        </w:rPr>
        <w:t>to activity of various factors.</w:t>
      </w:r>
    </w:p>
    <w:p w:rsidR="009D3A98" w:rsidRPr="00FC28F6" w:rsidRDefault="009D3A98" w:rsidP="009D3A98">
      <w:pPr>
        <w:ind w:firstLine="567"/>
        <w:jc w:val="both"/>
        <w:rPr>
          <w:lang w:val="en-US"/>
        </w:rPr>
      </w:pPr>
    </w:p>
    <w:p w:rsidR="009D3A98" w:rsidRPr="00FC28F6" w:rsidRDefault="009D3A98" w:rsidP="009D3A98">
      <w:pPr>
        <w:ind w:firstLine="567"/>
        <w:jc w:val="both"/>
        <w:rPr>
          <w:lang w:val="en-US"/>
        </w:rPr>
      </w:pPr>
    </w:p>
    <w:p w:rsidR="009D3A98" w:rsidRPr="00FC28F6" w:rsidRDefault="009D3A98" w:rsidP="009D3A98">
      <w:pPr>
        <w:ind w:firstLine="567"/>
        <w:jc w:val="both"/>
        <w:rPr>
          <w:lang w:val="en-US"/>
        </w:rPr>
      </w:pPr>
    </w:p>
    <w:p w:rsidR="009D3A98" w:rsidRPr="00FC28F6" w:rsidRDefault="009D3A98" w:rsidP="009D3A98">
      <w:pPr>
        <w:ind w:firstLine="567"/>
        <w:jc w:val="both"/>
        <w:rPr>
          <w:lang w:val="en-US"/>
        </w:rPr>
      </w:pPr>
      <w:r w:rsidRPr="00FC28F6">
        <w:rPr>
          <w:lang w:val="en-US"/>
        </w:rPr>
        <w:t xml:space="preserve">   </w:t>
      </w:r>
    </w:p>
    <w:p w:rsidR="009D3A98" w:rsidRPr="00FC28F6" w:rsidRDefault="009D3A98" w:rsidP="009D3A98">
      <w:pPr>
        <w:ind w:firstLine="567"/>
        <w:jc w:val="both"/>
        <w:rPr>
          <w:lang w:val="en-US"/>
        </w:rPr>
      </w:pPr>
    </w:p>
    <w:p w:rsidR="009D3A98" w:rsidRPr="00FC28F6" w:rsidRDefault="009D3A98" w:rsidP="009D3A98">
      <w:pPr>
        <w:ind w:firstLine="567"/>
        <w:jc w:val="both"/>
        <w:rPr>
          <w:lang w:val="en-US"/>
        </w:rPr>
      </w:pPr>
    </w:p>
    <w:p w:rsidR="009D3A98" w:rsidRPr="00FC28F6" w:rsidRDefault="009D3A98" w:rsidP="009D3A98">
      <w:pPr>
        <w:ind w:firstLine="567"/>
        <w:jc w:val="both"/>
        <w:rPr>
          <w:lang w:val="en-US"/>
        </w:rPr>
      </w:pPr>
    </w:p>
    <w:p w:rsidR="009F6791" w:rsidRPr="009D3A98" w:rsidRDefault="009F6791">
      <w:pPr>
        <w:rPr>
          <w:lang w:val="en-US"/>
        </w:rPr>
      </w:pPr>
    </w:p>
    <w:sectPr w:rsidR="009F6791" w:rsidRPr="009D3A98" w:rsidSect="00B54D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D3A98"/>
    <w:rsid w:val="009D3A98"/>
    <w:rsid w:val="009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3A9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D3A98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9D3A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D3A9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D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D3A98"/>
    <w:rPr>
      <w:sz w:val="28"/>
    </w:rPr>
  </w:style>
  <w:style w:type="character" w:customStyle="1" w:styleId="32">
    <w:name w:val="Основной текст 3 Знак"/>
    <w:basedOn w:val="a0"/>
    <w:link w:val="31"/>
    <w:rsid w:val="009D3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knownword">
    <w:name w:val="unknown_word"/>
    <w:basedOn w:val="a0"/>
    <w:rsid w:val="009D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a.zhubanova</dc:creator>
  <cp:keywords/>
  <dc:description/>
  <cp:lastModifiedBy>a.zhubanova</cp:lastModifiedBy>
  <cp:revision>2</cp:revision>
  <dcterms:created xsi:type="dcterms:W3CDTF">2012-06-05T08:31:00Z</dcterms:created>
  <dcterms:modified xsi:type="dcterms:W3CDTF">2012-06-05T08:31:00Z</dcterms:modified>
</cp:coreProperties>
</file>