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3" w:rsidRPr="00AF47CF" w:rsidRDefault="002B5953" w:rsidP="002B5953">
      <w:pPr>
        <w:pStyle w:val="2"/>
        <w:ind w:left="0" w:firstLine="0"/>
        <w:jc w:val="center"/>
        <w:rPr>
          <w:szCs w:val="24"/>
        </w:rPr>
      </w:pPr>
      <w:r w:rsidRPr="00AF47CF">
        <w:rPr>
          <w:b/>
          <w:szCs w:val="24"/>
        </w:rPr>
        <w:t xml:space="preserve">Популяционный уровень кишечных </w:t>
      </w:r>
      <w:proofErr w:type="spellStart"/>
      <w:r w:rsidRPr="00AF47CF">
        <w:rPr>
          <w:b/>
          <w:szCs w:val="24"/>
        </w:rPr>
        <w:t>пробиотических</w:t>
      </w:r>
      <w:proofErr w:type="spellEnd"/>
      <w:r w:rsidRPr="00AF47CF">
        <w:rPr>
          <w:b/>
          <w:szCs w:val="24"/>
        </w:rPr>
        <w:t xml:space="preserve"> бактерий и фекальные мутагены</w:t>
      </w:r>
      <w:r w:rsidRPr="00AF47CF">
        <w:rPr>
          <w:szCs w:val="24"/>
        </w:rPr>
        <w:t xml:space="preserve"> </w:t>
      </w:r>
    </w:p>
    <w:p w:rsidR="002B5953" w:rsidRDefault="002B5953" w:rsidP="002B5953">
      <w:pPr>
        <w:pStyle w:val="2"/>
        <w:ind w:left="0" w:firstLine="0"/>
        <w:jc w:val="center"/>
        <w:rPr>
          <w:b/>
          <w:szCs w:val="24"/>
        </w:rPr>
      </w:pPr>
    </w:p>
    <w:p w:rsidR="002B5953" w:rsidRDefault="002B5953" w:rsidP="002B5953">
      <w:pPr>
        <w:pStyle w:val="2"/>
        <w:ind w:left="0" w:firstLine="0"/>
        <w:jc w:val="center"/>
        <w:rPr>
          <w:b/>
          <w:szCs w:val="24"/>
        </w:rPr>
      </w:pPr>
      <w:r w:rsidRPr="006D4E63">
        <w:rPr>
          <w:b/>
          <w:szCs w:val="24"/>
        </w:rPr>
        <w:t>И.С.Савицкая</w:t>
      </w:r>
    </w:p>
    <w:p w:rsidR="002B5953" w:rsidRDefault="002B5953" w:rsidP="002B5953">
      <w:pPr>
        <w:pStyle w:val="2"/>
        <w:ind w:left="0" w:firstLine="0"/>
        <w:jc w:val="center"/>
        <w:rPr>
          <w:b/>
          <w:szCs w:val="24"/>
        </w:rPr>
      </w:pPr>
    </w:p>
    <w:p w:rsidR="002B5953" w:rsidRDefault="002B5953" w:rsidP="002B5953">
      <w:pPr>
        <w:pStyle w:val="2"/>
        <w:ind w:left="0" w:firstLine="0"/>
        <w:jc w:val="center"/>
        <w:rPr>
          <w:szCs w:val="24"/>
        </w:rPr>
      </w:pPr>
      <w:r w:rsidRPr="006D4E63">
        <w:rPr>
          <w:szCs w:val="24"/>
        </w:rPr>
        <w:t xml:space="preserve">Казахский национальный университет им. </w:t>
      </w:r>
      <w:proofErr w:type="spellStart"/>
      <w:r w:rsidRPr="006D4E63">
        <w:rPr>
          <w:szCs w:val="24"/>
        </w:rPr>
        <w:t>аль-</w:t>
      </w:r>
      <w:r>
        <w:rPr>
          <w:szCs w:val="24"/>
        </w:rPr>
        <w:t>Фараби</w:t>
      </w:r>
      <w:proofErr w:type="spellEnd"/>
    </w:p>
    <w:p w:rsidR="002B5953" w:rsidRPr="006D4E63" w:rsidRDefault="002B5953" w:rsidP="002B5953">
      <w:pPr>
        <w:pStyle w:val="2"/>
        <w:ind w:left="0" w:firstLine="0"/>
        <w:jc w:val="center"/>
        <w:rPr>
          <w:szCs w:val="24"/>
        </w:rPr>
      </w:pPr>
    </w:p>
    <w:p w:rsidR="002B5953" w:rsidRPr="006D4E63" w:rsidRDefault="002B5953" w:rsidP="002B5953">
      <w:pPr>
        <w:pStyle w:val="2"/>
        <w:ind w:left="0" w:firstLine="540"/>
        <w:jc w:val="both"/>
        <w:rPr>
          <w:szCs w:val="24"/>
          <w:lang w:bidi="he-IL"/>
        </w:rPr>
      </w:pPr>
      <w:r w:rsidRPr="006D4E63">
        <w:rPr>
          <w:szCs w:val="24"/>
          <w:lang w:bidi="he-IL"/>
        </w:rPr>
        <w:t xml:space="preserve">В организме человека в результате химического взаимодействия между определенными соединениями, входящими в состав пищи, или их метаболической активации в некоторых случаях могут синтезироваться мутагены </w:t>
      </w:r>
      <w:r w:rsidRPr="006D4E63">
        <w:rPr>
          <w:szCs w:val="24"/>
        </w:rPr>
        <w:t>[1,7,15].</w:t>
      </w:r>
      <w:r w:rsidRPr="006D4E63">
        <w:rPr>
          <w:szCs w:val="24"/>
          <w:lang w:val="kk-KZ"/>
        </w:rPr>
        <w:t xml:space="preserve"> </w:t>
      </w:r>
      <w:r w:rsidRPr="006D4E63">
        <w:rPr>
          <w:szCs w:val="24"/>
          <w:lang w:bidi="he-IL"/>
        </w:rPr>
        <w:t xml:space="preserve">Образование мутагенных продуктов из исходных веществ возможно и в процессе их микробной трансформации </w:t>
      </w:r>
      <w:r w:rsidRPr="006D4E63">
        <w:rPr>
          <w:szCs w:val="24"/>
        </w:rPr>
        <w:t xml:space="preserve">[3, 12]. Такой процесс может происходить при нарушении микробной экологии кишечника, поскольку участие </w:t>
      </w:r>
      <w:proofErr w:type="spellStart"/>
      <w:r w:rsidRPr="006D4E63">
        <w:rPr>
          <w:szCs w:val="24"/>
        </w:rPr>
        <w:t>дисбиотической</w:t>
      </w:r>
      <w:proofErr w:type="spellEnd"/>
      <w:r w:rsidRPr="006D4E63">
        <w:rPr>
          <w:szCs w:val="24"/>
        </w:rPr>
        <w:t xml:space="preserve"> </w:t>
      </w:r>
      <w:proofErr w:type="spellStart"/>
      <w:r w:rsidRPr="006D4E63">
        <w:rPr>
          <w:szCs w:val="24"/>
        </w:rPr>
        <w:t>микробиоты</w:t>
      </w:r>
      <w:proofErr w:type="spellEnd"/>
      <w:r w:rsidRPr="006D4E63">
        <w:rPr>
          <w:szCs w:val="24"/>
        </w:rPr>
        <w:t xml:space="preserve"> в канцерогенезе подтверждено многими экспериментальными данными. Усиленный синтез таких бактериальных ферментов как </w:t>
      </w:r>
      <w:proofErr w:type="spellStart"/>
      <w:r w:rsidRPr="006D4E63">
        <w:rPr>
          <w:szCs w:val="24"/>
        </w:rPr>
        <w:t>α-</w:t>
      </w:r>
      <w:proofErr w:type="spellEnd"/>
      <w:r w:rsidRPr="006D4E63">
        <w:rPr>
          <w:szCs w:val="24"/>
        </w:rPr>
        <w:t xml:space="preserve"> и </w:t>
      </w:r>
      <w:proofErr w:type="spellStart"/>
      <w:proofErr w:type="gramStart"/>
      <w:r w:rsidRPr="006D4E63">
        <w:rPr>
          <w:szCs w:val="24"/>
        </w:rPr>
        <w:t>β-</w:t>
      </w:r>
      <w:proofErr w:type="gramEnd"/>
      <w:r w:rsidRPr="006D4E63">
        <w:rPr>
          <w:szCs w:val="24"/>
        </w:rPr>
        <w:t>глюкозидаза,</w:t>
      </w:r>
      <w:proofErr w:type="spellEnd"/>
      <w:r w:rsidRPr="006D4E63">
        <w:rPr>
          <w:szCs w:val="24"/>
        </w:rPr>
        <w:t xml:space="preserve"> </w:t>
      </w:r>
      <w:proofErr w:type="spellStart"/>
      <w:r w:rsidRPr="006D4E63">
        <w:rPr>
          <w:szCs w:val="24"/>
        </w:rPr>
        <w:t>β-глюкуронидаза,</w:t>
      </w:r>
      <w:proofErr w:type="spellEnd"/>
      <w:r w:rsidRPr="006D4E63">
        <w:rPr>
          <w:szCs w:val="24"/>
        </w:rPr>
        <w:t xml:space="preserve"> 7-</w:t>
      </w:r>
      <w:r w:rsidRPr="006D4E63">
        <w:rPr>
          <w:szCs w:val="24"/>
          <w:lang w:bidi="he-IL"/>
        </w:rPr>
        <w:t xml:space="preserve">α </w:t>
      </w:r>
      <w:proofErr w:type="spellStart"/>
      <w:r w:rsidRPr="006D4E63">
        <w:rPr>
          <w:szCs w:val="24"/>
          <w:lang w:bidi="he-IL"/>
        </w:rPr>
        <w:t>дегидроксилаза</w:t>
      </w:r>
      <w:proofErr w:type="spellEnd"/>
      <w:r w:rsidRPr="006D4E63">
        <w:rPr>
          <w:szCs w:val="24"/>
          <w:lang w:bidi="he-IL"/>
        </w:rPr>
        <w:t xml:space="preserve">, 7-α-стероиддегидрогеназа, </w:t>
      </w:r>
      <w:proofErr w:type="spellStart"/>
      <w:r w:rsidRPr="006D4E63">
        <w:rPr>
          <w:szCs w:val="24"/>
          <w:lang w:bidi="he-IL"/>
        </w:rPr>
        <w:t>нитроредуктаза</w:t>
      </w:r>
      <w:proofErr w:type="spellEnd"/>
      <w:r w:rsidRPr="006D4E63">
        <w:rPr>
          <w:szCs w:val="24"/>
          <w:lang w:bidi="he-IL"/>
        </w:rPr>
        <w:t xml:space="preserve">, </w:t>
      </w:r>
      <w:proofErr w:type="spellStart"/>
      <w:r w:rsidRPr="006D4E63">
        <w:rPr>
          <w:szCs w:val="24"/>
          <w:lang w:bidi="he-IL"/>
        </w:rPr>
        <w:t>азоредуктаза</w:t>
      </w:r>
      <w:proofErr w:type="spellEnd"/>
      <w:r w:rsidRPr="006D4E63">
        <w:rPr>
          <w:szCs w:val="24"/>
        </w:rPr>
        <w:t xml:space="preserve"> активизирует реакции преобразования многих </w:t>
      </w:r>
      <w:proofErr w:type="spellStart"/>
      <w:r w:rsidRPr="006D4E63">
        <w:rPr>
          <w:szCs w:val="24"/>
        </w:rPr>
        <w:t>проканцерогенов</w:t>
      </w:r>
      <w:proofErr w:type="spellEnd"/>
      <w:r w:rsidRPr="006D4E63">
        <w:rPr>
          <w:szCs w:val="24"/>
        </w:rPr>
        <w:t xml:space="preserve"> в канцерогены. Эти ферменты эффективно продуцируют </w:t>
      </w:r>
      <w:proofErr w:type="spellStart"/>
      <w:r w:rsidRPr="006D4E63">
        <w:rPr>
          <w:szCs w:val="24"/>
        </w:rPr>
        <w:t>клостридии</w:t>
      </w:r>
      <w:proofErr w:type="spellEnd"/>
      <w:r w:rsidRPr="006D4E63">
        <w:rPr>
          <w:szCs w:val="24"/>
        </w:rPr>
        <w:t xml:space="preserve">, бактероиды, </w:t>
      </w:r>
      <w:proofErr w:type="spellStart"/>
      <w:r w:rsidRPr="006D4E63">
        <w:rPr>
          <w:szCs w:val="24"/>
        </w:rPr>
        <w:t>вейллонеллы</w:t>
      </w:r>
      <w:proofErr w:type="spellEnd"/>
      <w:r w:rsidRPr="006D4E63">
        <w:rPr>
          <w:szCs w:val="24"/>
        </w:rPr>
        <w:t xml:space="preserve">, </w:t>
      </w:r>
      <w:proofErr w:type="spellStart"/>
      <w:r w:rsidRPr="006D4E63">
        <w:rPr>
          <w:szCs w:val="24"/>
        </w:rPr>
        <w:t>эшерихии</w:t>
      </w:r>
      <w:proofErr w:type="spellEnd"/>
      <w:r w:rsidRPr="006D4E63">
        <w:rPr>
          <w:szCs w:val="24"/>
        </w:rPr>
        <w:t xml:space="preserve">, актиномицеты, </w:t>
      </w:r>
      <w:proofErr w:type="spellStart"/>
      <w:r w:rsidRPr="006D4E63">
        <w:rPr>
          <w:szCs w:val="24"/>
        </w:rPr>
        <w:t>гемофильные</w:t>
      </w:r>
      <w:proofErr w:type="spellEnd"/>
      <w:r w:rsidRPr="006D4E63">
        <w:rPr>
          <w:szCs w:val="24"/>
        </w:rPr>
        <w:t xml:space="preserve"> бактерии [1,6]. На самом деле, спектр метаболической активности этих микроорганизмов значительно шире, что позволяет им воздействовать на многие субстраты, попадающие в организм человека из окружающей среды, а также эндогенного происхождения, с образованием разнообразных мутагенов и канцерогенов.</w:t>
      </w:r>
      <w:r w:rsidRPr="006D4E63">
        <w:rPr>
          <w:szCs w:val="24"/>
          <w:lang w:bidi="he-IL"/>
        </w:rPr>
        <w:t xml:space="preserve"> </w:t>
      </w:r>
    </w:p>
    <w:p w:rsidR="002B5953" w:rsidRPr="006D4E63" w:rsidRDefault="002B5953" w:rsidP="002B5953">
      <w:pPr>
        <w:pStyle w:val="2"/>
        <w:ind w:left="0" w:firstLine="540"/>
        <w:jc w:val="both"/>
        <w:rPr>
          <w:szCs w:val="24"/>
        </w:rPr>
      </w:pPr>
      <w:r w:rsidRPr="006D4E63">
        <w:rPr>
          <w:szCs w:val="24"/>
          <w:lang w:bidi="he-IL"/>
        </w:rPr>
        <w:t>В то же время нормальная микрофлора кишечника принимает участие в обезвреживании мутагенов за счет ферментативного воздействия и продукции антимутагенов</w:t>
      </w:r>
      <w:r w:rsidRPr="006D4E63">
        <w:rPr>
          <w:szCs w:val="24"/>
        </w:rPr>
        <w:t xml:space="preserve">. Установлена </w:t>
      </w:r>
      <w:proofErr w:type="spellStart"/>
      <w:r w:rsidRPr="006D4E63">
        <w:rPr>
          <w:szCs w:val="24"/>
        </w:rPr>
        <w:t>антимутагенная</w:t>
      </w:r>
      <w:proofErr w:type="spellEnd"/>
      <w:r w:rsidRPr="006D4E63">
        <w:rPr>
          <w:szCs w:val="24"/>
        </w:rPr>
        <w:t xml:space="preserve"> и противоопухолевая активность клеток или фрагментов клеточных компонентов </w:t>
      </w:r>
      <w:proofErr w:type="spellStart"/>
      <w:r w:rsidRPr="006D4E63">
        <w:rPr>
          <w:szCs w:val="24"/>
        </w:rPr>
        <w:t>лактобацилл</w:t>
      </w:r>
      <w:proofErr w:type="spellEnd"/>
      <w:r w:rsidRPr="006D4E63">
        <w:rPr>
          <w:szCs w:val="24"/>
        </w:rPr>
        <w:t xml:space="preserve">, </w:t>
      </w:r>
      <w:proofErr w:type="spellStart"/>
      <w:r w:rsidRPr="006D4E63">
        <w:rPr>
          <w:szCs w:val="24"/>
        </w:rPr>
        <w:t>бифидобактерий</w:t>
      </w:r>
      <w:proofErr w:type="spellEnd"/>
      <w:r w:rsidRPr="006D4E63">
        <w:rPr>
          <w:szCs w:val="24"/>
        </w:rPr>
        <w:t xml:space="preserve">, </w:t>
      </w:r>
      <w:proofErr w:type="spellStart"/>
      <w:r w:rsidRPr="006D4E63">
        <w:rPr>
          <w:szCs w:val="24"/>
        </w:rPr>
        <w:t>пропионовокислых</w:t>
      </w:r>
      <w:proofErr w:type="spellEnd"/>
      <w:r w:rsidRPr="006D4E63">
        <w:rPr>
          <w:szCs w:val="24"/>
        </w:rPr>
        <w:t xml:space="preserve"> бактерий, энтерококков и их метаболитов, присутствующих в </w:t>
      </w:r>
      <w:proofErr w:type="spellStart"/>
      <w:r w:rsidRPr="006D4E63">
        <w:rPr>
          <w:szCs w:val="24"/>
        </w:rPr>
        <w:t>культуральной</w:t>
      </w:r>
      <w:proofErr w:type="spellEnd"/>
      <w:r w:rsidRPr="006D4E63">
        <w:rPr>
          <w:szCs w:val="24"/>
        </w:rPr>
        <w:t xml:space="preserve"> жидкости или в ферментированных продуктах [2,9,18]. Противоопухолевые свойства </w:t>
      </w:r>
      <w:proofErr w:type="spellStart"/>
      <w:r w:rsidRPr="006D4E63">
        <w:rPr>
          <w:szCs w:val="24"/>
        </w:rPr>
        <w:t>пробиотической</w:t>
      </w:r>
      <w:proofErr w:type="spellEnd"/>
      <w:r w:rsidRPr="006D4E63">
        <w:rPr>
          <w:szCs w:val="24"/>
        </w:rPr>
        <w:t xml:space="preserve"> флоры основаны как на стимуляции ими противоопухолевого иммунитета, так и на прямом токсическом воздействии их клеток и метаболитов на новообразования  [4,14,17]. </w:t>
      </w:r>
      <w:r w:rsidRPr="006D4E63">
        <w:rPr>
          <w:szCs w:val="24"/>
          <w:lang w:bidi="he-IL"/>
        </w:rPr>
        <w:t xml:space="preserve">При этом не стоит игнорировать имеющиеся единичные сведения о том, что избыточное количество </w:t>
      </w:r>
      <w:proofErr w:type="spellStart"/>
      <w:r w:rsidRPr="006D4E63">
        <w:rPr>
          <w:szCs w:val="24"/>
          <w:lang w:bidi="he-IL"/>
        </w:rPr>
        <w:t>бифидобактерий</w:t>
      </w:r>
      <w:proofErr w:type="spellEnd"/>
      <w:r w:rsidRPr="006D4E63">
        <w:rPr>
          <w:szCs w:val="24"/>
          <w:lang w:bidi="he-IL"/>
        </w:rPr>
        <w:t xml:space="preserve"> в кишечнике может быть сопряжено с риском развития </w:t>
      </w:r>
      <w:proofErr w:type="spellStart"/>
      <w:r w:rsidRPr="006D4E63">
        <w:rPr>
          <w:szCs w:val="24"/>
          <w:lang w:bidi="he-IL"/>
        </w:rPr>
        <w:t>колоноректального</w:t>
      </w:r>
      <w:proofErr w:type="spellEnd"/>
      <w:r w:rsidRPr="006D4E63">
        <w:rPr>
          <w:szCs w:val="24"/>
          <w:lang w:bidi="he-IL"/>
        </w:rPr>
        <w:t xml:space="preserve"> рака, ассоциированного с повышенной </w:t>
      </w:r>
      <w:proofErr w:type="gramStart"/>
      <w:r w:rsidRPr="006D4E63">
        <w:rPr>
          <w:szCs w:val="24"/>
        </w:rPr>
        <w:sym w:font="Symbol" w:char="0062"/>
      </w:r>
      <w:r w:rsidRPr="006D4E63">
        <w:rPr>
          <w:szCs w:val="24"/>
        </w:rPr>
        <w:t>-</w:t>
      </w:r>
      <w:proofErr w:type="spellStart"/>
      <w:proofErr w:type="gramEnd"/>
      <w:r w:rsidRPr="006D4E63">
        <w:rPr>
          <w:szCs w:val="24"/>
        </w:rPr>
        <w:t>глюкозидазной</w:t>
      </w:r>
      <w:proofErr w:type="spellEnd"/>
      <w:r w:rsidRPr="006D4E63">
        <w:rPr>
          <w:szCs w:val="24"/>
        </w:rPr>
        <w:t xml:space="preserve">, </w:t>
      </w:r>
      <w:r w:rsidRPr="006D4E63">
        <w:rPr>
          <w:szCs w:val="24"/>
        </w:rPr>
        <w:sym w:font="Symbol" w:char="0062"/>
      </w:r>
      <w:r w:rsidRPr="006D4E63">
        <w:rPr>
          <w:szCs w:val="24"/>
        </w:rPr>
        <w:t>-</w:t>
      </w:r>
      <w:proofErr w:type="spellStart"/>
      <w:r w:rsidRPr="006D4E63">
        <w:rPr>
          <w:szCs w:val="24"/>
        </w:rPr>
        <w:t>глюкуронидазной</w:t>
      </w:r>
      <w:proofErr w:type="spellEnd"/>
      <w:r w:rsidRPr="006D4E63">
        <w:rPr>
          <w:szCs w:val="24"/>
        </w:rPr>
        <w:t xml:space="preserve"> и </w:t>
      </w:r>
      <w:proofErr w:type="spellStart"/>
      <w:r w:rsidRPr="006D4E63">
        <w:rPr>
          <w:szCs w:val="24"/>
        </w:rPr>
        <w:t>азоредуктазной</w:t>
      </w:r>
      <w:proofErr w:type="spellEnd"/>
      <w:r w:rsidRPr="006D4E63">
        <w:rPr>
          <w:szCs w:val="24"/>
        </w:rPr>
        <w:t xml:space="preserve"> активностью при щелочной реакции среды, что может происходить </w:t>
      </w:r>
      <w:r w:rsidRPr="006D4E63">
        <w:rPr>
          <w:szCs w:val="24"/>
          <w:lang w:bidi="he-IL"/>
        </w:rPr>
        <w:t xml:space="preserve">при </w:t>
      </w:r>
      <w:r w:rsidRPr="006D4E63">
        <w:rPr>
          <w:szCs w:val="24"/>
        </w:rPr>
        <w:t xml:space="preserve">переходе от растительной к мясной диете [1,6]. Если это так, то изменение популяционного уровня представителей облигатной кишечной флоры может приводить к снижению или увеличению мутагенности фекальных масс. Ранее </w:t>
      </w:r>
      <w:proofErr w:type="spellStart"/>
      <w:r w:rsidRPr="006D4E63">
        <w:rPr>
          <w:szCs w:val="24"/>
        </w:rPr>
        <w:t>генотоксичность</w:t>
      </w:r>
      <w:proofErr w:type="spellEnd"/>
      <w:r w:rsidRPr="006D4E63">
        <w:rPr>
          <w:szCs w:val="24"/>
        </w:rPr>
        <w:t xml:space="preserve"> фекалий определяли либо по наличию в них мутагенов после введения таковых экспериментальным животным, либо оценивали мутагенный фон фекальных экстрактов, полученных от контингента лиц, предпочитающих мясную или вегетарианскую диету [8-13]. Содержание же фекальных мутагенов при </w:t>
      </w:r>
      <w:proofErr w:type="spellStart"/>
      <w:r w:rsidRPr="006D4E63">
        <w:rPr>
          <w:szCs w:val="24"/>
        </w:rPr>
        <w:t>микроэкологических</w:t>
      </w:r>
      <w:proofErr w:type="spellEnd"/>
      <w:r w:rsidRPr="006D4E63">
        <w:rPr>
          <w:szCs w:val="24"/>
        </w:rPr>
        <w:t xml:space="preserve"> нарушениях кишечника до сих пор не исследовано. </w:t>
      </w:r>
      <w:proofErr w:type="spellStart"/>
      <w:r w:rsidRPr="006D4E63">
        <w:rPr>
          <w:szCs w:val="24"/>
        </w:rPr>
        <w:t>Дисбиозы</w:t>
      </w:r>
      <w:proofErr w:type="spellEnd"/>
      <w:r w:rsidRPr="006D4E63">
        <w:rPr>
          <w:szCs w:val="24"/>
        </w:rPr>
        <w:t xml:space="preserve"> кишечника, как правило, характеризуются снижением популяционного уровня </w:t>
      </w:r>
      <w:proofErr w:type="spellStart"/>
      <w:r w:rsidRPr="006D4E63">
        <w:rPr>
          <w:szCs w:val="24"/>
        </w:rPr>
        <w:t>бифидобактерий</w:t>
      </w:r>
      <w:proofErr w:type="spellEnd"/>
      <w:r w:rsidRPr="006D4E63">
        <w:rPr>
          <w:szCs w:val="24"/>
        </w:rPr>
        <w:t xml:space="preserve"> и </w:t>
      </w:r>
      <w:proofErr w:type="spellStart"/>
      <w:r w:rsidRPr="006D4E63">
        <w:rPr>
          <w:szCs w:val="24"/>
        </w:rPr>
        <w:t>лактобацилл</w:t>
      </w:r>
      <w:proofErr w:type="spellEnd"/>
      <w:r w:rsidRPr="006D4E63">
        <w:rPr>
          <w:szCs w:val="24"/>
        </w:rPr>
        <w:t xml:space="preserve"> [1]. </w:t>
      </w:r>
    </w:p>
    <w:p w:rsidR="002B5953" w:rsidRPr="006D4E63" w:rsidRDefault="002B5953" w:rsidP="002B5953">
      <w:pPr>
        <w:pStyle w:val="2"/>
        <w:ind w:left="0" w:firstLine="540"/>
        <w:jc w:val="both"/>
        <w:rPr>
          <w:szCs w:val="24"/>
        </w:rPr>
      </w:pPr>
      <w:r w:rsidRPr="006D4E63">
        <w:rPr>
          <w:b/>
          <w:szCs w:val="24"/>
        </w:rPr>
        <w:t>Цель исследования</w:t>
      </w:r>
      <w:r w:rsidRPr="006D4E63">
        <w:rPr>
          <w:szCs w:val="24"/>
        </w:rPr>
        <w:t xml:space="preserve"> - определение мутагенного фона экстрактов фекалий при стандартном и сниженном популяционном уровне </w:t>
      </w:r>
      <w:proofErr w:type="spellStart"/>
      <w:r w:rsidRPr="006D4E63">
        <w:rPr>
          <w:szCs w:val="24"/>
        </w:rPr>
        <w:t>бифидобактерий</w:t>
      </w:r>
      <w:proofErr w:type="spellEnd"/>
      <w:r w:rsidRPr="006D4E63">
        <w:rPr>
          <w:szCs w:val="24"/>
        </w:rPr>
        <w:t xml:space="preserve">, </w:t>
      </w:r>
      <w:proofErr w:type="spellStart"/>
      <w:r w:rsidRPr="006D4E63">
        <w:rPr>
          <w:szCs w:val="24"/>
        </w:rPr>
        <w:t>лактобацилл</w:t>
      </w:r>
      <w:proofErr w:type="spellEnd"/>
      <w:r w:rsidRPr="006D4E63">
        <w:rPr>
          <w:szCs w:val="24"/>
        </w:rPr>
        <w:t xml:space="preserve"> и кишечных палочек.</w:t>
      </w:r>
    </w:p>
    <w:p w:rsidR="002B5953" w:rsidRPr="006D4E63" w:rsidRDefault="002B5953" w:rsidP="002B5953">
      <w:pPr>
        <w:pStyle w:val="2"/>
        <w:ind w:left="0" w:firstLine="0"/>
        <w:jc w:val="center"/>
        <w:rPr>
          <w:szCs w:val="24"/>
        </w:rPr>
      </w:pPr>
      <w:r w:rsidRPr="006D4E63">
        <w:rPr>
          <w:b/>
          <w:szCs w:val="24"/>
        </w:rPr>
        <w:t>Материалы и методы</w:t>
      </w:r>
    </w:p>
    <w:p w:rsidR="002B5953" w:rsidRPr="00A277D1" w:rsidRDefault="002B5953" w:rsidP="002B5953">
      <w:pPr>
        <w:pStyle w:val="2"/>
        <w:ind w:left="0" w:firstLine="708"/>
        <w:jc w:val="both"/>
        <w:rPr>
          <w:szCs w:val="24"/>
          <w:lang w:bidi="he-IL"/>
        </w:rPr>
      </w:pPr>
      <w:r w:rsidRPr="006D4E63">
        <w:rPr>
          <w:szCs w:val="24"/>
          <w:lang w:val="kk-KZ"/>
        </w:rPr>
        <w:t xml:space="preserve">В работе были использованы </w:t>
      </w:r>
      <w:r w:rsidRPr="006D4E63">
        <w:rPr>
          <w:szCs w:val="24"/>
        </w:rPr>
        <w:t>фекальные экстракты, полученные от 5</w:t>
      </w:r>
      <w:r>
        <w:rPr>
          <w:szCs w:val="24"/>
        </w:rPr>
        <w:t>2</w:t>
      </w:r>
      <w:r w:rsidRPr="006D4E63">
        <w:rPr>
          <w:szCs w:val="24"/>
        </w:rPr>
        <w:t xml:space="preserve"> человек, у которых предварительно проводили бактериологический анализ микробного пейзажа фекалий по стандартной методике [1]. </w:t>
      </w:r>
      <w:r w:rsidRPr="006D4E63">
        <w:rPr>
          <w:iCs/>
          <w:szCs w:val="24"/>
          <w:lang w:bidi="he-IL"/>
        </w:rPr>
        <w:t>Для приготовления экстрактов из кишечного содержимого</w:t>
      </w:r>
      <w:r w:rsidRPr="006D4E63">
        <w:rPr>
          <w:szCs w:val="24"/>
          <w:lang w:bidi="he-IL"/>
        </w:rPr>
        <w:t xml:space="preserve"> в качестве </w:t>
      </w:r>
      <w:proofErr w:type="spellStart"/>
      <w:r w:rsidRPr="006D4E63">
        <w:rPr>
          <w:szCs w:val="24"/>
          <w:lang w:bidi="he-IL"/>
        </w:rPr>
        <w:t>экстрагента</w:t>
      </w:r>
      <w:proofErr w:type="spellEnd"/>
      <w:r w:rsidRPr="006D4E63">
        <w:rPr>
          <w:szCs w:val="24"/>
          <w:lang w:bidi="he-IL"/>
        </w:rPr>
        <w:t xml:space="preserve"> использовали дистиллированную воду, добавляемую к свежему образцу, содержащемуся в стерильном пенициллиновом флаконе, в соотношении 2:1. Содержимое флакона растирали стеклянной палочкой, измельчали в </w:t>
      </w:r>
      <w:proofErr w:type="spellStart"/>
      <w:r w:rsidRPr="006D4E63">
        <w:rPr>
          <w:szCs w:val="24"/>
          <w:lang w:bidi="he-IL"/>
        </w:rPr>
        <w:t>блендере</w:t>
      </w:r>
      <w:proofErr w:type="spellEnd"/>
      <w:r w:rsidRPr="006D4E63">
        <w:rPr>
          <w:szCs w:val="24"/>
          <w:lang w:bidi="he-IL"/>
        </w:rPr>
        <w:t xml:space="preserve">, </w:t>
      </w:r>
      <w:r w:rsidRPr="006D4E63">
        <w:rPr>
          <w:szCs w:val="24"/>
          <w:lang w:bidi="he-IL"/>
        </w:rPr>
        <w:lastRenderedPageBreak/>
        <w:t xml:space="preserve">отстаивали 10-15 мин, полученную суспензию центрифугировали 20 мин при </w:t>
      </w:r>
      <w:smartTag w:uri="urn:schemas-microsoft-com:office:smarttags" w:element="metricconverter">
        <w:smartTagPr>
          <w:attr w:name="ProductID" w:val="50 000 g"/>
        </w:smartTagPr>
        <w:r w:rsidRPr="006D4E63">
          <w:rPr>
            <w:szCs w:val="24"/>
            <w:lang w:bidi="he-IL"/>
          </w:rPr>
          <w:t xml:space="preserve">50 000 </w:t>
        </w:r>
        <w:r w:rsidRPr="006D4E63">
          <w:rPr>
            <w:szCs w:val="24"/>
            <w:lang w:val="en-US" w:bidi="he-IL"/>
          </w:rPr>
          <w:t>g</w:t>
        </w:r>
      </w:smartTag>
      <w:r w:rsidRPr="006D4E63">
        <w:rPr>
          <w:szCs w:val="24"/>
          <w:lang w:bidi="he-IL"/>
        </w:rPr>
        <w:t xml:space="preserve">. </w:t>
      </w:r>
      <w:proofErr w:type="spellStart"/>
      <w:r w:rsidRPr="006D4E63">
        <w:rPr>
          <w:szCs w:val="24"/>
          <w:lang w:bidi="he-IL"/>
        </w:rPr>
        <w:t>Надосадочную</w:t>
      </w:r>
      <w:proofErr w:type="spellEnd"/>
      <w:r w:rsidRPr="006D4E63">
        <w:rPr>
          <w:szCs w:val="24"/>
          <w:lang w:bidi="he-IL"/>
        </w:rPr>
        <w:t xml:space="preserve"> жидкость отбирали в отдельный флакон, осадок снова подвергали экстракции по указанной схеме. Смесь стерилизовали мембранным фильтрованием через фильтры диаметром 0,45 мкм, затем 0,22 мкм. </w:t>
      </w:r>
    </w:p>
    <w:p w:rsidR="002B5953" w:rsidRPr="006D4E63" w:rsidRDefault="002B5953" w:rsidP="002B5953">
      <w:pPr>
        <w:pStyle w:val="2"/>
        <w:ind w:left="0" w:firstLine="708"/>
        <w:jc w:val="both"/>
        <w:rPr>
          <w:szCs w:val="24"/>
          <w:lang w:bidi="he-IL"/>
        </w:rPr>
      </w:pPr>
      <w:r w:rsidRPr="006D4E63">
        <w:rPr>
          <w:iCs/>
          <w:szCs w:val="24"/>
          <w:lang w:bidi="he-IL"/>
        </w:rPr>
        <w:t xml:space="preserve">Для приготовления </w:t>
      </w:r>
      <w:proofErr w:type="spellStart"/>
      <w:r w:rsidRPr="006D4E63">
        <w:rPr>
          <w:iCs/>
          <w:szCs w:val="24"/>
          <w:lang w:bidi="he-IL"/>
        </w:rPr>
        <w:t>фекалазы</w:t>
      </w:r>
      <w:proofErr w:type="spellEnd"/>
      <w:r w:rsidRPr="006D4E63">
        <w:rPr>
          <w:iCs/>
          <w:szCs w:val="24"/>
          <w:lang w:bidi="he-IL"/>
        </w:rPr>
        <w:t xml:space="preserve"> (ферментативных экстрактов фекалий)</w:t>
      </w:r>
      <w:r w:rsidRPr="006D4E63">
        <w:rPr>
          <w:szCs w:val="24"/>
        </w:rPr>
        <w:t xml:space="preserve"> </w:t>
      </w:r>
      <w:r w:rsidRPr="006D4E63">
        <w:rPr>
          <w:szCs w:val="24"/>
          <w:lang w:bidi="he-IL"/>
        </w:rPr>
        <w:t xml:space="preserve">образцы, собранные от 5 здоровых и 6 доноров с дефицитом </w:t>
      </w:r>
      <w:proofErr w:type="spellStart"/>
      <w:r w:rsidRPr="006D4E63">
        <w:rPr>
          <w:szCs w:val="24"/>
          <w:lang w:bidi="he-IL"/>
        </w:rPr>
        <w:t>лактофлоры</w:t>
      </w:r>
      <w:proofErr w:type="spellEnd"/>
      <w:r w:rsidRPr="006D4E63">
        <w:rPr>
          <w:szCs w:val="24"/>
          <w:lang w:bidi="he-IL"/>
        </w:rPr>
        <w:t xml:space="preserve"> обрабатывали в лаборатории не позднее, чем через полчаса после акта дефекации </w:t>
      </w:r>
      <w:r w:rsidRPr="006D4E63">
        <w:rPr>
          <w:szCs w:val="24"/>
        </w:rPr>
        <w:t>[16]</w:t>
      </w:r>
      <w:r w:rsidRPr="006D4E63">
        <w:rPr>
          <w:szCs w:val="24"/>
          <w:lang w:bidi="he-IL"/>
        </w:rPr>
        <w:t xml:space="preserve">. Фекалии </w:t>
      </w:r>
      <w:proofErr w:type="spellStart"/>
      <w:r w:rsidRPr="006D4E63">
        <w:rPr>
          <w:szCs w:val="24"/>
          <w:lang w:bidi="he-IL"/>
        </w:rPr>
        <w:t>суспендировали</w:t>
      </w:r>
      <w:proofErr w:type="spellEnd"/>
      <w:r w:rsidRPr="006D4E63">
        <w:rPr>
          <w:szCs w:val="24"/>
          <w:lang w:bidi="he-IL"/>
        </w:rPr>
        <w:t xml:space="preserve"> в </w:t>
      </w:r>
      <w:smartTag w:uri="urn:schemas-microsoft-com:office:smarttags" w:element="metricconverter">
        <w:smartTagPr>
          <w:attr w:name="ProductID" w:val="10 mM"/>
        </w:smartTagPr>
        <w:r w:rsidRPr="006D4E63">
          <w:rPr>
            <w:szCs w:val="24"/>
            <w:lang w:bidi="he-IL"/>
          </w:rPr>
          <w:t xml:space="preserve">10 </w:t>
        </w:r>
        <w:proofErr w:type="spellStart"/>
        <w:r w:rsidRPr="006D4E63">
          <w:rPr>
            <w:szCs w:val="24"/>
            <w:lang w:bidi="he-IL"/>
          </w:rPr>
          <w:t>mM</w:t>
        </w:r>
      </w:smartTag>
      <w:proofErr w:type="spellEnd"/>
      <w:r w:rsidRPr="006D4E63">
        <w:rPr>
          <w:szCs w:val="24"/>
          <w:lang w:bidi="he-IL"/>
        </w:rPr>
        <w:t xml:space="preserve"> Na-фосфатном буфере в соотношении 1:1 или 1:3 (</w:t>
      </w:r>
      <w:proofErr w:type="spellStart"/>
      <w:r w:rsidRPr="006D4E63">
        <w:rPr>
          <w:szCs w:val="24"/>
          <w:lang w:bidi="he-IL"/>
        </w:rPr>
        <w:t>вес</w:t>
      </w:r>
      <w:proofErr w:type="gramStart"/>
      <w:r w:rsidRPr="006D4E63">
        <w:rPr>
          <w:szCs w:val="24"/>
          <w:lang w:bidi="he-IL"/>
        </w:rPr>
        <w:t>:о</w:t>
      </w:r>
      <w:proofErr w:type="gramEnd"/>
      <w:r w:rsidRPr="006D4E63">
        <w:rPr>
          <w:szCs w:val="24"/>
          <w:lang w:bidi="he-IL"/>
        </w:rPr>
        <w:t>бъем</w:t>
      </w:r>
      <w:proofErr w:type="spellEnd"/>
      <w:r w:rsidRPr="006D4E63">
        <w:rPr>
          <w:szCs w:val="24"/>
          <w:lang w:bidi="he-IL"/>
        </w:rPr>
        <w:t xml:space="preserve">) в зависимости от консистенции. Для получения </w:t>
      </w:r>
      <w:proofErr w:type="spellStart"/>
      <w:r w:rsidRPr="006D4E63">
        <w:rPr>
          <w:szCs w:val="24"/>
          <w:lang w:bidi="he-IL"/>
        </w:rPr>
        <w:t>бесклеточного</w:t>
      </w:r>
      <w:proofErr w:type="spellEnd"/>
      <w:r w:rsidRPr="006D4E63">
        <w:rPr>
          <w:szCs w:val="24"/>
          <w:lang w:bidi="he-IL"/>
        </w:rPr>
        <w:t xml:space="preserve"> ферментативного экстракта и лизиса бактериальных клеток, присутствующих в полученной суспензии, их разрушали ультразвуком (22 кГц) 3 раза по 40 сек при охлаждении (в ледяной бане) на дезинтеграторе УЗДН-1. </w:t>
      </w:r>
      <w:r>
        <w:rPr>
          <w:szCs w:val="24"/>
          <w:lang w:bidi="he-IL"/>
        </w:rPr>
        <w:t>Фрагменты</w:t>
      </w:r>
      <w:r w:rsidRPr="006D4E63">
        <w:rPr>
          <w:szCs w:val="24"/>
          <w:lang w:bidi="he-IL"/>
        </w:rPr>
        <w:t xml:space="preserve"> клеток удаляли центрифугированием при </w:t>
      </w:r>
      <w:smartTag w:uri="urn:schemas-microsoft-com:office:smarttags" w:element="metricconverter">
        <w:smartTagPr>
          <w:attr w:name="ProductID" w:val="30 000 g"/>
        </w:smartTagPr>
        <w:r>
          <w:rPr>
            <w:szCs w:val="24"/>
            <w:lang w:bidi="he-IL"/>
          </w:rPr>
          <w:t>3</w:t>
        </w:r>
        <w:r w:rsidRPr="006D4E63">
          <w:rPr>
            <w:szCs w:val="24"/>
            <w:lang w:bidi="he-IL"/>
          </w:rPr>
          <w:t xml:space="preserve">0 000 </w:t>
        </w:r>
        <w:r w:rsidRPr="006D4E63">
          <w:rPr>
            <w:szCs w:val="24"/>
            <w:lang w:val="en-US" w:bidi="he-IL"/>
          </w:rPr>
          <w:t>g</w:t>
        </w:r>
      </w:smartTag>
      <w:r w:rsidRPr="006D4E63">
        <w:rPr>
          <w:szCs w:val="24"/>
          <w:lang w:bidi="he-IL"/>
        </w:rPr>
        <w:t xml:space="preserve"> </w:t>
      </w:r>
      <w:r>
        <w:rPr>
          <w:szCs w:val="24"/>
          <w:lang w:bidi="he-IL"/>
        </w:rPr>
        <w:t xml:space="preserve"> </w:t>
      </w:r>
      <w:r w:rsidRPr="006D4E63">
        <w:rPr>
          <w:szCs w:val="24"/>
          <w:lang w:bidi="he-IL"/>
        </w:rPr>
        <w:t>20 мин при 4</w:t>
      </w:r>
      <w:r w:rsidRPr="006D4E63">
        <w:rPr>
          <w:szCs w:val="24"/>
          <w:vertAlign w:val="superscript"/>
          <w:lang w:bidi="he-IL"/>
        </w:rPr>
        <w:t>0</w:t>
      </w:r>
      <w:r w:rsidRPr="006D4E63">
        <w:rPr>
          <w:szCs w:val="24"/>
          <w:lang w:bidi="he-IL"/>
        </w:rPr>
        <w:t>С</w:t>
      </w:r>
      <w:r>
        <w:rPr>
          <w:szCs w:val="24"/>
          <w:lang w:bidi="he-IL"/>
        </w:rPr>
        <w:t xml:space="preserve"> на ультрацентрифуге </w:t>
      </w:r>
      <w:r>
        <w:rPr>
          <w:szCs w:val="24"/>
          <w:lang w:val="en-US" w:bidi="he-IL"/>
        </w:rPr>
        <w:t>UP</w:t>
      </w:r>
      <w:r w:rsidRPr="00A10C15">
        <w:rPr>
          <w:szCs w:val="24"/>
          <w:lang w:bidi="he-IL"/>
        </w:rPr>
        <w:t xml:space="preserve">-65 </w:t>
      </w:r>
      <w:r>
        <w:rPr>
          <w:szCs w:val="24"/>
          <w:lang w:bidi="he-IL"/>
        </w:rPr>
        <w:t>(Германия)</w:t>
      </w:r>
      <w:r w:rsidRPr="006D4E63">
        <w:rPr>
          <w:szCs w:val="24"/>
          <w:lang w:bidi="he-IL"/>
        </w:rPr>
        <w:t xml:space="preserve">. Сохранение </w:t>
      </w:r>
      <w:proofErr w:type="spellStart"/>
      <w:r w:rsidRPr="006D4E63">
        <w:rPr>
          <w:szCs w:val="24"/>
          <w:lang w:bidi="he-IL"/>
        </w:rPr>
        <w:t>нативной</w:t>
      </w:r>
      <w:proofErr w:type="spellEnd"/>
      <w:r w:rsidRPr="006D4E63">
        <w:rPr>
          <w:szCs w:val="24"/>
          <w:lang w:bidi="he-IL"/>
        </w:rPr>
        <w:t xml:space="preserve"> ферментативной активности в экстрактах определяли с помощью общепринятого теста на </w:t>
      </w:r>
      <w:proofErr w:type="spellStart"/>
      <w:proofErr w:type="gramStart"/>
      <w:r w:rsidRPr="006D4E63">
        <w:rPr>
          <w:szCs w:val="24"/>
        </w:rPr>
        <w:t>β-</w:t>
      </w:r>
      <w:proofErr w:type="gramEnd"/>
      <w:r w:rsidRPr="006D4E63">
        <w:rPr>
          <w:szCs w:val="24"/>
          <w:lang w:bidi="he-IL"/>
        </w:rPr>
        <w:t>галактозидазу.</w:t>
      </w:r>
      <w:proofErr w:type="spellEnd"/>
      <w:r w:rsidRPr="006D4E63">
        <w:rPr>
          <w:szCs w:val="24"/>
          <w:lang w:bidi="he-IL"/>
        </w:rPr>
        <w:t xml:space="preserve"> Поскольку количество этого фермента в индивидуальных образцах значительно варьировало, экстракты смешивали, чтобы получить объединенный ферментативный экстракт фекалий, которые стерилизовали ультрафильтрацией и хранили при - 7</w:t>
      </w:r>
      <w:r w:rsidRPr="006D4E63">
        <w:rPr>
          <w:szCs w:val="24"/>
        </w:rPr>
        <w:t>0</w:t>
      </w:r>
      <w:r w:rsidRPr="006D4E63">
        <w:rPr>
          <w:szCs w:val="24"/>
          <w:vertAlign w:val="superscript"/>
        </w:rPr>
        <w:t>0</w:t>
      </w:r>
      <w:r w:rsidRPr="006D4E63">
        <w:rPr>
          <w:szCs w:val="24"/>
        </w:rPr>
        <w:t xml:space="preserve"> С.</w:t>
      </w:r>
    </w:p>
    <w:p w:rsidR="002B5953" w:rsidRPr="006D4E63" w:rsidRDefault="002B5953" w:rsidP="002B5953">
      <w:pPr>
        <w:pStyle w:val="2"/>
        <w:ind w:left="0" w:firstLine="0"/>
        <w:jc w:val="both"/>
        <w:rPr>
          <w:szCs w:val="24"/>
          <w:lang w:val="kk-KZ" w:bidi="he-IL"/>
        </w:rPr>
      </w:pPr>
      <w:r w:rsidRPr="006D4E63">
        <w:rPr>
          <w:b/>
          <w:bCs/>
          <w:iCs/>
          <w:szCs w:val="24"/>
          <w:lang w:bidi="he-IL"/>
        </w:rPr>
        <w:t>Тестирование на мутагенность</w:t>
      </w:r>
      <w:r w:rsidRPr="006D4E63">
        <w:rPr>
          <w:b/>
          <w:szCs w:val="24"/>
          <w:lang w:bidi="he-IL"/>
        </w:rPr>
        <w:t xml:space="preserve"> </w:t>
      </w:r>
      <w:r w:rsidRPr="006D4E63">
        <w:rPr>
          <w:bCs/>
          <w:szCs w:val="24"/>
          <w:lang w:bidi="he-IL"/>
        </w:rPr>
        <w:t xml:space="preserve">проводили в </w:t>
      </w:r>
      <w:proofErr w:type="spellStart"/>
      <w:r w:rsidRPr="006D4E63">
        <w:rPr>
          <w:bCs/>
          <w:szCs w:val="24"/>
          <w:lang w:bidi="he-IL"/>
        </w:rPr>
        <w:t>модифицированом</w:t>
      </w:r>
      <w:proofErr w:type="spellEnd"/>
      <w:r w:rsidRPr="006D4E63">
        <w:rPr>
          <w:bCs/>
          <w:szCs w:val="24"/>
          <w:lang w:bidi="he-IL"/>
        </w:rPr>
        <w:t xml:space="preserve"> тесте </w:t>
      </w:r>
      <w:proofErr w:type="spellStart"/>
      <w:r w:rsidRPr="006D4E63">
        <w:rPr>
          <w:bCs/>
          <w:szCs w:val="24"/>
          <w:lang w:bidi="he-IL"/>
        </w:rPr>
        <w:t>Эймса</w:t>
      </w:r>
      <w:proofErr w:type="spellEnd"/>
      <w:r w:rsidRPr="006D4E63">
        <w:rPr>
          <w:bCs/>
          <w:szCs w:val="24"/>
          <w:lang w:bidi="he-IL"/>
        </w:rPr>
        <w:t xml:space="preserve"> с индикаторными штаммами </w:t>
      </w:r>
      <w:r w:rsidRPr="006D4E63">
        <w:rPr>
          <w:szCs w:val="24"/>
          <w:lang w:val="en-US"/>
        </w:rPr>
        <w:t>Salmonella</w:t>
      </w:r>
      <w:r w:rsidRPr="006D4E63">
        <w:rPr>
          <w:szCs w:val="24"/>
        </w:rPr>
        <w:t xml:space="preserve"> </w:t>
      </w:r>
      <w:proofErr w:type="spellStart"/>
      <w:r w:rsidRPr="006D4E63">
        <w:rPr>
          <w:szCs w:val="24"/>
          <w:lang w:val="en-US"/>
        </w:rPr>
        <w:t>typhimurium</w:t>
      </w:r>
      <w:proofErr w:type="spellEnd"/>
      <w:r w:rsidRPr="006D4E63">
        <w:rPr>
          <w:szCs w:val="24"/>
          <w:lang w:val="ru-MO"/>
        </w:rPr>
        <w:t xml:space="preserve"> ТА-98 и ТА-100 </w:t>
      </w:r>
      <w:r w:rsidRPr="006D4E63">
        <w:rPr>
          <w:szCs w:val="24"/>
        </w:rPr>
        <w:t xml:space="preserve">[5]. Штаммы несут мутацию </w:t>
      </w:r>
      <w:proofErr w:type="spellStart"/>
      <w:r w:rsidRPr="006D4E63">
        <w:rPr>
          <w:szCs w:val="24"/>
        </w:rPr>
        <w:t>ауксотрофности</w:t>
      </w:r>
      <w:proofErr w:type="spellEnd"/>
      <w:r w:rsidRPr="006D4E63">
        <w:rPr>
          <w:szCs w:val="24"/>
        </w:rPr>
        <w:t xml:space="preserve"> по гистидину и </w:t>
      </w:r>
      <w:proofErr w:type="spellStart"/>
      <w:r w:rsidRPr="006D4E63">
        <w:rPr>
          <w:szCs w:val="24"/>
        </w:rPr>
        <w:t>ревертируют</w:t>
      </w:r>
      <w:proofErr w:type="spellEnd"/>
      <w:r w:rsidRPr="006D4E63">
        <w:rPr>
          <w:szCs w:val="24"/>
        </w:rPr>
        <w:t xml:space="preserve"> под действием мутагенов, вызывающих мутации типа сдвига рамки считывания (</w:t>
      </w:r>
      <w:r>
        <w:rPr>
          <w:szCs w:val="24"/>
        </w:rPr>
        <w:t xml:space="preserve">штамм </w:t>
      </w:r>
      <w:r w:rsidRPr="006D4E63">
        <w:rPr>
          <w:szCs w:val="24"/>
        </w:rPr>
        <w:t>ТА 98) или замены пар оснований в молекуле ДНК (</w:t>
      </w:r>
      <w:r>
        <w:rPr>
          <w:szCs w:val="24"/>
        </w:rPr>
        <w:t xml:space="preserve">штамм </w:t>
      </w:r>
      <w:r w:rsidRPr="006D4E63">
        <w:rPr>
          <w:szCs w:val="24"/>
        </w:rPr>
        <w:t xml:space="preserve">ТА 100). Принцип метода состоит в том, что под действием мутагена на селективной среде вырастают </w:t>
      </w:r>
      <w:proofErr w:type="spellStart"/>
      <w:r w:rsidRPr="006D4E63">
        <w:rPr>
          <w:szCs w:val="24"/>
        </w:rPr>
        <w:t>ревертанты</w:t>
      </w:r>
      <w:proofErr w:type="spellEnd"/>
      <w:r w:rsidRPr="006D4E63">
        <w:rPr>
          <w:szCs w:val="24"/>
        </w:rPr>
        <w:t xml:space="preserve"> по гистидину, по числу </w:t>
      </w:r>
      <w:proofErr w:type="gramStart"/>
      <w:r w:rsidRPr="006D4E63">
        <w:rPr>
          <w:szCs w:val="24"/>
        </w:rPr>
        <w:t>которых</w:t>
      </w:r>
      <w:proofErr w:type="gramEnd"/>
      <w:r w:rsidRPr="006D4E63">
        <w:rPr>
          <w:szCs w:val="24"/>
        </w:rPr>
        <w:t xml:space="preserve"> определяют мутагенный эффект. Принято считать, что таковой имеет место в случае, если уровень индуцированных тестируемым агентом реверсий более чем в 2 раза превосходит спонтанный фон </w:t>
      </w:r>
      <w:proofErr w:type="spellStart"/>
      <w:r w:rsidRPr="006D4E63">
        <w:rPr>
          <w:szCs w:val="24"/>
        </w:rPr>
        <w:t>мутирования</w:t>
      </w:r>
      <w:proofErr w:type="spellEnd"/>
      <w:r w:rsidRPr="006D4E63">
        <w:rPr>
          <w:szCs w:val="24"/>
        </w:rPr>
        <w:t xml:space="preserve"> используемого штамма [7]. Суспензию клеток </w:t>
      </w:r>
      <w:proofErr w:type="spellStart"/>
      <w:proofErr w:type="gramStart"/>
      <w:r w:rsidRPr="006D4E63">
        <w:rPr>
          <w:szCs w:val="24"/>
        </w:rPr>
        <w:t>тест-штамма</w:t>
      </w:r>
      <w:proofErr w:type="spellEnd"/>
      <w:proofErr w:type="gramEnd"/>
      <w:r w:rsidRPr="006D4E63">
        <w:rPr>
          <w:szCs w:val="24"/>
        </w:rPr>
        <w:t xml:space="preserve"> предварительно инкубировали с опытным вариантом в течение 2 час при 37</w:t>
      </w:r>
      <w:r w:rsidRPr="006D4E63">
        <w:rPr>
          <w:szCs w:val="24"/>
          <w:vertAlign w:val="superscript"/>
        </w:rPr>
        <w:t>0</w:t>
      </w:r>
      <w:r w:rsidRPr="006D4E63">
        <w:rPr>
          <w:szCs w:val="24"/>
        </w:rPr>
        <w:t xml:space="preserve">, затем клетки отмывали от него и высевали на чашки с селективной средой. В качестве потенциальных </w:t>
      </w:r>
      <w:proofErr w:type="spellStart"/>
      <w:r w:rsidRPr="006D4E63">
        <w:rPr>
          <w:szCs w:val="24"/>
        </w:rPr>
        <w:t>промутагенных</w:t>
      </w:r>
      <w:proofErr w:type="spellEnd"/>
      <w:r w:rsidRPr="006D4E63">
        <w:rPr>
          <w:szCs w:val="24"/>
        </w:rPr>
        <w:t xml:space="preserve"> субстратов или мутагенов для позитивных контролей использовали:</w:t>
      </w:r>
      <w:r w:rsidRPr="006D4E63">
        <w:rPr>
          <w:bCs/>
          <w:szCs w:val="24"/>
        </w:rPr>
        <w:t xml:space="preserve"> </w:t>
      </w:r>
      <w:r w:rsidRPr="006D4E63">
        <w:rPr>
          <w:szCs w:val="24"/>
          <w:lang w:val="kk-KZ" w:bidi="he-IL"/>
        </w:rPr>
        <w:t>N-нитрозо-N</w:t>
      </w:r>
      <w:r>
        <w:rPr>
          <w:szCs w:val="24"/>
          <w:lang w:val="kk-KZ" w:bidi="he-IL"/>
        </w:rPr>
        <w:t>´</w:t>
      </w:r>
      <w:r w:rsidRPr="006D4E63">
        <w:rPr>
          <w:szCs w:val="24"/>
          <w:lang w:val="kk-KZ" w:bidi="he-IL"/>
        </w:rPr>
        <w:t>-нитро-нитрозогуанидин (НГ)</w:t>
      </w:r>
      <w:r w:rsidRPr="006D4E63">
        <w:rPr>
          <w:szCs w:val="24"/>
        </w:rPr>
        <w:t xml:space="preserve"> </w:t>
      </w:r>
      <w:r w:rsidRPr="006D4E63">
        <w:rPr>
          <w:bCs/>
          <w:szCs w:val="24"/>
          <w:lang w:val="kk-KZ"/>
        </w:rPr>
        <w:t xml:space="preserve">-  1 мкг/мл; </w:t>
      </w:r>
      <w:r w:rsidRPr="006D4E63">
        <w:rPr>
          <w:szCs w:val="24"/>
          <w:lang w:val="kk-KZ" w:bidi="he-IL"/>
        </w:rPr>
        <w:t>N-нитрозо-N-метилмочевину (НММ) – 100 мкг/мл (</w:t>
      </w:r>
      <w:r w:rsidRPr="006D4E63">
        <w:rPr>
          <w:bCs/>
          <w:szCs w:val="24"/>
          <w:lang w:val="kk-KZ"/>
        </w:rPr>
        <w:t xml:space="preserve">фирмы Sigma, США); </w:t>
      </w:r>
      <w:r w:rsidRPr="006D4E63">
        <w:rPr>
          <w:szCs w:val="24"/>
        </w:rPr>
        <w:t>3-амино-1,4-диметил-[</w:t>
      </w:r>
      <w:r w:rsidRPr="006D4E63">
        <w:rPr>
          <w:szCs w:val="24"/>
          <w:vertAlign w:val="superscript"/>
        </w:rPr>
        <w:t>5</w:t>
      </w:r>
      <w:r>
        <w:rPr>
          <w:szCs w:val="24"/>
        </w:rPr>
        <w:t>Н]-пиридин-</w:t>
      </w:r>
      <w:r w:rsidRPr="006D4E63">
        <w:rPr>
          <w:szCs w:val="24"/>
        </w:rPr>
        <w:t>[4,3]</w:t>
      </w:r>
      <w:r>
        <w:rPr>
          <w:szCs w:val="24"/>
        </w:rPr>
        <w:t xml:space="preserve"> </w:t>
      </w:r>
      <w:r w:rsidRPr="006D4E63">
        <w:rPr>
          <w:szCs w:val="24"/>
        </w:rPr>
        <w:t>индол (</w:t>
      </w:r>
      <w:proofErr w:type="spellStart"/>
      <w:r w:rsidRPr="006D4E63">
        <w:rPr>
          <w:szCs w:val="24"/>
          <w:lang w:val="en-US"/>
        </w:rPr>
        <w:t>Trp</w:t>
      </w:r>
      <w:proofErr w:type="spellEnd"/>
      <w:r w:rsidRPr="006D4E63">
        <w:rPr>
          <w:szCs w:val="24"/>
        </w:rPr>
        <w:t>-</w:t>
      </w:r>
      <w:r w:rsidRPr="006D4E63">
        <w:rPr>
          <w:szCs w:val="24"/>
          <w:lang w:val="en-US"/>
        </w:rPr>
        <w:t>P</w:t>
      </w:r>
      <w:r w:rsidRPr="006D4E63">
        <w:rPr>
          <w:szCs w:val="24"/>
        </w:rPr>
        <w:t xml:space="preserve">), приготовленный из </w:t>
      </w:r>
      <w:proofErr w:type="spellStart"/>
      <w:r w:rsidRPr="006D4E63">
        <w:rPr>
          <w:szCs w:val="24"/>
        </w:rPr>
        <w:t>пиролизатов</w:t>
      </w:r>
      <w:proofErr w:type="spellEnd"/>
      <w:r w:rsidRPr="006D4E63">
        <w:rPr>
          <w:szCs w:val="24"/>
        </w:rPr>
        <w:t xml:space="preserve"> триптофана.</w:t>
      </w:r>
    </w:p>
    <w:p w:rsidR="002B5953" w:rsidRPr="006D4E63" w:rsidRDefault="002B5953" w:rsidP="002B5953">
      <w:pPr>
        <w:jc w:val="both"/>
        <w:rPr>
          <w:color w:val="000000"/>
        </w:rPr>
      </w:pPr>
      <w:r w:rsidRPr="006D4E63">
        <w:rPr>
          <w:b/>
          <w:bCs/>
        </w:rPr>
        <w:t>Статистическая обработка.</w:t>
      </w:r>
      <w:r w:rsidRPr="006D4E63">
        <w:rPr>
          <w:bCs/>
          <w:i/>
        </w:rPr>
        <w:t xml:space="preserve"> </w:t>
      </w:r>
      <w:r w:rsidRPr="006D4E63">
        <w:t xml:space="preserve">Для решения вопроса о наличии связи между снижением количества защитной микрофлоры и мутагенной активностью фекалий применяли корреляционный анализ. Рассматриваемые в данном случае признаки являются качественными </w:t>
      </w:r>
      <w:r>
        <w:t>так как</w:t>
      </w:r>
      <w:r w:rsidRPr="006D4E63">
        <w:t xml:space="preserve"> они не распределяются в вариационный ряд и имеют только два противоположных нечисловых значения, которые удобно обозначить их «+» и «</w:t>
      </w:r>
      <w:r w:rsidRPr="006D4E63">
        <w:rPr>
          <w:b/>
          <w:bCs/>
        </w:rPr>
        <w:t>-</w:t>
      </w:r>
      <w:r w:rsidRPr="006D4E63">
        <w:t xml:space="preserve">». Тогда учитываемые признаки группируются в 4-х клеточную корреляционную решетку, а степень их сопряженности измеряется с помощью коэффициента ассоциации Дж. Юла </w:t>
      </w:r>
      <w:proofErr w:type="gramStart"/>
      <w:r w:rsidRPr="006D4E63">
        <w:rPr>
          <w:lang w:val="en-US"/>
        </w:rPr>
        <w:t>r</w:t>
      </w:r>
      <w:proofErr w:type="gramEnd"/>
      <w:r w:rsidRPr="006D4E63">
        <w:rPr>
          <w:color w:val="000000"/>
          <w:vertAlign w:val="subscript"/>
        </w:rPr>
        <w:t>а</w:t>
      </w:r>
      <w:r w:rsidRPr="006D4E63">
        <w:rPr>
          <w:color w:val="000000"/>
        </w:rPr>
        <w:t>,</w:t>
      </w:r>
      <w:r>
        <w:rPr>
          <w:color w:val="000000"/>
        </w:rPr>
        <w:t xml:space="preserve"> </w:t>
      </w:r>
      <w:r w:rsidRPr="006D4E63">
        <w:rPr>
          <w:color w:val="000000"/>
        </w:rPr>
        <w:t>вычисляемого на основе данных опыта.</w:t>
      </w:r>
      <w:r w:rsidRPr="006D4E63">
        <w:rPr>
          <w:bCs/>
          <w:i/>
        </w:rPr>
        <w:t xml:space="preserve"> </w:t>
      </w:r>
      <w:r w:rsidRPr="006D4E63">
        <w:rPr>
          <w:color w:val="000000"/>
        </w:rPr>
        <w:t xml:space="preserve">Коэффициент ассоциации может принимать значения от –1 до 1. Если </w:t>
      </w:r>
      <w:proofErr w:type="gramStart"/>
      <w:r w:rsidRPr="006D4E63">
        <w:rPr>
          <w:lang w:val="en-US"/>
        </w:rPr>
        <w:t>r</w:t>
      </w:r>
      <w:proofErr w:type="gramEnd"/>
      <w:r w:rsidRPr="006D4E63">
        <w:rPr>
          <w:color w:val="000000"/>
          <w:vertAlign w:val="subscript"/>
        </w:rPr>
        <w:t>а</w:t>
      </w:r>
      <w:r w:rsidRPr="006D4E63">
        <w:rPr>
          <w:color w:val="000000"/>
          <w:lang w:val="ru-MO"/>
        </w:rPr>
        <w:t>&lt;0-</w:t>
      </w:r>
      <w:r w:rsidRPr="006D4E63">
        <w:rPr>
          <w:color w:val="000000"/>
        </w:rPr>
        <w:t xml:space="preserve">корреляция отрицательная, </w:t>
      </w:r>
      <w:r w:rsidRPr="006D4E63">
        <w:t>если</w:t>
      </w:r>
      <w:r w:rsidRPr="006D4E63">
        <w:rPr>
          <w:color w:val="000000"/>
        </w:rPr>
        <w:t xml:space="preserve"> </w:t>
      </w:r>
      <w:r w:rsidRPr="006D4E63">
        <w:rPr>
          <w:lang w:val="en-US"/>
        </w:rPr>
        <w:t>r</w:t>
      </w:r>
      <w:r w:rsidRPr="006D4E63">
        <w:rPr>
          <w:color w:val="000000"/>
          <w:vertAlign w:val="subscript"/>
        </w:rPr>
        <w:t>а</w:t>
      </w:r>
      <w:r w:rsidRPr="006D4E63">
        <w:rPr>
          <w:lang w:val="ru-MO"/>
        </w:rPr>
        <w:t>&gt;0-</w:t>
      </w:r>
      <w:r w:rsidRPr="006D4E63">
        <w:t>корреляция положительная. Чем ближе абсолютное значение</w:t>
      </w:r>
      <w:r w:rsidRPr="006D4E63">
        <w:rPr>
          <w:lang w:val="ru-MO"/>
        </w:rPr>
        <w:t xml:space="preserve"> </w:t>
      </w:r>
      <w:proofErr w:type="gramStart"/>
      <w:r w:rsidRPr="006D4E63">
        <w:rPr>
          <w:lang w:val="en-US"/>
        </w:rPr>
        <w:t>r</w:t>
      </w:r>
      <w:proofErr w:type="gramEnd"/>
      <w:r w:rsidRPr="006D4E63">
        <w:rPr>
          <w:color w:val="000000"/>
          <w:vertAlign w:val="subscript"/>
        </w:rPr>
        <w:t>а</w:t>
      </w:r>
      <w:r w:rsidRPr="006D4E63">
        <w:t xml:space="preserve"> </w:t>
      </w:r>
      <w:r w:rsidRPr="006D4E63">
        <w:rPr>
          <w:color w:val="000000"/>
        </w:rPr>
        <w:t xml:space="preserve">к 1, тем сильнее корреляция. Для оценки достоверности эмпирического коэффициента ассоциации вычисляют его отношение к средней ошибке </w:t>
      </w:r>
      <w:r w:rsidRPr="006D4E63">
        <w:rPr>
          <w:color w:val="000000"/>
          <w:lang w:val="en-US"/>
        </w:rPr>
        <w:t>m</w:t>
      </w:r>
      <w:r w:rsidRPr="006D4E63">
        <w:rPr>
          <w:color w:val="000000"/>
        </w:rPr>
        <w:t xml:space="preserve">, которое должно быть больше стандартного значения критерия </w:t>
      </w:r>
      <w:r w:rsidRPr="006D4E63">
        <w:rPr>
          <w:color w:val="000000"/>
          <w:lang w:val="en-US"/>
        </w:rPr>
        <w:t>t</w:t>
      </w:r>
      <w:r w:rsidRPr="006D4E63">
        <w:rPr>
          <w:color w:val="000000"/>
        </w:rPr>
        <w:t xml:space="preserve"> Стьюдента для данного числа степеней свободы </w:t>
      </w:r>
      <w:r w:rsidRPr="006D4E63">
        <w:rPr>
          <w:color w:val="000000"/>
          <w:lang w:val="en-US"/>
        </w:rPr>
        <w:t>k</w:t>
      </w:r>
      <w:r w:rsidRPr="006D4E63">
        <w:rPr>
          <w:color w:val="000000"/>
        </w:rPr>
        <w:t xml:space="preserve"> </w:t>
      </w:r>
      <w:r w:rsidRPr="006D4E63">
        <w:rPr>
          <w:color w:val="000000"/>
          <w:lang w:val="ru-MO"/>
        </w:rPr>
        <w:t xml:space="preserve">= </w:t>
      </w:r>
      <w:r w:rsidRPr="006D4E63">
        <w:rPr>
          <w:color w:val="000000"/>
          <w:lang w:val="en-US"/>
        </w:rPr>
        <w:t>n</w:t>
      </w:r>
      <w:r w:rsidRPr="006D4E63">
        <w:rPr>
          <w:color w:val="000000"/>
          <w:lang w:val="ru-MO"/>
        </w:rPr>
        <w:t xml:space="preserve">-2 </w:t>
      </w:r>
      <w:r w:rsidRPr="006D4E63">
        <w:rPr>
          <w:color w:val="000000"/>
        </w:rPr>
        <w:t>и уровня значимости Р.</w:t>
      </w:r>
    </w:p>
    <w:p w:rsidR="002B5953" w:rsidRPr="006D4E63" w:rsidRDefault="002B5953" w:rsidP="002B5953">
      <w:pPr>
        <w:jc w:val="center"/>
        <w:rPr>
          <w:lang w:bidi="he-IL"/>
        </w:rPr>
      </w:pPr>
      <w:r w:rsidRPr="006D4E63">
        <w:rPr>
          <w:b/>
          <w:lang w:bidi="he-IL"/>
        </w:rPr>
        <w:t>Результаты</w:t>
      </w:r>
    </w:p>
    <w:p w:rsidR="002B5953" w:rsidRPr="006D4E63" w:rsidRDefault="002B5953" w:rsidP="002B5953">
      <w:pPr>
        <w:ind w:firstLine="708"/>
        <w:jc w:val="both"/>
        <w:rPr>
          <w:lang w:bidi="he-IL"/>
        </w:rPr>
      </w:pPr>
      <w:r w:rsidRPr="006D4E63">
        <w:rPr>
          <w:lang w:bidi="he-IL"/>
        </w:rPr>
        <w:t xml:space="preserve">Полученные вышеописанным способом водные экстракты фекалий добавляли в количестве 0,5 мл на чашку; для определения спонтанного уровня </w:t>
      </w:r>
      <w:proofErr w:type="spellStart"/>
      <w:r w:rsidRPr="006D4E63">
        <w:rPr>
          <w:lang w:bidi="he-IL"/>
        </w:rPr>
        <w:t>мутирования</w:t>
      </w:r>
      <w:proofErr w:type="spellEnd"/>
      <w:r w:rsidRPr="006D4E63">
        <w:rPr>
          <w:lang w:bidi="he-IL"/>
        </w:rPr>
        <w:t xml:space="preserve"> к суспензии клеток </w:t>
      </w:r>
      <w:proofErr w:type="spellStart"/>
      <w:proofErr w:type="gramStart"/>
      <w:r w:rsidRPr="006D4E63">
        <w:rPr>
          <w:lang w:bidi="he-IL"/>
        </w:rPr>
        <w:t>тест-штаммов</w:t>
      </w:r>
      <w:proofErr w:type="spellEnd"/>
      <w:proofErr w:type="gramEnd"/>
      <w:r w:rsidRPr="006D4E63">
        <w:rPr>
          <w:lang w:bidi="he-IL"/>
        </w:rPr>
        <w:t xml:space="preserve">, высеваемых на селективную среду, добавляли </w:t>
      </w:r>
      <w:proofErr w:type="spellStart"/>
      <w:r w:rsidRPr="006D4E63">
        <w:rPr>
          <w:lang w:bidi="he-IL"/>
        </w:rPr>
        <w:t>аликвоты</w:t>
      </w:r>
      <w:proofErr w:type="spellEnd"/>
      <w:r w:rsidRPr="006D4E63">
        <w:rPr>
          <w:lang w:bidi="he-IL"/>
        </w:rPr>
        <w:t xml:space="preserve"> дистиллированной воды. Этим способом была исследована мутагенная активность фекальных экстрактов, полученных от 5</w:t>
      </w:r>
      <w:r>
        <w:rPr>
          <w:lang w:bidi="he-IL"/>
        </w:rPr>
        <w:t>2</w:t>
      </w:r>
      <w:r w:rsidRPr="006D4E63">
        <w:rPr>
          <w:lang w:bidi="he-IL"/>
        </w:rPr>
        <w:t xml:space="preserve"> человек, у которых предварительно был проанализирован качественный и количественный состав </w:t>
      </w:r>
      <w:proofErr w:type="gramStart"/>
      <w:r w:rsidRPr="006D4E63">
        <w:rPr>
          <w:lang w:bidi="he-IL"/>
        </w:rPr>
        <w:t>кишечного</w:t>
      </w:r>
      <w:proofErr w:type="gramEnd"/>
      <w:r w:rsidRPr="006D4E63">
        <w:rPr>
          <w:lang w:bidi="he-IL"/>
        </w:rPr>
        <w:t xml:space="preserve"> </w:t>
      </w:r>
      <w:proofErr w:type="spellStart"/>
      <w:r w:rsidRPr="006D4E63">
        <w:rPr>
          <w:lang w:bidi="he-IL"/>
        </w:rPr>
        <w:t>микробиоценоза</w:t>
      </w:r>
      <w:proofErr w:type="spellEnd"/>
      <w:r w:rsidRPr="006D4E63">
        <w:rPr>
          <w:lang w:bidi="he-IL"/>
        </w:rPr>
        <w:t xml:space="preserve">. </w:t>
      </w:r>
      <w:r w:rsidRPr="006D4E63">
        <w:rPr>
          <w:lang w:bidi="he-IL"/>
        </w:rPr>
        <w:lastRenderedPageBreak/>
        <w:t>Анализ их микробных карт позволил разделить обследуемый контингент на две группы. В первой</w:t>
      </w:r>
      <w:r>
        <w:rPr>
          <w:lang w:bidi="he-IL"/>
        </w:rPr>
        <w:t xml:space="preserve"> группе, состоящей из 12 человек,</w:t>
      </w:r>
      <w:r w:rsidRPr="006D4E63">
        <w:rPr>
          <w:lang w:bidi="he-IL"/>
        </w:rPr>
        <w:t xml:space="preserve"> не было зарегистрировано отклонений от принятого стандарта содержания основных представителей резидентной микрофлоры. Во второй группе, состоящей из 40 человек, были выявлены </w:t>
      </w:r>
      <w:proofErr w:type="spellStart"/>
      <w:r w:rsidRPr="006D4E63">
        <w:rPr>
          <w:lang w:bidi="he-IL"/>
        </w:rPr>
        <w:t>микроэкологические</w:t>
      </w:r>
      <w:proofErr w:type="spellEnd"/>
      <w:r w:rsidRPr="006D4E63">
        <w:rPr>
          <w:lang w:bidi="he-IL"/>
        </w:rPr>
        <w:t xml:space="preserve"> нарушения, проявляющиеся в снижении на 1-3 порядка </w:t>
      </w:r>
      <w:r>
        <w:rPr>
          <w:lang w:bidi="he-IL"/>
        </w:rPr>
        <w:t xml:space="preserve">логарифма </w:t>
      </w:r>
      <w:r w:rsidRPr="006D4E63">
        <w:rPr>
          <w:lang w:bidi="he-IL"/>
        </w:rPr>
        <w:t xml:space="preserve">популяционного уровня </w:t>
      </w:r>
      <w:proofErr w:type="spellStart"/>
      <w:r w:rsidRPr="006D4E63">
        <w:rPr>
          <w:lang w:bidi="he-IL"/>
        </w:rPr>
        <w:t>бифидобактерий</w:t>
      </w:r>
      <w:proofErr w:type="spellEnd"/>
      <w:r w:rsidRPr="006D4E63">
        <w:rPr>
          <w:lang w:bidi="he-IL"/>
        </w:rPr>
        <w:t xml:space="preserve"> и/или </w:t>
      </w:r>
      <w:proofErr w:type="spellStart"/>
      <w:r w:rsidRPr="006D4E63">
        <w:rPr>
          <w:lang w:bidi="he-IL"/>
        </w:rPr>
        <w:t>лактобацилл</w:t>
      </w:r>
      <w:proofErr w:type="spellEnd"/>
      <w:r w:rsidRPr="006D4E63">
        <w:rPr>
          <w:lang w:bidi="he-IL"/>
        </w:rPr>
        <w:t>, уменьшении общего количества кишечных палочек и появлении их измененных форм.</w:t>
      </w:r>
    </w:p>
    <w:p w:rsidR="002B5953" w:rsidRPr="006D4E63" w:rsidRDefault="002B5953" w:rsidP="002B5953">
      <w:pPr>
        <w:ind w:firstLine="720"/>
        <w:jc w:val="both"/>
        <w:rPr>
          <w:lang w:bidi="he-IL"/>
        </w:rPr>
      </w:pPr>
      <w:r w:rsidRPr="006D4E63">
        <w:rPr>
          <w:lang w:bidi="he-IL"/>
        </w:rPr>
        <w:t>При исследовании на мутагенность экстрактов фекалий, взятых от 1</w:t>
      </w:r>
      <w:r>
        <w:rPr>
          <w:lang w:bidi="he-IL"/>
        </w:rPr>
        <w:t>2</w:t>
      </w:r>
      <w:r w:rsidRPr="006D4E63">
        <w:rPr>
          <w:lang w:bidi="he-IL"/>
        </w:rPr>
        <w:t xml:space="preserve"> человек, включенных в 1 группу, мутагенная активность выявлена только в 1 экстракте при использовании штамма ТА 100 и 2-х для штамма ТА 98 </w:t>
      </w:r>
      <w:r>
        <w:rPr>
          <w:lang w:bidi="he-IL"/>
        </w:rPr>
        <w:t>(</w:t>
      </w:r>
      <w:r w:rsidRPr="006D4E63">
        <w:rPr>
          <w:lang w:bidi="he-IL"/>
        </w:rPr>
        <w:t>таблица</w:t>
      </w:r>
      <w:r w:rsidRPr="00A277D1">
        <w:rPr>
          <w:lang w:bidi="he-IL"/>
        </w:rPr>
        <w:t xml:space="preserve"> </w:t>
      </w:r>
      <w:r w:rsidRPr="006D4E63">
        <w:rPr>
          <w:lang w:bidi="he-IL"/>
        </w:rPr>
        <w:t xml:space="preserve">1). Причем, даже обнаруженная </w:t>
      </w:r>
      <w:r>
        <w:rPr>
          <w:lang w:bidi="he-IL"/>
        </w:rPr>
        <w:t xml:space="preserve">слабая </w:t>
      </w:r>
      <w:r w:rsidRPr="006D4E63">
        <w:rPr>
          <w:lang w:bidi="he-IL"/>
        </w:rPr>
        <w:t xml:space="preserve">мутагенная активность, </w:t>
      </w:r>
      <w:r>
        <w:rPr>
          <w:lang w:bidi="he-IL"/>
        </w:rPr>
        <w:t xml:space="preserve">когда </w:t>
      </w:r>
      <w:r w:rsidRPr="006D4E63">
        <w:rPr>
          <w:lang w:bidi="he-IL"/>
        </w:rPr>
        <w:t xml:space="preserve">максимальное число </w:t>
      </w:r>
      <w:proofErr w:type="spellStart"/>
      <w:r w:rsidRPr="006D4E63">
        <w:rPr>
          <w:lang w:bidi="he-IL"/>
        </w:rPr>
        <w:t>ревертантов</w:t>
      </w:r>
      <w:proofErr w:type="spellEnd"/>
      <w:r w:rsidRPr="006D4E63">
        <w:rPr>
          <w:lang w:bidi="he-IL"/>
        </w:rPr>
        <w:t xml:space="preserve"> в образцах экстрактов превосходи</w:t>
      </w:r>
      <w:r>
        <w:rPr>
          <w:lang w:bidi="he-IL"/>
        </w:rPr>
        <w:t>ло</w:t>
      </w:r>
      <w:r w:rsidRPr="006D4E63">
        <w:rPr>
          <w:lang w:bidi="he-IL"/>
        </w:rPr>
        <w:t xml:space="preserve"> их уровень в чистом контроле, находи</w:t>
      </w:r>
      <w:r>
        <w:rPr>
          <w:lang w:bidi="he-IL"/>
        </w:rPr>
        <w:t>лась</w:t>
      </w:r>
      <w:r w:rsidRPr="006D4E63">
        <w:rPr>
          <w:lang w:bidi="he-IL"/>
        </w:rPr>
        <w:t xml:space="preserve"> почти на нижней границе статистической значимости различий. </w:t>
      </w:r>
    </w:p>
    <w:p w:rsidR="002B5953" w:rsidRPr="00DF0B74" w:rsidRDefault="002B5953" w:rsidP="002B5953">
      <w:pPr>
        <w:jc w:val="both"/>
        <w:rPr>
          <w:b/>
          <w:lang w:bidi="he-IL"/>
        </w:rPr>
      </w:pPr>
    </w:p>
    <w:p w:rsidR="002B5953" w:rsidRPr="006D4E63" w:rsidRDefault="002B5953" w:rsidP="002B5953">
      <w:pPr>
        <w:jc w:val="both"/>
        <w:rPr>
          <w:b/>
          <w:lang w:bidi="he-IL"/>
        </w:rPr>
      </w:pPr>
      <w:r w:rsidRPr="006D4E63">
        <w:rPr>
          <w:b/>
          <w:lang w:bidi="he-IL"/>
        </w:rPr>
        <w:t xml:space="preserve">Таблица 1. Мутагенность фекальных экстрактов для индикаторных штаммов </w:t>
      </w:r>
      <w:r w:rsidRPr="001C6561">
        <w:rPr>
          <w:b/>
          <w:i/>
          <w:lang w:val="en-US" w:bidi="he-IL"/>
        </w:rPr>
        <w:t>Salmonella</w:t>
      </w:r>
      <w:r w:rsidRPr="001C6561">
        <w:rPr>
          <w:b/>
          <w:i/>
          <w:lang w:bidi="he-IL"/>
        </w:rPr>
        <w:t xml:space="preserve"> </w:t>
      </w:r>
      <w:proofErr w:type="spellStart"/>
      <w:r>
        <w:rPr>
          <w:b/>
          <w:i/>
          <w:lang w:val="en-US" w:bidi="he-IL"/>
        </w:rPr>
        <w:t>t</w:t>
      </w:r>
      <w:r w:rsidRPr="001C6561">
        <w:rPr>
          <w:b/>
          <w:i/>
          <w:lang w:val="en-US" w:bidi="he-IL"/>
        </w:rPr>
        <w:t>yphimurium</w:t>
      </w:r>
      <w:proofErr w:type="spellEnd"/>
    </w:p>
    <w:p w:rsidR="002B5953" w:rsidRPr="006D4E63" w:rsidRDefault="002B5953" w:rsidP="002B5953">
      <w:pPr>
        <w:jc w:val="both"/>
        <w:rPr>
          <w:lang w:bidi="he-IL"/>
        </w:rPr>
      </w:pPr>
    </w:p>
    <w:tbl>
      <w:tblPr>
        <w:tblW w:w="8023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2392"/>
        <w:gridCol w:w="2344"/>
      </w:tblGrid>
      <w:tr w:rsidR="002B5953" w:rsidRPr="006D4E63" w:rsidTr="00265E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87" w:type="dxa"/>
            <w:vMerge w:val="restart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r w:rsidRPr="006D4E63">
              <w:rPr>
                <w:lang w:bidi="he-IL"/>
              </w:rPr>
              <w:t>Состояние</w:t>
            </w:r>
          </w:p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r w:rsidRPr="006D4E63">
              <w:rPr>
                <w:lang w:bidi="he-IL"/>
              </w:rPr>
              <w:t>кишечной микрофлоры</w:t>
            </w:r>
          </w:p>
        </w:tc>
        <w:tc>
          <w:tcPr>
            <w:tcW w:w="4736" w:type="dxa"/>
            <w:gridSpan w:val="2"/>
          </w:tcPr>
          <w:p w:rsidR="002B5953" w:rsidRPr="009E06FD" w:rsidRDefault="002B5953" w:rsidP="00265E1F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Мутагенная активность экстрактов, выявленная на ш</w:t>
            </w:r>
            <w:r w:rsidRPr="006D4E63">
              <w:rPr>
                <w:lang w:bidi="he-IL"/>
              </w:rPr>
              <w:t>тамм</w:t>
            </w:r>
            <w:r>
              <w:rPr>
                <w:lang w:bidi="he-IL"/>
              </w:rPr>
              <w:t xml:space="preserve">е </w:t>
            </w:r>
            <w:r>
              <w:rPr>
                <w:lang w:val="en-US" w:bidi="he-IL"/>
              </w:rPr>
              <w:t>S</w:t>
            </w:r>
            <w:r w:rsidRPr="00DF0B74"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typhimurium</w:t>
            </w:r>
            <w:proofErr w:type="spellEnd"/>
          </w:p>
        </w:tc>
      </w:tr>
      <w:tr w:rsidR="002B5953" w:rsidRPr="006D4E63" w:rsidTr="00265E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87" w:type="dxa"/>
            <w:vMerge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</w:p>
        </w:tc>
        <w:tc>
          <w:tcPr>
            <w:tcW w:w="2392" w:type="dxa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r w:rsidRPr="006D4E63">
              <w:rPr>
                <w:lang w:bidi="he-IL"/>
              </w:rPr>
              <w:t>ТА100</w:t>
            </w:r>
            <w:r>
              <w:rPr>
                <w:lang w:bidi="he-IL"/>
              </w:rPr>
              <w:t>*</w:t>
            </w:r>
          </w:p>
        </w:tc>
        <w:tc>
          <w:tcPr>
            <w:tcW w:w="2344" w:type="dxa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r w:rsidRPr="006D4E63">
              <w:rPr>
                <w:lang w:bidi="he-IL"/>
              </w:rPr>
              <w:t>ТА98</w:t>
            </w:r>
            <w:r>
              <w:rPr>
                <w:lang w:bidi="he-IL"/>
              </w:rPr>
              <w:t>*</w:t>
            </w:r>
          </w:p>
        </w:tc>
      </w:tr>
      <w:tr w:rsidR="002B5953" w:rsidRPr="006D4E63" w:rsidTr="00265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7" w:type="dxa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Нормобиоценоз</w:t>
            </w:r>
            <w:proofErr w:type="spellEnd"/>
          </w:p>
        </w:tc>
        <w:tc>
          <w:tcPr>
            <w:tcW w:w="2392" w:type="dxa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r w:rsidRPr="006D4E63">
              <w:rPr>
                <w:lang w:bidi="he-IL"/>
              </w:rPr>
              <w:t>1/1</w:t>
            </w:r>
            <w:r>
              <w:rPr>
                <w:lang w:bidi="he-IL"/>
              </w:rPr>
              <w:t>2</w:t>
            </w:r>
          </w:p>
        </w:tc>
        <w:tc>
          <w:tcPr>
            <w:tcW w:w="2344" w:type="dxa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r w:rsidRPr="006D4E63">
              <w:rPr>
                <w:bCs/>
                <w:lang w:bidi="he-IL"/>
              </w:rPr>
              <w:t>2/1</w:t>
            </w:r>
            <w:r>
              <w:rPr>
                <w:bCs/>
                <w:lang w:bidi="he-IL"/>
              </w:rPr>
              <w:t>2</w:t>
            </w:r>
          </w:p>
        </w:tc>
      </w:tr>
      <w:tr w:rsidR="002B5953" w:rsidRPr="006D4E63" w:rsidTr="00265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7" w:type="dxa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proofErr w:type="spellStart"/>
            <w:r w:rsidRPr="006D4E63">
              <w:rPr>
                <w:lang w:bidi="he-IL"/>
              </w:rPr>
              <w:t>Дисбактериоз</w:t>
            </w:r>
            <w:proofErr w:type="spellEnd"/>
          </w:p>
        </w:tc>
        <w:tc>
          <w:tcPr>
            <w:tcW w:w="2392" w:type="dxa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r w:rsidRPr="006D4E63">
              <w:rPr>
                <w:lang w:bidi="he-IL"/>
              </w:rPr>
              <w:t>28/40</w:t>
            </w:r>
          </w:p>
        </w:tc>
        <w:tc>
          <w:tcPr>
            <w:tcW w:w="2344" w:type="dxa"/>
          </w:tcPr>
          <w:p w:rsidR="002B5953" w:rsidRPr="006D4E63" w:rsidRDefault="002B5953" w:rsidP="00265E1F">
            <w:pPr>
              <w:jc w:val="center"/>
              <w:rPr>
                <w:lang w:bidi="he-IL"/>
              </w:rPr>
            </w:pPr>
            <w:r w:rsidRPr="006D4E63">
              <w:rPr>
                <w:lang w:bidi="he-IL"/>
              </w:rPr>
              <w:t>36/40</w:t>
            </w:r>
          </w:p>
        </w:tc>
      </w:tr>
    </w:tbl>
    <w:p w:rsidR="002B5953" w:rsidRPr="006D4E63" w:rsidRDefault="002B5953" w:rsidP="002B5953"/>
    <w:p w:rsidR="002B5953" w:rsidRPr="009E06FD" w:rsidRDefault="002B5953" w:rsidP="002B5953">
      <w:pPr>
        <w:jc w:val="center"/>
        <w:rPr>
          <w:lang w:bidi="he-IL"/>
        </w:rPr>
      </w:pPr>
      <w:r w:rsidRPr="001B7C6F">
        <w:rPr>
          <w:spacing w:val="20"/>
        </w:rPr>
        <w:t>Примечание</w:t>
      </w:r>
      <w:r w:rsidRPr="009E06FD">
        <w:t>*</w:t>
      </w:r>
      <w:r>
        <w:t xml:space="preserve"> </w:t>
      </w:r>
      <w:r w:rsidRPr="009E06FD">
        <w:rPr>
          <w:lang w:bidi="he-IL"/>
        </w:rPr>
        <w:t xml:space="preserve"> в числител</w:t>
      </w:r>
      <w:r>
        <w:rPr>
          <w:lang w:bidi="he-IL"/>
        </w:rPr>
        <w:t>е указано</w:t>
      </w:r>
      <w:r w:rsidRPr="009E06FD">
        <w:rPr>
          <w:lang w:bidi="he-IL"/>
        </w:rPr>
        <w:t xml:space="preserve"> количество проб, содержащих мутагены;</w:t>
      </w:r>
    </w:p>
    <w:p w:rsidR="002B5953" w:rsidRPr="009E06FD" w:rsidRDefault="002B5953" w:rsidP="002B5953">
      <w:pPr>
        <w:jc w:val="center"/>
        <w:rPr>
          <w:lang w:bidi="he-IL"/>
        </w:rPr>
      </w:pPr>
      <w:r w:rsidRPr="009E06FD">
        <w:rPr>
          <w:lang w:bidi="he-IL"/>
        </w:rPr>
        <w:t>в знаменателе – общее количество протестированных экстрактов</w:t>
      </w:r>
    </w:p>
    <w:p w:rsidR="002B5953" w:rsidRPr="009E06FD" w:rsidRDefault="002B5953" w:rsidP="002B5953">
      <w:pPr>
        <w:ind w:firstLine="720"/>
        <w:jc w:val="center"/>
        <w:rPr>
          <w:lang w:bidi="he-IL"/>
        </w:rPr>
      </w:pPr>
    </w:p>
    <w:p w:rsidR="002B5953" w:rsidRPr="006D4E63" w:rsidRDefault="002B5953" w:rsidP="002B5953">
      <w:pPr>
        <w:ind w:firstLine="720"/>
        <w:jc w:val="both"/>
        <w:rPr>
          <w:lang w:bidi="he-IL"/>
        </w:rPr>
      </w:pPr>
      <w:r w:rsidRPr="006D4E63">
        <w:rPr>
          <w:lang w:bidi="he-IL"/>
        </w:rPr>
        <w:t xml:space="preserve">Иная картина наблюдается во второй группе. При исследовании мутагенности фекалий </w:t>
      </w:r>
      <w:r>
        <w:rPr>
          <w:lang w:bidi="he-IL"/>
        </w:rPr>
        <w:t xml:space="preserve">от </w:t>
      </w:r>
      <w:r w:rsidRPr="006D4E63">
        <w:rPr>
          <w:lang w:bidi="he-IL"/>
        </w:rPr>
        <w:t xml:space="preserve">40 пациентов с </w:t>
      </w:r>
      <w:proofErr w:type="spellStart"/>
      <w:r w:rsidRPr="006D4E63">
        <w:rPr>
          <w:lang w:bidi="he-IL"/>
        </w:rPr>
        <w:t>дисбактериозом</w:t>
      </w:r>
      <w:proofErr w:type="spellEnd"/>
      <w:r w:rsidRPr="006D4E63">
        <w:rPr>
          <w:lang w:bidi="he-IL"/>
        </w:rPr>
        <w:t xml:space="preserve">, </w:t>
      </w:r>
      <w:proofErr w:type="spellStart"/>
      <w:r w:rsidRPr="006D4E63">
        <w:rPr>
          <w:lang w:bidi="he-IL"/>
        </w:rPr>
        <w:t>генотоксиканты</w:t>
      </w:r>
      <w:proofErr w:type="spellEnd"/>
      <w:r w:rsidRPr="006D4E63">
        <w:rPr>
          <w:lang w:bidi="he-IL"/>
        </w:rPr>
        <w:t>, индуцирующие повышенный уровень реверсий у штамма ТА 100 обнаружены в 28 из них, и только в четырех отсутствовали мутагенные агенты, действующие по механизму сдвига рамки считывания, которые удается зарегистрировать при помощи штамма ТА 98.</w:t>
      </w:r>
    </w:p>
    <w:p w:rsidR="002B5953" w:rsidRPr="006D4E63" w:rsidRDefault="002B5953" w:rsidP="002B5953">
      <w:pPr>
        <w:ind w:firstLine="708"/>
        <w:jc w:val="both"/>
      </w:pPr>
      <w:r w:rsidRPr="006D4E63">
        <w:t xml:space="preserve">Далее с использованием штамма ТА 100 отдельно исследована мутагенность экстрактов фекалий в случае дефицита трех доминирующих групп кишечных бактерий – </w:t>
      </w:r>
      <w:proofErr w:type="spellStart"/>
      <w:r w:rsidRPr="006D4E63">
        <w:t>бифидобактерий</w:t>
      </w:r>
      <w:proofErr w:type="spellEnd"/>
      <w:r w:rsidRPr="006D4E63">
        <w:t xml:space="preserve">, </w:t>
      </w:r>
      <w:proofErr w:type="spellStart"/>
      <w:r w:rsidRPr="006D4E63">
        <w:t>лак</w:t>
      </w:r>
      <w:r>
        <w:t>тобацилл</w:t>
      </w:r>
      <w:proofErr w:type="spellEnd"/>
      <w:r>
        <w:t xml:space="preserve"> и кишечных палочек (рис.)</w:t>
      </w:r>
      <w:r w:rsidRPr="006D4E63">
        <w:t>.</w:t>
      </w:r>
    </w:p>
    <w:p w:rsidR="002B5953" w:rsidRPr="006D4E63" w:rsidRDefault="002B5953" w:rsidP="002B5953">
      <w:pPr>
        <w:ind w:firstLine="708"/>
        <w:jc w:val="both"/>
      </w:pPr>
      <w:r w:rsidRPr="006D4E63">
        <w:t xml:space="preserve"> В состоянии </w:t>
      </w:r>
      <w:proofErr w:type="spellStart"/>
      <w:r>
        <w:t>нормобиоценоза</w:t>
      </w:r>
      <w:proofErr w:type="spellEnd"/>
      <w:r w:rsidRPr="006D4E63">
        <w:t xml:space="preserve"> мутагенность обнаружена только в </w:t>
      </w:r>
      <w:r>
        <w:t>1 из 12</w:t>
      </w:r>
      <w:r w:rsidRPr="006D4E63">
        <w:t xml:space="preserve"> (</w:t>
      </w:r>
      <w:r>
        <w:t>8,3% случаев)</w:t>
      </w:r>
      <w:r w:rsidRPr="006D4E63">
        <w:t xml:space="preserve"> исследованных экстрактов. При дефиците </w:t>
      </w:r>
      <w:proofErr w:type="spellStart"/>
      <w:r w:rsidRPr="006D4E63">
        <w:t>бифидобактерий</w:t>
      </w:r>
      <w:proofErr w:type="spellEnd"/>
      <w:r w:rsidRPr="006D4E63">
        <w:t xml:space="preserve"> и </w:t>
      </w:r>
      <w:proofErr w:type="spellStart"/>
      <w:r w:rsidRPr="006D4E63">
        <w:t>лактобацилл</w:t>
      </w:r>
      <w:proofErr w:type="spellEnd"/>
      <w:r w:rsidRPr="006D4E63">
        <w:t xml:space="preserve"> (снижении популяционного уровня на 2 и более порядков) мутагенная активность обнаружена в 15 случаев из 23 (65%). </w:t>
      </w:r>
      <w:proofErr w:type="gramStart"/>
      <w:r w:rsidRPr="006D4E63">
        <w:t xml:space="preserve">Среднее количество </w:t>
      </w:r>
      <w:proofErr w:type="spellStart"/>
      <w:r w:rsidRPr="006D4E63">
        <w:t>ревертантов</w:t>
      </w:r>
      <w:proofErr w:type="spellEnd"/>
      <w:r w:rsidRPr="006D4E63">
        <w:t xml:space="preserve">, обнаруживаемое у </w:t>
      </w:r>
      <w:r>
        <w:t xml:space="preserve">бактерий </w:t>
      </w:r>
      <w:r w:rsidRPr="006D4E63">
        <w:t xml:space="preserve">индикаторного штамма сальмонелл ТА-100 в присутствии фекальных экстрактов, взятых от людей с дефицитом </w:t>
      </w:r>
      <w:proofErr w:type="spellStart"/>
      <w:r w:rsidRPr="006D4E63">
        <w:t>бифидобактерий</w:t>
      </w:r>
      <w:proofErr w:type="spellEnd"/>
      <w:r>
        <w:t>,</w:t>
      </w:r>
      <w:r w:rsidRPr="006D4E63">
        <w:t xml:space="preserve"> составляло 480 </w:t>
      </w:r>
      <w:proofErr w:type="spellStart"/>
      <w:r w:rsidRPr="006D4E63">
        <w:t>ревертантов</w:t>
      </w:r>
      <w:proofErr w:type="spellEnd"/>
      <w:r w:rsidRPr="006D4E63">
        <w:t xml:space="preserve">/чашку, </w:t>
      </w:r>
      <w:proofErr w:type="spellStart"/>
      <w:r w:rsidRPr="006D4E63">
        <w:t>лактобацилл</w:t>
      </w:r>
      <w:proofErr w:type="spellEnd"/>
      <w:r w:rsidRPr="006D4E63">
        <w:t xml:space="preserve"> – 360 </w:t>
      </w:r>
      <w:proofErr w:type="spellStart"/>
      <w:r w:rsidRPr="006D4E63">
        <w:t>ревертантов</w:t>
      </w:r>
      <w:proofErr w:type="spellEnd"/>
      <w:r w:rsidRPr="006D4E63">
        <w:t xml:space="preserve">/чашку, а при совместном снижении их количества – 580 </w:t>
      </w:r>
      <w:proofErr w:type="spellStart"/>
      <w:r w:rsidRPr="006D4E63">
        <w:t>ревертантов</w:t>
      </w:r>
      <w:proofErr w:type="spellEnd"/>
      <w:r w:rsidRPr="006D4E63">
        <w:rPr>
          <w:lang w:val="kk-KZ"/>
        </w:rPr>
        <w:t xml:space="preserve"> </w:t>
      </w:r>
      <w:r w:rsidRPr="006D4E63">
        <w:t xml:space="preserve">/чашку, что соответственно в 5,6; 4,2 и  6,4 раза превышало естественный фон </w:t>
      </w:r>
      <w:proofErr w:type="spellStart"/>
      <w:r w:rsidRPr="006D4E63">
        <w:t>мутабильности</w:t>
      </w:r>
      <w:proofErr w:type="spellEnd"/>
      <w:r w:rsidRPr="006D4E63">
        <w:t xml:space="preserve"> индикаторного штамма.</w:t>
      </w:r>
      <w:proofErr w:type="gramEnd"/>
      <w:r w:rsidRPr="006D4E63">
        <w:t xml:space="preserve"> Содержание мутагенов в этих фекальных экстрактах было в 4,8; 3,6 и 5,2 раз больше, чем в экстрактах из фекалий людей со стандартным популяционным уровнем </w:t>
      </w:r>
      <w:proofErr w:type="spellStart"/>
      <w:r w:rsidRPr="006D4E63">
        <w:t>бифидобактерий</w:t>
      </w:r>
      <w:proofErr w:type="spellEnd"/>
      <w:r w:rsidRPr="006D4E63">
        <w:t xml:space="preserve"> и </w:t>
      </w:r>
      <w:proofErr w:type="spellStart"/>
      <w:r w:rsidRPr="006D4E63">
        <w:t>лактобацилл</w:t>
      </w:r>
      <w:proofErr w:type="spellEnd"/>
      <w:r w:rsidRPr="006D4E63">
        <w:t xml:space="preserve">. </w:t>
      </w:r>
    </w:p>
    <w:p w:rsidR="002B5953" w:rsidRPr="006D4E63" w:rsidRDefault="002B5953" w:rsidP="002B5953">
      <w:pPr>
        <w:ind w:firstLine="708"/>
        <w:jc w:val="both"/>
      </w:pPr>
    </w:p>
    <w:p w:rsidR="002B5953" w:rsidRPr="006D4E63" w:rsidRDefault="002B5953" w:rsidP="002B5953">
      <w:pPr>
        <w:pStyle w:val="8"/>
        <w:ind w:firstLine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78680" cy="27076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B5953" w:rsidRPr="006D4E63" w:rsidRDefault="002B5953" w:rsidP="002B5953">
      <w:pPr>
        <w:pStyle w:val="8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Рис. </w:t>
      </w:r>
      <w:r w:rsidRPr="006D4E63">
        <w:rPr>
          <w:b/>
          <w:color w:val="auto"/>
          <w:sz w:val="24"/>
          <w:szCs w:val="24"/>
        </w:rPr>
        <w:t xml:space="preserve">Содержание мутагенов в кишечнике при стандартном и сниженном популяционном уровне </w:t>
      </w:r>
      <w:proofErr w:type="spellStart"/>
      <w:r w:rsidRPr="006D4E63">
        <w:rPr>
          <w:b/>
          <w:color w:val="auto"/>
          <w:sz w:val="24"/>
          <w:szCs w:val="24"/>
        </w:rPr>
        <w:t>бифидобактерий</w:t>
      </w:r>
      <w:proofErr w:type="spellEnd"/>
      <w:r w:rsidRPr="006D4E63">
        <w:rPr>
          <w:b/>
          <w:color w:val="auto"/>
          <w:sz w:val="24"/>
          <w:szCs w:val="24"/>
        </w:rPr>
        <w:t xml:space="preserve">, </w:t>
      </w:r>
      <w:proofErr w:type="spellStart"/>
      <w:r w:rsidRPr="006D4E63">
        <w:rPr>
          <w:b/>
          <w:color w:val="auto"/>
          <w:sz w:val="24"/>
          <w:szCs w:val="24"/>
        </w:rPr>
        <w:t>лактобацилл</w:t>
      </w:r>
      <w:proofErr w:type="spellEnd"/>
      <w:r w:rsidRPr="006D4E63">
        <w:rPr>
          <w:b/>
          <w:color w:val="auto"/>
          <w:sz w:val="24"/>
          <w:szCs w:val="24"/>
        </w:rPr>
        <w:t xml:space="preserve"> и </w:t>
      </w:r>
      <w:proofErr w:type="spellStart"/>
      <w:r w:rsidRPr="006D4E63">
        <w:rPr>
          <w:b/>
          <w:color w:val="auto"/>
          <w:sz w:val="24"/>
          <w:szCs w:val="24"/>
        </w:rPr>
        <w:t>эшерихи</w:t>
      </w:r>
      <w:r>
        <w:rPr>
          <w:b/>
          <w:color w:val="auto"/>
          <w:sz w:val="24"/>
          <w:szCs w:val="24"/>
        </w:rPr>
        <w:t>й</w:t>
      </w:r>
      <w:proofErr w:type="spellEnd"/>
    </w:p>
    <w:p w:rsidR="002B5953" w:rsidRPr="00A277D1" w:rsidRDefault="002B5953" w:rsidP="002B5953">
      <w:pPr>
        <w:jc w:val="center"/>
        <w:rPr>
          <w:i/>
        </w:rPr>
      </w:pPr>
      <w:r>
        <w:rPr>
          <w:i/>
        </w:rPr>
        <w:t>Обозначения:</w:t>
      </w:r>
      <w:r w:rsidRPr="00AB6C3D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Pr="00AB6C3D">
        <w:rPr>
          <w:i/>
        </w:rPr>
        <w:t>ЛБ-лактобациллы</w:t>
      </w:r>
      <w:proofErr w:type="spellEnd"/>
      <w:r w:rsidRPr="00AB6C3D">
        <w:rPr>
          <w:i/>
        </w:rPr>
        <w:t xml:space="preserve">; </w:t>
      </w:r>
      <w:proofErr w:type="spellStart"/>
      <w:r w:rsidRPr="00AB6C3D">
        <w:rPr>
          <w:i/>
        </w:rPr>
        <w:t>ББ-бифидобакте</w:t>
      </w:r>
      <w:r>
        <w:rPr>
          <w:i/>
        </w:rPr>
        <w:t>рии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КП-кишечные</w:t>
      </w:r>
      <w:proofErr w:type="spellEnd"/>
      <w:r>
        <w:rPr>
          <w:i/>
        </w:rPr>
        <w:t xml:space="preserve"> палочки</w:t>
      </w:r>
      <w:r w:rsidRPr="00A277D1">
        <w:rPr>
          <w:i/>
        </w:rPr>
        <w:t>.</w:t>
      </w:r>
    </w:p>
    <w:p w:rsidR="002B5953" w:rsidRPr="00A277D1" w:rsidRDefault="002B5953" w:rsidP="002B5953">
      <w:pPr>
        <w:ind w:firstLine="708"/>
        <w:jc w:val="both"/>
      </w:pPr>
    </w:p>
    <w:p w:rsidR="002B5953" w:rsidRPr="006D4E63" w:rsidRDefault="002B5953" w:rsidP="002B5953">
      <w:pPr>
        <w:ind w:firstLine="708"/>
        <w:jc w:val="both"/>
      </w:pPr>
      <w:r w:rsidRPr="006D4E63">
        <w:t xml:space="preserve">При дисбалансе </w:t>
      </w:r>
      <w:proofErr w:type="spellStart"/>
      <w:r w:rsidRPr="006D4E63">
        <w:t>эшерихиозной</w:t>
      </w:r>
      <w:proofErr w:type="spellEnd"/>
      <w:r w:rsidRPr="006D4E63">
        <w:t xml:space="preserve"> микрофлоры мутагенность выявлена в 5 из 17</w:t>
      </w:r>
      <w:r>
        <w:t xml:space="preserve"> </w:t>
      </w:r>
      <w:r w:rsidRPr="006D4E63">
        <w:t xml:space="preserve">(30%) исследованных экстрактах. Однако уровень мутаций у индикаторного штамма лишь в 2,5 раза больше спонтанного фона </w:t>
      </w:r>
      <w:proofErr w:type="spellStart"/>
      <w:r w:rsidRPr="006D4E63">
        <w:t>мутирования</w:t>
      </w:r>
      <w:proofErr w:type="spellEnd"/>
      <w:r w:rsidRPr="006D4E63">
        <w:t xml:space="preserve"> при снижении на 1-2 порядка общего количества полноценных кишечных палочек и в 2,2 раза превосходит его при повышенном содержании в популяции измененных форм </w:t>
      </w:r>
      <w:proofErr w:type="spellStart"/>
      <w:r w:rsidRPr="006D4E63">
        <w:t>эшерихий</w:t>
      </w:r>
      <w:proofErr w:type="spellEnd"/>
      <w:r w:rsidRPr="006D4E63">
        <w:t xml:space="preserve"> (</w:t>
      </w:r>
      <w:proofErr w:type="spellStart"/>
      <w:r w:rsidRPr="006D4E63">
        <w:t>слабоферментирующих</w:t>
      </w:r>
      <w:proofErr w:type="spellEnd"/>
      <w:r w:rsidRPr="006D4E63">
        <w:t xml:space="preserve"> и </w:t>
      </w:r>
      <w:proofErr w:type="spellStart"/>
      <w:r w:rsidRPr="006D4E63">
        <w:t>лактозонегативных</w:t>
      </w:r>
      <w:proofErr w:type="spellEnd"/>
      <w:r w:rsidRPr="006D4E63">
        <w:t xml:space="preserve">). Количество </w:t>
      </w:r>
      <w:proofErr w:type="spellStart"/>
      <w:r w:rsidRPr="006D4E63">
        <w:t>ревертантов</w:t>
      </w:r>
      <w:proofErr w:type="spellEnd"/>
      <w:r w:rsidRPr="006D4E63">
        <w:t xml:space="preserve"> в этих вариантах статистически не отличалось от данных, полученных при определении мутагенности экстрактов фекалий с нормальным уровнем </w:t>
      </w:r>
      <w:proofErr w:type="spellStart"/>
      <w:r w:rsidRPr="006D4E63">
        <w:t>эшерихиозной</w:t>
      </w:r>
      <w:proofErr w:type="spellEnd"/>
      <w:r w:rsidRPr="006D4E63">
        <w:t xml:space="preserve"> микрофлоры. </w:t>
      </w:r>
    </w:p>
    <w:p w:rsidR="002B5953" w:rsidRPr="006D4E63" w:rsidRDefault="002B5953" w:rsidP="002B5953">
      <w:pPr>
        <w:ind w:firstLine="540"/>
        <w:jc w:val="both"/>
        <w:rPr>
          <w:color w:val="000000"/>
        </w:rPr>
      </w:pPr>
      <w:r w:rsidRPr="006D4E63">
        <w:t xml:space="preserve">Для установления причинно-следственной связи между состоянием кишечной микрофлоры и содержанием мутагенных соединений в фекалиях человека, полученные данные были подвергнуты корреляционному анализу. Корреляции между качественным и количественным составом </w:t>
      </w:r>
      <w:proofErr w:type="spellStart"/>
      <w:r w:rsidRPr="006D4E63">
        <w:t>эшерихиозной</w:t>
      </w:r>
      <w:proofErr w:type="spellEnd"/>
      <w:r w:rsidRPr="006D4E63">
        <w:t xml:space="preserve"> микрофлоры и мутагенной активностью экстрактов фекалий не обнаружено, коэффициент ассоциации во всех случаев мал и его отличие от нуля можно отнести </w:t>
      </w:r>
      <w:proofErr w:type="gramStart"/>
      <w:r w:rsidRPr="006D4E63">
        <w:t>к</w:t>
      </w:r>
      <w:proofErr w:type="gramEnd"/>
      <w:r w:rsidRPr="006D4E63">
        <w:t xml:space="preserve"> случайным. Однако существует достаточно тесная корреляция между популяционным уровнем </w:t>
      </w:r>
      <w:proofErr w:type="spellStart"/>
      <w:r w:rsidRPr="006D4E63">
        <w:t>лактобацилл</w:t>
      </w:r>
      <w:proofErr w:type="spellEnd"/>
      <w:r w:rsidRPr="006D4E63">
        <w:t xml:space="preserve"> и </w:t>
      </w:r>
      <w:proofErr w:type="spellStart"/>
      <w:r w:rsidRPr="006D4E63">
        <w:t>бифидобактерий</w:t>
      </w:r>
      <w:proofErr w:type="spellEnd"/>
      <w:r w:rsidRPr="006D4E63">
        <w:t xml:space="preserve"> и уровнем фекальных мутагенов. Коэффициент ассоциации для этих двух признаков оказался равным –0,41. Знак «минус» указывает на то, что корреляция отрицательная, т.е. в случае, когда количество </w:t>
      </w:r>
      <w:proofErr w:type="spellStart"/>
      <w:r w:rsidRPr="006D4E63">
        <w:t>бифидобактерий</w:t>
      </w:r>
      <w:proofErr w:type="spellEnd"/>
      <w:r w:rsidRPr="006D4E63">
        <w:t xml:space="preserve"> и </w:t>
      </w:r>
      <w:proofErr w:type="spellStart"/>
      <w:r w:rsidRPr="006D4E63">
        <w:t>лактобацилл</w:t>
      </w:r>
      <w:proofErr w:type="spellEnd"/>
      <w:r w:rsidRPr="006D4E63">
        <w:t xml:space="preserve"> у данного обследуемого соответствует норме, то мутагенная активность </w:t>
      </w:r>
      <w:proofErr w:type="gramStart"/>
      <w:r w:rsidRPr="006D4E63">
        <w:t>фекалий</w:t>
      </w:r>
      <w:proofErr w:type="gramEnd"/>
      <w:r w:rsidRPr="006D4E63">
        <w:t xml:space="preserve"> скорее всего не будет выявлена. Напротив, при снижении количества </w:t>
      </w:r>
      <w:proofErr w:type="spellStart"/>
      <w:r w:rsidRPr="006D4E63">
        <w:t>бифидобактерий</w:t>
      </w:r>
      <w:proofErr w:type="spellEnd"/>
      <w:r w:rsidRPr="006D4E63">
        <w:t xml:space="preserve"> и </w:t>
      </w:r>
      <w:proofErr w:type="spellStart"/>
      <w:r w:rsidRPr="006D4E63">
        <w:t>лактобацилл</w:t>
      </w:r>
      <w:proofErr w:type="spellEnd"/>
      <w:r w:rsidRPr="006D4E63">
        <w:t xml:space="preserve"> в кишечнике будет иметь место повышение содержания мутагенов в фекалиях. </w:t>
      </w:r>
      <w:r w:rsidRPr="006D4E63">
        <w:rPr>
          <w:color w:val="000000"/>
        </w:rPr>
        <w:t xml:space="preserve">Отношение коэффициента ассоциации, вычисленного на основании полученных нами данных, к его средней ошибке </w:t>
      </w:r>
      <w:proofErr w:type="spellStart"/>
      <w:r w:rsidRPr="006D4E63">
        <w:rPr>
          <w:color w:val="000000"/>
          <w:lang w:val="en-US"/>
        </w:rPr>
        <w:t>m</w:t>
      </w:r>
      <w:r w:rsidRPr="006D4E63">
        <w:rPr>
          <w:color w:val="000000"/>
          <w:vertAlign w:val="subscript"/>
          <w:lang w:val="en-US"/>
        </w:rPr>
        <w:t>r</w:t>
      </w:r>
      <w:proofErr w:type="spellEnd"/>
      <w:r w:rsidRPr="006D4E63">
        <w:rPr>
          <w:color w:val="000000"/>
          <w:vertAlign w:val="subscript"/>
        </w:rPr>
        <w:t xml:space="preserve"> </w:t>
      </w:r>
      <w:r w:rsidRPr="006D4E63">
        <w:rPr>
          <w:color w:val="000000"/>
        </w:rPr>
        <w:t xml:space="preserve">больше стандартного значения критерия </w:t>
      </w:r>
      <w:r w:rsidRPr="006D4E63">
        <w:rPr>
          <w:color w:val="000000"/>
          <w:lang w:val="en-US"/>
        </w:rPr>
        <w:t>t</w:t>
      </w:r>
      <w:r w:rsidRPr="006D4E63">
        <w:rPr>
          <w:color w:val="000000"/>
          <w:lang w:val="ru-MO"/>
        </w:rPr>
        <w:t xml:space="preserve"> </w:t>
      </w:r>
      <w:r w:rsidRPr="006D4E63">
        <w:rPr>
          <w:color w:val="000000"/>
        </w:rPr>
        <w:t xml:space="preserve">Стьюдента для </w:t>
      </w:r>
      <w:r w:rsidRPr="006D4E63">
        <w:rPr>
          <w:color w:val="000000"/>
          <w:lang w:val="en-US"/>
        </w:rPr>
        <w:t>k</w:t>
      </w:r>
      <w:r w:rsidRPr="006D4E63">
        <w:rPr>
          <w:color w:val="000000"/>
        </w:rPr>
        <w:t xml:space="preserve"> </w:t>
      </w:r>
      <w:r w:rsidRPr="006D4E63">
        <w:rPr>
          <w:color w:val="000000"/>
          <w:lang w:val="ru-MO"/>
        </w:rPr>
        <w:t>= 38</w:t>
      </w:r>
      <w:r w:rsidRPr="006D4E63">
        <w:rPr>
          <w:color w:val="000000"/>
        </w:rPr>
        <w:t xml:space="preserve"> и </w:t>
      </w:r>
      <w:proofErr w:type="gramStart"/>
      <w:r w:rsidRPr="006D4E63">
        <w:rPr>
          <w:color w:val="000000"/>
        </w:rPr>
        <w:t>Р</w:t>
      </w:r>
      <w:proofErr w:type="gramEnd"/>
      <w:r w:rsidRPr="006D4E63">
        <w:rPr>
          <w:color w:val="000000"/>
        </w:rPr>
        <w:t xml:space="preserve"> = 0,01,что говорит о его достоверности. Ни у одного из обследованных не наблюдался избыточный бактериальный рост каких-либо представителей условно патогенной микрофлоры, что могло бы обусловить продукцию мутагенных соединений в толстом кишечнике. Поэтому увеличение содержания генетически активных соединений в данном случае определяется дефицитом </w:t>
      </w:r>
      <w:proofErr w:type="spellStart"/>
      <w:r w:rsidRPr="006D4E63">
        <w:rPr>
          <w:color w:val="000000"/>
        </w:rPr>
        <w:t>бифидобактерий</w:t>
      </w:r>
      <w:proofErr w:type="spellEnd"/>
      <w:r w:rsidRPr="006D4E63">
        <w:rPr>
          <w:color w:val="000000"/>
        </w:rPr>
        <w:t xml:space="preserve"> и </w:t>
      </w:r>
      <w:proofErr w:type="spellStart"/>
      <w:r w:rsidRPr="006D4E63">
        <w:rPr>
          <w:color w:val="000000"/>
        </w:rPr>
        <w:t>лактобацилл</w:t>
      </w:r>
      <w:proofErr w:type="spellEnd"/>
      <w:r w:rsidRPr="006D4E63">
        <w:rPr>
          <w:color w:val="000000"/>
        </w:rPr>
        <w:t xml:space="preserve"> непосредственно, а не косвенно, через увеличение численности </w:t>
      </w:r>
      <w:proofErr w:type="spellStart"/>
      <w:r w:rsidRPr="006D4E63">
        <w:t>эшерихиозной</w:t>
      </w:r>
      <w:proofErr w:type="spellEnd"/>
      <w:r w:rsidRPr="006D4E63">
        <w:t xml:space="preserve"> микрофлоры</w:t>
      </w:r>
      <w:r w:rsidRPr="006D4E63">
        <w:rPr>
          <w:color w:val="000000"/>
        </w:rPr>
        <w:t xml:space="preserve">. </w:t>
      </w:r>
    </w:p>
    <w:p w:rsidR="002B5953" w:rsidRPr="002B5953" w:rsidRDefault="002B5953" w:rsidP="002B5953">
      <w:pPr>
        <w:ind w:firstLine="540"/>
        <w:jc w:val="both"/>
      </w:pPr>
      <w:r w:rsidRPr="00A277D1">
        <w:t xml:space="preserve">Чтобы проверить это, из фекалий 6 человек с </w:t>
      </w:r>
      <w:proofErr w:type="spellStart"/>
      <w:r w:rsidRPr="00A277D1">
        <w:t>дисбактериозом</w:t>
      </w:r>
      <w:proofErr w:type="spellEnd"/>
      <w:r w:rsidRPr="00A277D1">
        <w:t xml:space="preserve">, у которых был выявлен дефицит </w:t>
      </w:r>
      <w:proofErr w:type="spellStart"/>
      <w:r w:rsidRPr="00A277D1">
        <w:t>бифидобактерий</w:t>
      </w:r>
      <w:proofErr w:type="spellEnd"/>
      <w:r w:rsidRPr="00A277D1">
        <w:t xml:space="preserve"> и </w:t>
      </w:r>
      <w:proofErr w:type="spellStart"/>
      <w:r w:rsidRPr="00A277D1">
        <w:t>лактобацилл</w:t>
      </w:r>
      <w:proofErr w:type="spellEnd"/>
      <w:r w:rsidRPr="00A277D1">
        <w:t xml:space="preserve"> специальным образом был приготовлен ферментативный </w:t>
      </w:r>
      <w:proofErr w:type="spellStart"/>
      <w:r w:rsidRPr="00A277D1">
        <w:t>бесклеточный</w:t>
      </w:r>
      <w:proofErr w:type="spellEnd"/>
      <w:r w:rsidRPr="00A277D1">
        <w:t xml:space="preserve"> экстракт – </w:t>
      </w:r>
      <w:proofErr w:type="spellStart"/>
      <w:r w:rsidRPr="00A277D1">
        <w:t>фекалаза</w:t>
      </w:r>
      <w:proofErr w:type="spellEnd"/>
      <w:r w:rsidRPr="00A277D1">
        <w:t xml:space="preserve"> дефицит (</w:t>
      </w:r>
      <w:proofErr w:type="spellStart"/>
      <w:r w:rsidRPr="00A277D1">
        <w:rPr>
          <w:b/>
        </w:rPr>
        <w:t>Фд</w:t>
      </w:r>
      <w:proofErr w:type="spellEnd"/>
      <w:r w:rsidRPr="00A277D1">
        <w:t xml:space="preserve">). Такой же экстракт получен и из фекалий людей с нормальной микрофлорой - </w:t>
      </w:r>
      <w:proofErr w:type="spellStart"/>
      <w:r w:rsidRPr="00A277D1">
        <w:t>фекалаза</w:t>
      </w:r>
      <w:proofErr w:type="spellEnd"/>
      <w:r w:rsidRPr="00A277D1">
        <w:t xml:space="preserve"> норма (</w:t>
      </w:r>
      <w:proofErr w:type="spellStart"/>
      <w:r w:rsidRPr="00A277D1">
        <w:rPr>
          <w:b/>
        </w:rPr>
        <w:t>Фн</w:t>
      </w:r>
      <w:proofErr w:type="spellEnd"/>
      <w:r w:rsidRPr="00A277D1">
        <w:t xml:space="preserve">). Эти экстракты инкубировали в течение 2 часов с растворами модельных мутагенов, далее </w:t>
      </w:r>
      <w:r w:rsidRPr="00A277D1">
        <w:lastRenderedPageBreak/>
        <w:t>добавляли к индикаторным штаммам, у которых определяли уровень индуцированных ими мутаций. Результаты этих экспериментов представлены в таблице 2.</w:t>
      </w:r>
    </w:p>
    <w:p w:rsidR="002B5953" w:rsidRPr="002B5953" w:rsidRDefault="002B5953" w:rsidP="002B5953">
      <w:pPr>
        <w:ind w:firstLine="540"/>
        <w:jc w:val="both"/>
      </w:pPr>
    </w:p>
    <w:p w:rsidR="002B5953" w:rsidRPr="006D4E63" w:rsidRDefault="002B5953" w:rsidP="002B5953">
      <w:pPr>
        <w:jc w:val="both"/>
        <w:rPr>
          <w:b/>
        </w:rPr>
      </w:pPr>
      <w:r w:rsidRPr="006D4E63">
        <w:t>Таблица 2.</w:t>
      </w:r>
      <w:r w:rsidRPr="006D4E63">
        <w:rPr>
          <w:b/>
        </w:rPr>
        <w:t xml:space="preserve">  Мутагенная активность </w:t>
      </w:r>
      <w:r w:rsidRPr="006D4E63">
        <w:rPr>
          <w:b/>
          <w:lang w:val="kk-KZ" w:bidi="he-IL"/>
        </w:rPr>
        <w:t>N-нитрозо-N-метилмочевины (НММ)</w:t>
      </w:r>
      <w:r w:rsidRPr="006D4E63">
        <w:rPr>
          <w:b/>
        </w:rPr>
        <w:t xml:space="preserve"> и </w:t>
      </w:r>
      <w:r w:rsidRPr="006D4E63">
        <w:rPr>
          <w:b/>
          <w:lang w:val="kk-KZ" w:bidi="he-IL"/>
        </w:rPr>
        <w:t>N-нитрозо-N-нитро-нитрозогуанидина (НГ)</w:t>
      </w:r>
      <w:r w:rsidRPr="006D4E63">
        <w:rPr>
          <w:b/>
        </w:rPr>
        <w:t xml:space="preserve">  и </w:t>
      </w:r>
      <w:proofErr w:type="spellStart"/>
      <w:r w:rsidRPr="006D4E63">
        <w:rPr>
          <w:b/>
        </w:rPr>
        <w:t>пиролизата</w:t>
      </w:r>
      <w:proofErr w:type="spellEnd"/>
      <w:r w:rsidRPr="006D4E63">
        <w:rPr>
          <w:b/>
        </w:rPr>
        <w:t xml:space="preserve"> триптофана (</w:t>
      </w:r>
      <w:proofErr w:type="gramStart"/>
      <w:r w:rsidRPr="006D4E63">
        <w:rPr>
          <w:b/>
        </w:rPr>
        <w:t>Т</w:t>
      </w:r>
      <w:proofErr w:type="spellStart"/>
      <w:proofErr w:type="gramEnd"/>
      <w:r w:rsidRPr="006D4E63">
        <w:rPr>
          <w:b/>
          <w:lang w:val="en-US"/>
        </w:rPr>
        <w:t>rp</w:t>
      </w:r>
      <w:proofErr w:type="spellEnd"/>
      <w:r w:rsidRPr="006D4E63">
        <w:rPr>
          <w:b/>
        </w:rPr>
        <w:t>-</w:t>
      </w:r>
      <w:r w:rsidRPr="006D4E63">
        <w:rPr>
          <w:b/>
          <w:lang w:val="en-US"/>
        </w:rPr>
        <w:t>P</w:t>
      </w:r>
      <w:r w:rsidRPr="006D4E63">
        <w:rPr>
          <w:b/>
        </w:rPr>
        <w:t xml:space="preserve">) после </w:t>
      </w:r>
      <w:proofErr w:type="spellStart"/>
      <w:r w:rsidRPr="006D4E63">
        <w:rPr>
          <w:b/>
        </w:rPr>
        <w:t>преинкубации</w:t>
      </w:r>
      <w:proofErr w:type="spellEnd"/>
      <w:r w:rsidRPr="006D4E63">
        <w:rPr>
          <w:b/>
        </w:rPr>
        <w:t xml:space="preserve"> с </w:t>
      </w:r>
      <w:proofErr w:type="spellStart"/>
      <w:r w:rsidRPr="006D4E63">
        <w:rPr>
          <w:b/>
        </w:rPr>
        <w:t>фекалазой</w:t>
      </w:r>
      <w:proofErr w:type="spellEnd"/>
      <w:r w:rsidRPr="006D4E63">
        <w:rPr>
          <w:b/>
        </w:rPr>
        <w:t>.</w:t>
      </w:r>
    </w:p>
    <w:p w:rsidR="002B5953" w:rsidRPr="006D4E63" w:rsidRDefault="002B5953" w:rsidP="002B59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B5953" w:rsidRPr="000A43CE" w:rsidTr="00265E1F">
        <w:tc>
          <w:tcPr>
            <w:tcW w:w="1914" w:type="dxa"/>
            <w:vMerge w:val="restart"/>
          </w:tcPr>
          <w:p w:rsidR="002B5953" w:rsidRPr="006D4E63" w:rsidRDefault="002B5953" w:rsidP="00265E1F">
            <w:pPr>
              <w:jc w:val="center"/>
            </w:pPr>
            <w:r w:rsidRPr="006D4E63">
              <w:t>Штамм</w:t>
            </w:r>
            <w:r>
              <w:t xml:space="preserve"> и модельный мутаген</w:t>
            </w:r>
          </w:p>
        </w:tc>
        <w:tc>
          <w:tcPr>
            <w:tcW w:w="7657" w:type="dxa"/>
            <w:gridSpan w:val="4"/>
          </w:tcPr>
          <w:p w:rsidR="002B5953" w:rsidRPr="006D4E63" w:rsidRDefault="002B5953" w:rsidP="00265E1F">
            <w:pPr>
              <w:jc w:val="center"/>
            </w:pPr>
            <w:r w:rsidRPr="006D4E63">
              <w:t xml:space="preserve">Число </w:t>
            </w:r>
            <w:proofErr w:type="spellStart"/>
            <w:r w:rsidRPr="006D4E63">
              <w:t>гистидиновых</w:t>
            </w:r>
            <w:proofErr w:type="spellEnd"/>
            <w:r w:rsidRPr="006D4E63">
              <w:t xml:space="preserve"> </w:t>
            </w:r>
            <w:proofErr w:type="spellStart"/>
            <w:r w:rsidRPr="006D4E63">
              <w:t>ревертантов</w:t>
            </w:r>
            <w:proofErr w:type="spellEnd"/>
            <w:r w:rsidRPr="006D4E63">
              <w:t xml:space="preserve"> / чашку</w:t>
            </w:r>
          </w:p>
        </w:tc>
      </w:tr>
      <w:tr w:rsidR="002B5953" w:rsidRPr="000A43CE" w:rsidTr="00265E1F">
        <w:tc>
          <w:tcPr>
            <w:tcW w:w="1914" w:type="dxa"/>
            <w:vMerge/>
          </w:tcPr>
          <w:p w:rsidR="002B5953" w:rsidRPr="000A43CE" w:rsidRDefault="002B5953" w:rsidP="00265E1F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2B5953" w:rsidRPr="006D4E63" w:rsidRDefault="002B5953" w:rsidP="00265E1F">
            <w:r>
              <w:t xml:space="preserve">Без </w:t>
            </w:r>
            <w:r w:rsidRPr="006D4E63">
              <w:t>мутаген</w:t>
            </w:r>
            <w:r>
              <w:t>а (спонтанный фон)</w:t>
            </w:r>
          </w:p>
        </w:tc>
        <w:tc>
          <w:tcPr>
            <w:tcW w:w="1914" w:type="dxa"/>
          </w:tcPr>
          <w:p w:rsidR="002B5953" w:rsidRPr="006D4E63" w:rsidRDefault="002B5953" w:rsidP="00265E1F">
            <w:pPr>
              <w:jc w:val="center"/>
            </w:pPr>
            <w:r>
              <w:t>С</w:t>
            </w:r>
            <w:r w:rsidRPr="006D4E63">
              <w:t xml:space="preserve"> мутаген</w:t>
            </w:r>
            <w:r>
              <w:t>ом (позитивный контроль)</w:t>
            </w:r>
            <w:r w:rsidRPr="006D4E63">
              <w:t xml:space="preserve"> </w:t>
            </w:r>
          </w:p>
        </w:tc>
        <w:tc>
          <w:tcPr>
            <w:tcW w:w="1914" w:type="dxa"/>
          </w:tcPr>
          <w:p w:rsidR="002B5953" w:rsidRPr="006D4E63" w:rsidRDefault="002B5953" w:rsidP="00265E1F">
            <w:pPr>
              <w:jc w:val="center"/>
            </w:pPr>
            <w:r>
              <w:t>М</w:t>
            </w:r>
            <w:r w:rsidRPr="006D4E63">
              <w:t>утаген +</w:t>
            </w:r>
            <w:r>
              <w:t xml:space="preserve"> </w:t>
            </w:r>
            <w:proofErr w:type="spellStart"/>
            <w:r w:rsidRPr="006D4E63">
              <w:t>Ф</w:t>
            </w:r>
            <w:r w:rsidRPr="000A43CE">
              <w:rPr>
                <w:vertAlign w:val="subscript"/>
              </w:rPr>
              <w:t>н</w:t>
            </w:r>
            <w:proofErr w:type="spellEnd"/>
          </w:p>
        </w:tc>
        <w:tc>
          <w:tcPr>
            <w:tcW w:w="1915" w:type="dxa"/>
          </w:tcPr>
          <w:p w:rsidR="002B5953" w:rsidRPr="006D4E63" w:rsidRDefault="002B5953" w:rsidP="00265E1F">
            <w:pPr>
              <w:jc w:val="center"/>
            </w:pPr>
            <w:r>
              <w:t>М</w:t>
            </w:r>
            <w:r w:rsidRPr="006D4E63">
              <w:t>утаген +</w:t>
            </w:r>
            <w:r>
              <w:t xml:space="preserve"> </w:t>
            </w:r>
            <w:proofErr w:type="spellStart"/>
            <w:r w:rsidRPr="006D4E63">
              <w:t>Ф</w:t>
            </w:r>
            <w:r w:rsidRPr="000A43CE">
              <w:rPr>
                <w:vertAlign w:val="subscript"/>
              </w:rPr>
              <w:t>д</w:t>
            </w:r>
            <w:proofErr w:type="spellEnd"/>
          </w:p>
        </w:tc>
      </w:tr>
      <w:tr w:rsidR="002B5953" w:rsidRPr="000A43CE" w:rsidTr="00265E1F">
        <w:tc>
          <w:tcPr>
            <w:tcW w:w="1914" w:type="dxa"/>
          </w:tcPr>
          <w:p w:rsidR="002B5953" w:rsidRPr="00A45BC3" w:rsidRDefault="002B5953" w:rsidP="00265E1F">
            <w:r w:rsidRPr="00A45BC3">
              <w:t>ТА100</w:t>
            </w:r>
            <w:r>
              <w:t xml:space="preserve"> - НММ</w:t>
            </w:r>
          </w:p>
        </w:tc>
        <w:tc>
          <w:tcPr>
            <w:tcW w:w="1914" w:type="dxa"/>
          </w:tcPr>
          <w:p w:rsidR="002B5953" w:rsidRPr="000A43CE" w:rsidRDefault="002B5953" w:rsidP="00265E1F">
            <w:pPr>
              <w:jc w:val="center"/>
              <w:rPr>
                <w:lang w:val="en-US"/>
              </w:rPr>
            </w:pPr>
            <w:r w:rsidRPr="006D4E63">
              <w:t>125</w:t>
            </w:r>
            <w:r w:rsidRPr="000A43CE">
              <w:rPr>
                <w:lang w:val="en-US"/>
              </w:rPr>
              <w:t>±</w:t>
            </w:r>
            <w:r w:rsidRPr="006D4E63">
              <w:t>9</w:t>
            </w:r>
          </w:p>
        </w:tc>
        <w:tc>
          <w:tcPr>
            <w:tcW w:w="1914" w:type="dxa"/>
          </w:tcPr>
          <w:p w:rsidR="002B5953" w:rsidRPr="006D4E63" w:rsidRDefault="002B5953" w:rsidP="00265E1F">
            <w:r>
              <w:t xml:space="preserve">      </w:t>
            </w:r>
            <w:r w:rsidRPr="000A43CE">
              <w:rPr>
                <w:lang w:val="en-US"/>
              </w:rPr>
              <w:t>1400±</w:t>
            </w:r>
            <w:r w:rsidRPr="006D4E63">
              <w:t>53</w:t>
            </w:r>
          </w:p>
        </w:tc>
        <w:tc>
          <w:tcPr>
            <w:tcW w:w="1914" w:type="dxa"/>
          </w:tcPr>
          <w:p w:rsidR="002B5953" w:rsidRPr="000A43CE" w:rsidRDefault="002B5953" w:rsidP="00265E1F">
            <w:pPr>
              <w:jc w:val="center"/>
              <w:rPr>
                <w:lang w:val="en-US"/>
              </w:rPr>
            </w:pPr>
            <w:r w:rsidRPr="000A43CE">
              <w:rPr>
                <w:lang w:val="en-US"/>
              </w:rPr>
              <w:t>436±</w:t>
            </w:r>
            <w:r w:rsidRPr="006D4E63">
              <w:t>25</w:t>
            </w:r>
          </w:p>
        </w:tc>
        <w:tc>
          <w:tcPr>
            <w:tcW w:w="1915" w:type="dxa"/>
          </w:tcPr>
          <w:p w:rsidR="002B5953" w:rsidRPr="006D4E63" w:rsidRDefault="002B5953" w:rsidP="00265E1F">
            <w:pPr>
              <w:jc w:val="center"/>
            </w:pPr>
            <w:r w:rsidRPr="006D4E63">
              <w:t>1230</w:t>
            </w:r>
            <w:r w:rsidRPr="000A43CE">
              <w:rPr>
                <w:lang w:val="en-US"/>
              </w:rPr>
              <w:t>±</w:t>
            </w:r>
            <w:r w:rsidRPr="006D4E63">
              <w:t>36</w:t>
            </w:r>
          </w:p>
        </w:tc>
      </w:tr>
      <w:tr w:rsidR="002B5953" w:rsidRPr="000A43CE" w:rsidTr="00265E1F">
        <w:trPr>
          <w:trHeight w:val="188"/>
        </w:trPr>
        <w:tc>
          <w:tcPr>
            <w:tcW w:w="1914" w:type="dxa"/>
          </w:tcPr>
          <w:p w:rsidR="002B5953" w:rsidRPr="00A45BC3" w:rsidRDefault="002B5953" w:rsidP="00265E1F">
            <w:r>
              <w:t xml:space="preserve">ТА 98 -  </w:t>
            </w:r>
            <w:r w:rsidRPr="00A45BC3">
              <w:t>НГ</w:t>
            </w:r>
          </w:p>
        </w:tc>
        <w:tc>
          <w:tcPr>
            <w:tcW w:w="1914" w:type="dxa"/>
            <w:shd w:val="clear" w:color="auto" w:fill="auto"/>
          </w:tcPr>
          <w:p w:rsidR="002B5953" w:rsidRPr="006D4E63" w:rsidRDefault="002B5953" w:rsidP="00265E1F">
            <w:pPr>
              <w:jc w:val="center"/>
            </w:pPr>
            <w:r w:rsidRPr="006D4E63">
              <w:t>42</w:t>
            </w:r>
            <w:r w:rsidRPr="000A43CE">
              <w:rPr>
                <w:lang w:val="en-US"/>
              </w:rPr>
              <w:t>±</w:t>
            </w:r>
            <w:r w:rsidRPr="006D4E63">
              <w:t>5</w:t>
            </w:r>
          </w:p>
        </w:tc>
        <w:tc>
          <w:tcPr>
            <w:tcW w:w="1914" w:type="dxa"/>
            <w:shd w:val="clear" w:color="auto" w:fill="auto"/>
          </w:tcPr>
          <w:p w:rsidR="002B5953" w:rsidRPr="006D4E63" w:rsidRDefault="002B5953" w:rsidP="00265E1F">
            <w:pPr>
              <w:jc w:val="center"/>
            </w:pPr>
            <w:r w:rsidRPr="006D4E63">
              <w:t>4</w:t>
            </w:r>
            <w:r>
              <w:t>32</w:t>
            </w:r>
            <w:r w:rsidRPr="000A43CE">
              <w:rPr>
                <w:lang w:val="en-US"/>
              </w:rPr>
              <w:t>±</w:t>
            </w:r>
            <w:r w:rsidRPr="006D4E63">
              <w:t>12</w:t>
            </w:r>
          </w:p>
        </w:tc>
        <w:tc>
          <w:tcPr>
            <w:tcW w:w="1914" w:type="dxa"/>
            <w:shd w:val="clear" w:color="auto" w:fill="auto"/>
          </w:tcPr>
          <w:p w:rsidR="002B5953" w:rsidRPr="006D4E63" w:rsidRDefault="002B5953" w:rsidP="00265E1F">
            <w:pPr>
              <w:jc w:val="center"/>
            </w:pPr>
            <w:r w:rsidRPr="006D4E63">
              <w:t>215</w:t>
            </w:r>
            <w:r w:rsidRPr="000A43CE">
              <w:rPr>
                <w:lang w:val="en-US"/>
              </w:rPr>
              <w:t>±</w:t>
            </w:r>
            <w:r w:rsidRPr="006D4E63">
              <w:t>16</w:t>
            </w:r>
          </w:p>
        </w:tc>
        <w:tc>
          <w:tcPr>
            <w:tcW w:w="1915" w:type="dxa"/>
            <w:shd w:val="clear" w:color="auto" w:fill="auto"/>
          </w:tcPr>
          <w:p w:rsidR="002B5953" w:rsidRPr="006D4E63" w:rsidRDefault="002B5953" w:rsidP="00265E1F">
            <w:pPr>
              <w:jc w:val="center"/>
            </w:pPr>
            <w:r w:rsidRPr="006D4E63">
              <w:t>354</w:t>
            </w:r>
            <w:r w:rsidRPr="000A43CE">
              <w:rPr>
                <w:lang w:val="en-US"/>
              </w:rPr>
              <w:t>±</w:t>
            </w:r>
            <w:r w:rsidRPr="006D4E63">
              <w:t>22</w:t>
            </w:r>
          </w:p>
        </w:tc>
      </w:tr>
      <w:tr w:rsidR="002B5953" w:rsidRPr="000A43CE" w:rsidTr="00265E1F">
        <w:trPr>
          <w:trHeight w:val="253"/>
        </w:trPr>
        <w:tc>
          <w:tcPr>
            <w:tcW w:w="1914" w:type="dxa"/>
          </w:tcPr>
          <w:p w:rsidR="002B5953" w:rsidRDefault="002B5953" w:rsidP="00265E1F">
            <w:r>
              <w:t xml:space="preserve">ТА 98 - </w:t>
            </w:r>
            <w:proofErr w:type="spellStart"/>
            <w:r w:rsidRPr="000A43CE">
              <w:rPr>
                <w:lang w:val="en-US"/>
              </w:rPr>
              <w:t>Trp</w:t>
            </w:r>
            <w:proofErr w:type="spellEnd"/>
            <w:r w:rsidRPr="000A43CE">
              <w:rPr>
                <w:lang w:val="en-US"/>
              </w:rPr>
              <w:t>-P</w:t>
            </w:r>
          </w:p>
        </w:tc>
        <w:tc>
          <w:tcPr>
            <w:tcW w:w="1914" w:type="dxa"/>
            <w:shd w:val="clear" w:color="auto" w:fill="auto"/>
          </w:tcPr>
          <w:p w:rsidR="002B5953" w:rsidRPr="006D4E63" w:rsidRDefault="002B5953" w:rsidP="00265E1F">
            <w:pPr>
              <w:jc w:val="center"/>
            </w:pPr>
            <w:r w:rsidRPr="006D4E63">
              <w:t>37</w:t>
            </w:r>
            <w:r w:rsidRPr="000A43CE">
              <w:rPr>
                <w:lang w:val="en-US"/>
              </w:rPr>
              <w:t>±</w:t>
            </w:r>
            <w:r w:rsidRPr="006D4E63">
              <w:t>4</w:t>
            </w:r>
          </w:p>
        </w:tc>
        <w:tc>
          <w:tcPr>
            <w:tcW w:w="1914" w:type="dxa"/>
            <w:shd w:val="clear" w:color="auto" w:fill="auto"/>
          </w:tcPr>
          <w:p w:rsidR="002B5953" w:rsidRPr="006D4E63" w:rsidRDefault="002B5953" w:rsidP="00265E1F">
            <w:pPr>
              <w:jc w:val="center"/>
            </w:pPr>
            <w:r w:rsidRPr="006D4E63">
              <w:t>608</w:t>
            </w:r>
            <w:r w:rsidRPr="000A43CE">
              <w:rPr>
                <w:lang w:val="en-US"/>
              </w:rPr>
              <w:t>±</w:t>
            </w:r>
            <w:r w:rsidRPr="006D4E63">
              <w:t>32</w:t>
            </w:r>
          </w:p>
        </w:tc>
        <w:tc>
          <w:tcPr>
            <w:tcW w:w="1914" w:type="dxa"/>
            <w:shd w:val="clear" w:color="auto" w:fill="auto"/>
          </w:tcPr>
          <w:p w:rsidR="002B5953" w:rsidRPr="006D4E63" w:rsidRDefault="002B5953" w:rsidP="00265E1F">
            <w:pPr>
              <w:jc w:val="center"/>
            </w:pPr>
            <w:r w:rsidRPr="006D4E63">
              <w:t>580</w:t>
            </w:r>
            <w:r w:rsidRPr="000A43CE">
              <w:rPr>
                <w:lang w:val="en-US"/>
              </w:rPr>
              <w:t>±</w:t>
            </w:r>
            <w:r w:rsidRPr="006D4E63">
              <w:t>38</w:t>
            </w:r>
          </w:p>
        </w:tc>
        <w:tc>
          <w:tcPr>
            <w:tcW w:w="1915" w:type="dxa"/>
            <w:shd w:val="clear" w:color="auto" w:fill="auto"/>
          </w:tcPr>
          <w:p w:rsidR="002B5953" w:rsidRPr="006D4E63" w:rsidRDefault="002B5953" w:rsidP="00265E1F">
            <w:pPr>
              <w:jc w:val="center"/>
            </w:pPr>
            <w:r w:rsidRPr="006D4E63">
              <w:t>600</w:t>
            </w:r>
            <w:r w:rsidRPr="000A43CE">
              <w:rPr>
                <w:lang w:val="en-US"/>
              </w:rPr>
              <w:t>±</w:t>
            </w:r>
            <w:r w:rsidRPr="006D4E63">
              <w:t>44</w:t>
            </w:r>
          </w:p>
        </w:tc>
      </w:tr>
    </w:tbl>
    <w:p w:rsidR="002B5953" w:rsidRPr="006D4E63" w:rsidRDefault="002B5953" w:rsidP="002B5953">
      <w:pPr>
        <w:ind w:firstLine="540"/>
        <w:jc w:val="both"/>
        <w:rPr>
          <w:color w:val="000000"/>
        </w:rPr>
      </w:pPr>
    </w:p>
    <w:p w:rsidR="002B5953" w:rsidRPr="00A277D1" w:rsidRDefault="002B5953" w:rsidP="002B5953">
      <w:pPr>
        <w:ind w:firstLine="540"/>
        <w:jc w:val="both"/>
      </w:pPr>
      <w:proofErr w:type="gramStart"/>
      <w:r w:rsidRPr="00A277D1">
        <w:t xml:space="preserve">Оказалось, что ферментативные экстракты, полученные из фекалий со сниженным количеством </w:t>
      </w:r>
      <w:proofErr w:type="spellStart"/>
      <w:r w:rsidRPr="00A277D1">
        <w:t>бифидобактерий</w:t>
      </w:r>
      <w:proofErr w:type="spellEnd"/>
      <w:r w:rsidRPr="00A277D1">
        <w:t xml:space="preserve"> и </w:t>
      </w:r>
      <w:proofErr w:type="spellStart"/>
      <w:r w:rsidRPr="00A277D1">
        <w:t>лактобацилл</w:t>
      </w:r>
      <w:proofErr w:type="spellEnd"/>
      <w:r w:rsidRPr="00A277D1">
        <w:t xml:space="preserve"> - </w:t>
      </w:r>
      <w:proofErr w:type="spellStart"/>
      <w:r w:rsidRPr="00A277D1">
        <w:t>Фд</w:t>
      </w:r>
      <w:proofErr w:type="spellEnd"/>
      <w:r w:rsidRPr="00A277D1">
        <w:t xml:space="preserve">, практически не оказывают </w:t>
      </w:r>
      <w:proofErr w:type="spellStart"/>
      <w:r w:rsidRPr="00A277D1">
        <w:t>антимутагенного</w:t>
      </w:r>
      <w:proofErr w:type="spellEnd"/>
      <w:r w:rsidRPr="00A277D1">
        <w:t xml:space="preserve">  действия  в отношении НММ и НГ, в то время как в присутствии препарата </w:t>
      </w:r>
      <w:proofErr w:type="spellStart"/>
      <w:r w:rsidRPr="00A277D1">
        <w:t>фекалазы</w:t>
      </w:r>
      <w:proofErr w:type="spellEnd"/>
      <w:r w:rsidRPr="00A277D1">
        <w:t xml:space="preserve">, приготовленной из кишечного содержимого со стандартным популяционным уровнем этих бактерий - </w:t>
      </w:r>
      <w:proofErr w:type="spellStart"/>
      <w:r w:rsidRPr="00A277D1">
        <w:t>Фн</w:t>
      </w:r>
      <w:proofErr w:type="spellEnd"/>
      <w:r w:rsidRPr="00A277D1">
        <w:t>, мутагенная активность НММ снижалась в 3,2 раза и вдвое для НГ.</w:t>
      </w:r>
      <w:proofErr w:type="gramEnd"/>
      <w:r w:rsidRPr="00A277D1">
        <w:t xml:space="preserve"> Уровень мутагенного эффекта </w:t>
      </w:r>
      <w:proofErr w:type="spellStart"/>
      <w:r w:rsidRPr="00A277D1">
        <w:t>пиролизата</w:t>
      </w:r>
      <w:proofErr w:type="spellEnd"/>
      <w:r w:rsidRPr="00A277D1">
        <w:t xml:space="preserve"> аминокислоты триптофана (</w:t>
      </w:r>
      <w:proofErr w:type="gramStart"/>
      <w:r w:rsidRPr="00A277D1">
        <w:t>Т</w:t>
      </w:r>
      <w:proofErr w:type="spellStart"/>
      <w:proofErr w:type="gramEnd"/>
      <w:r w:rsidRPr="00A277D1">
        <w:rPr>
          <w:lang w:val="en-US"/>
        </w:rPr>
        <w:t>rp</w:t>
      </w:r>
      <w:proofErr w:type="spellEnd"/>
      <w:r w:rsidRPr="00A277D1">
        <w:t>-</w:t>
      </w:r>
      <w:r w:rsidRPr="00A277D1">
        <w:rPr>
          <w:lang w:val="en-US"/>
        </w:rPr>
        <w:t>P</w:t>
      </w:r>
      <w:r w:rsidRPr="00A277D1">
        <w:t xml:space="preserve">) не изменялся в присутствии обеих вариантов </w:t>
      </w:r>
      <w:proofErr w:type="spellStart"/>
      <w:r w:rsidRPr="00A277D1">
        <w:t>фекалазы</w:t>
      </w:r>
      <w:proofErr w:type="spellEnd"/>
      <w:r w:rsidRPr="00A277D1">
        <w:t xml:space="preserve"> и практически не зависел от того, какое количество </w:t>
      </w:r>
      <w:proofErr w:type="spellStart"/>
      <w:r w:rsidRPr="00A277D1">
        <w:t>бифидобактерий</w:t>
      </w:r>
      <w:proofErr w:type="spellEnd"/>
      <w:r w:rsidRPr="00A277D1">
        <w:t xml:space="preserve"> и </w:t>
      </w:r>
      <w:proofErr w:type="spellStart"/>
      <w:r w:rsidRPr="00A277D1">
        <w:t>лактобацилл</w:t>
      </w:r>
      <w:proofErr w:type="spellEnd"/>
      <w:r w:rsidRPr="00A277D1">
        <w:t xml:space="preserve"> находилось в кишечных пробах.</w:t>
      </w:r>
    </w:p>
    <w:p w:rsidR="002B5953" w:rsidRDefault="002B5953" w:rsidP="002B5953">
      <w:pPr>
        <w:ind w:firstLine="708"/>
        <w:jc w:val="center"/>
        <w:rPr>
          <w:b/>
        </w:rPr>
      </w:pPr>
    </w:p>
    <w:p w:rsidR="002B5953" w:rsidRPr="006D4E63" w:rsidRDefault="002B5953" w:rsidP="002B5953">
      <w:pPr>
        <w:jc w:val="center"/>
        <w:rPr>
          <w:b/>
        </w:rPr>
      </w:pPr>
      <w:r w:rsidRPr="006D4E63">
        <w:rPr>
          <w:b/>
        </w:rPr>
        <w:t>Обсуждение</w:t>
      </w:r>
    </w:p>
    <w:p w:rsidR="002B5953" w:rsidRPr="006D4E63" w:rsidRDefault="002B5953" w:rsidP="002B5953">
      <w:pPr>
        <w:ind w:firstLine="708"/>
        <w:jc w:val="both"/>
        <w:rPr>
          <w:lang w:val="kk-KZ"/>
        </w:rPr>
      </w:pPr>
      <w:r w:rsidRPr="006D4E63">
        <w:t xml:space="preserve">Бактериям, постоянно обитающим в кишечнике человека, достаточно часто приходиться контактировать с мутагенами, которые либо уже содержатся в пище, либо образуются в результате ферментативной метаболической активации </w:t>
      </w:r>
      <w:proofErr w:type="spellStart"/>
      <w:r w:rsidRPr="006D4E63">
        <w:t>промутагенов</w:t>
      </w:r>
      <w:proofErr w:type="spellEnd"/>
      <w:r w:rsidRPr="006D4E63">
        <w:t>, причем осуществляемой не только самим хозяином, но и его микрофлорой.</w:t>
      </w:r>
      <w:r w:rsidRPr="006D4E63">
        <w:rPr>
          <w:lang w:val="kk-KZ"/>
        </w:rPr>
        <w:t xml:space="preserve"> Поэтому в процессе длительного существования в таком биотопе они приобрели эффективные системы антимутагенной защиты. Поскольку доминирующим звеном кишечной микроэкологии являются бифидобактерии и лактобациллы, именно эти микроорганизмы должны обладать такими функциями, ведь именно антимутагенные способности позволяют им поддерживать постоянный и эволюционно выработанный уровень мутабильности. Тогда становится понятным, почему уменьшение популяци этих бактерий может привести к повышению мутагенного фона в кишечнике, что продемонстрировано приведенными в данной работе экспериментальными данными.</w:t>
      </w:r>
    </w:p>
    <w:p w:rsidR="002B5953" w:rsidRPr="006D4E63" w:rsidRDefault="002B5953" w:rsidP="002B5953">
      <w:pPr>
        <w:ind w:firstLine="708"/>
        <w:jc w:val="both"/>
      </w:pPr>
      <w:r w:rsidRPr="006D4E63">
        <w:rPr>
          <w:lang w:val="kk-KZ"/>
        </w:rPr>
        <w:t>К настоящему времени известно, что бидобактерии и лактобациллы, вегетирующие в кишечнике, обладают системой многоуровневой защиты от самых различных мутагенов</w:t>
      </w:r>
      <w:r w:rsidRPr="006D4E63">
        <w:rPr>
          <w:rFonts w:eastAsia="??"/>
          <w:lang w:eastAsia="ko-KR"/>
        </w:rPr>
        <w:t xml:space="preserve"> </w:t>
      </w:r>
      <w:r w:rsidRPr="006D4E63">
        <w:t xml:space="preserve">[2]. Микроорганизмы могут продуцировать ферменты, оказывающие </w:t>
      </w:r>
      <w:proofErr w:type="spellStart"/>
      <w:r w:rsidRPr="006D4E63">
        <w:t>антиоксидантное</w:t>
      </w:r>
      <w:proofErr w:type="spellEnd"/>
      <w:r w:rsidRPr="006D4E63">
        <w:t xml:space="preserve"> действие или инактивирующие мутагены, блокировать метаболическую активацию их, активизировать работу репарационных систем клетки и многое другое. Наблюдаемое в эксперименте снижение мутагенной активности </w:t>
      </w:r>
      <w:r w:rsidRPr="00B14B75">
        <w:rPr>
          <w:lang w:val="kk-KZ" w:bidi="he-IL"/>
        </w:rPr>
        <w:t>N-нитрозо-N-метилмочевины</w:t>
      </w:r>
      <w:r w:rsidRPr="00B14B75">
        <w:t xml:space="preserve"> и </w:t>
      </w:r>
      <w:r w:rsidRPr="00B14B75">
        <w:rPr>
          <w:lang w:val="kk-KZ" w:bidi="he-IL"/>
        </w:rPr>
        <w:t xml:space="preserve">N-нитрозо-N-нитро-нитрозогуанидина </w:t>
      </w:r>
      <w:r w:rsidRPr="00B14B75">
        <w:t xml:space="preserve">после </w:t>
      </w:r>
      <w:proofErr w:type="spellStart"/>
      <w:r w:rsidRPr="00B14B75">
        <w:t>преинкубации</w:t>
      </w:r>
      <w:proofErr w:type="spellEnd"/>
      <w:r w:rsidRPr="00B14B75">
        <w:t xml:space="preserve"> их</w:t>
      </w:r>
      <w:r w:rsidRPr="006D4E63">
        <w:t xml:space="preserve"> с </w:t>
      </w:r>
      <w:proofErr w:type="spellStart"/>
      <w:r w:rsidRPr="006D4E63">
        <w:t>фекалазой</w:t>
      </w:r>
      <w:proofErr w:type="spellEnd"/>
      <w:r w:rsidRPr="006D4E63">
        <w:t xml:space="preserve"> свидетельствует о том, что </w:t>
      </w:r>
      <w:proofErr w:type="spellStart"/>
      <w:r w:rsidRPr="006D4E63">
        <w:t>бифидобактерии</w:t>
      </w:r>
      <w:proofErr w:type="spellEnd"/>
      <w:r w:rsidRPr="006D4E63">
        <w:t xml:space="preserve"> и </w:t>
      </w:r>
      <w:proofErr w:type="spellStart"/>
      <w:r w:rsidRPr="006D4E63">
        <w:t>лактобациллы</w:t>
      </w:r>
      <w:proofErr w:type="spellEnd"/>
      <w:r w:rsidRPr="006D4E63">
        <w:t xml:space="preserve"> имеют ферменты, действие которых приводит к снижению индуцированного этими мутагенами уровня индуцированных реверсий у индикаторных штаммов. Это может быть связано с действием </w:t>
      </w:r>
      <w:proofErr w:type="gramStart"/>
      <w:r w:rsidRPr="006D4E63">
        <w:t>бактериальных</w:t>
      </w:r>
      <w:proofErr w:type="gramEnd"/>
      <w:r w:rsidRPr="006D4E63">
        <w:t xml:space="preserve"> </w:t>
      </w:r>
      <w:proofErr w:type="spellStart"/>
      <w:r w:rsidRPr="006D4E63">
        <w:t>редуктаз</w:t>
      </w:r>
      <w:proofErr w:type="spellEnd"/>
      <w:r w:rsidRPr="006D4E63">
        <w:t xml:space="preserve">, восстанавливающих мутагены до </w:t>
      </w:r>
      <w:proofErr w:type="spellStart"/>
      <w:r w:rsidRPr="006D4E63">
        <w:t>гидроксиламинов</w:t>
      </w:r>
      <w:proofErr w:type="spellEnd"/>
      <w:r w:rsidRPr="006D4E63">
        <w:t xml:space="preserve"> [9]. Есть данные, что </w:t>
      </w:r>
      <w:proofErr w:type="gramStart"/>
      <w:r w:rsidRPr="006D4E63">
        <w:t>процессы, происходящие при гидролизе микроорганизмами соответствующих субстратов масляной кислоты влияют</w:t>
      </w:r>
      <w:proofErr w:type="gramEnd"/>
      <w:r w:rsidRPr="006D4E63">
        <w:t xml:space="preserve"> на </w:t>
      </w:r>
      <w:proofErr w:type="spellStart"/>
      <w:r w:rsidRPr="006D4E63">
        <w:t>инактивацию</w:t>
      </w:r>
      <w:proofErr w:type="spellEnd"/>
      <w:r w:rsidRPr="006D4E63">
        <w:t xml:space="preserve"> пищевых </w:t>
      </w:r>
      <w:proofErr w:type="spellStart"/>
      <w:r w:rsidRPr="006D4E63">
        <w:t>проканцерогенов</w:t>
      </w:r>
      <w:proofErr w:type="spellEnd"/>
      <w:r w:rsidRPr="006D4E63">
        <w:t xml:space="preserve">, таких как </w:t>
      </w:r>
      <w:proofErr w:type="spellStart"/>
      <w:r w:rsidRPr="006D4E63">
        <w:t>нитрозамины</w:t>
      </w:r>
      <w:proofErr w:type="spellEnd"/>
      <w:r w:rsidRPr="006D4E63">
        <w:t xml:space="preserve">, которые обычно образуются в результате метаболической активности бактерий-комменсалов у людей, употребляющих богатую белком пищу [13]. Впрочем, необязательно в качестве бактериальных </w:t>
      </w:r>
      <w:r w:rsidRPr="006D4E63">
        <w:lastRenderedPageBreak/>
        <w:t xml:space="preserve">антимутагенов могут выступать белки-ферменты. Дезактивация </w:t>
      </w:r>
      <w:proofErr w:type="spellStart"/>
      <w:r w:rsidRPr="006D4E63">
        <w:t>нитрозогуанидина</w:t>
      </w:r>
      <w:proofErr w:type="spellEnd"/>
      <w:r w:rsidRPr="006D4E63">
        <w:t xml:space="preserve">, например, может быть связана с </w:t>
      </w:r>
      <w:proofErr w:type="spellStart"/>
      <w:r w:rsidRPr="006D4E63">
        <w:t>тиоловыми</w:t>
      </w:r>
      <w:proofErr w:type="spellEnd"/>
      <w:r w:rsidRPr="006D4E63">
        <w:t xml:space="preserve"> соединениями [2]. </w:t>
      </w:r>
    </w:p>
    <w:p w:rsidR="002B5953" w:rsidRPr="006D4E63" w:rsidRDefault="002B5953" w:rsidP="002B5953">
      <w:pPr>
        <w:ind w:firstLine="708"/>
        <w:jc w:val="both"/>
        <w:rPr>
          <w:lang w:val="ru-MO"/>
        </w:rPr>
      </w:pPr>
      <w:r w:rsidRPr="006D4E63">
        <w:rPr>
          <w:lang w:bidi="he-IL"/>
        </w:rPr>
        <w:t xml:space="preserve">Не только бактериальные метаболиты, но и клетки симбиотических бактерий, проявляют высокую </w:t>
      </w:r>
      <w:proofErr w:type="spellStart"/>
      <w:r w:rsidRPr="006D4E63">
        <w:rPr>
          <w:lang w:bidi="he-IL"/>
        </w:rPr>
        <w:t>дисмутагенную</w:t>
      </w:r>
      <w:proofErr w:type="spellEnd"/>
      <w:r w:rsidRPr="006D4E63">
        <w:rPr>
          <w:lang w:bidi="he-IL"/>
        </w:rPr>
        <w:t xml:space="preserve"> активность в отношении мутагенов широкого спектра действия. К ним относятся так называемые </w:t>
      </w:r>
      <w:proofErr w:type="spellStart"/>
      <w:r w:rsidRPr="006D4E63">
        <w:rPr>
          <w:lang w:bidi="he-IL"/>
        </w:rPr>
        <w:t>пиролизатные</w:t>
      </w:r>
      <w:proofErr w:type="spellEnd"/>
      <w:r w:rsidRPr="006D4E63">
        <w:rPr>
          <w:lang w:bidi="he-IL"/>
        </w:rPr>
        <w:t xml:space="preserve"> мутагены, выделенные первоначально из жаренных, богатых белками продуктов. Бактерии резидентной кишечной микрофлоры, такие как </w:t>
      </w:r>
      <w:proofErr w:type="spellStart"/>
      <w:r w:rsidRPr="006D4E63">
        <w:rPr>
          <w:lang w:bidi="he-IL"/>
        </w:rPr>
        <w:t>лактобациллы</w:t>
      </w:r>
      <w:proofErr w:type="spellEnd"/>
      <w:r w:rsidRPr="00B14B75">
        <w:rPr>
          <w:lang w:bidi="he-IL"/>
        </w:rPr>
        <w:t>,</w:t>
      </w:r>
      <w:r w:rsidRPr="006D4E63">
        <w:rPr>
          <w:lang w:bidi="he-IL"/>
        </w:rPr>
        <w:t xml:space="preserve"> обладают способностью связывать мутагенные продукты пиролиза триптофана, образующиеся при термической обработке пищи </w:t>
      </w:r>
      <w:r w:rsidRPr="006D4E63">
        <w:t>[18].</w:t>
      </w:r>
      <w:r w:rsidRPr="006D4E63">
        <w:rPr>
          <w:lang w:bidi="he-IL"/>
        </w:rPr>
        <w:t xml:space="preserve"> Причем, связывают этот мутагенный продукт даже нежизнеспособные клетки. Это объясняет, почему при обработке </w:t>
      </w:r>
      <w:proofErr w:type="spellStart"/>
      <w:r w:rsidRPr="006D4E63">
        <w:rPr>
          <w:lang w:bidi="he-IL"/>
        </w:rPr>
        <w:t>пиролизата</w:t>
      </w:r>
      <w:proofErr w:type="spellEnd"/>
      <w:r w:rsidRPr="006D4E63">
        <w:rPr>
          <w:lang w:bidi="he-IL"/>
        </w:rPr>
        <w:t xml:space="preserve"> триптофана </w:t>
      </w:r>
      <w:proofErr w:type="spellStart"/>
      <w:r w:rsidRPr="006D4E63">
        <w:rPr>
          <w:lang w:bidi="he-IL"/>
        </w:rPr>
        <w:t>фекалаз</w:t>
      </w:r>
      <w:r>
        <w:rPr>
          <w:lang w:bidi="he-IL"/>
        </w:rPr>
        <w:t>ой</w:t>
      </w:r>
      <w:proofErr w:type="spellEnd"/>
      <w:r w:rsidRPr="006D4E63">
        <w:rPr>
          <w:lang w:bidi="he-IL"/>
        </w:rPr>
        <w:t>, представляющ</w:t>
      </w:r>
      <w:r>
        <w:rPr>
          <w:lang w:bidi="he-IL"/>
        </w:rPr>
        <w:t>ей</w:t>
      </w:r>
      <w:r w:rsidRPr="006D4E63">
        <w:rPr>
          <w:lang w:bidi="he-IL"/>
        </w:rPr>
        <w:t xml:space="preserve"> собой </w:t>
      </w:r>
      <w:proofErr w:type="spellStart"/>
      <w:r w:rsidRPr="006D4E63">
        <w:rPr>
          <w:lang w:bidi="he-IL"/>
        </w:rPr>
        <w:t>бесклеточный</w:t>
      </w:r>
      <w:proofErr w:type="spellEnd"/>
      <w:r w:rsidRPr="006D4E63">
        <w:rPr>
          <w:lang w:bidi="he-IL"/>
        </w:rPr>
        <w:t xml:space="preserve"> фекальный ферментативный экстракт, не происходило снижения его мутагенной активности. В связи с этим перспективным представляются не только </w:t>
      </w:r>
      <w:proofErr w:type="spellStart"/>
      <w:r w:rsidRPr="006D4E63">
        <w:rPr>
          <w:lang w:bidi="he-IL"/>
        </w:rPr>
        <w:t>скрининговые</w:t>
      </w:r>
      <w:proofErr w:type="spellEnd"/>
      <w:r w:rsidRPr="006D4E63">
        <w:rPr>
          <w:lang w:bidi="he-IL"/>
        </w:rPr>
        <w:t xml:space="preserve"> исследования по поиску активных штаммов, но и работы, направленные на выяснение механизмов действия и идентификацию бактериальных метаболитов, обуславливающих </w:t>
      </w:r>
      <w:proofErr w:type="spellStart"/>
      <w:r w:rsidRPr="006D4E63">
        <w:rPr>
          <w:lang w:bidi="he-IL"/>
        </w:rPr>
        <w:t>антимутагенный</w:t>
      </w:r>
      <w:proofErr w:type="spellEnd"/>
      <w:r w:rsidRPr="006D4E63">
        <w:rPr>
          <w:lang w:bidi="he-IL"/>
        </w:rPr>
        <w:t xml:space="preserve"> эффект. </w:t>
      </w:r>
      <w:r w:rsidRPr="006D4E63">
        <w:rPr>
          <w:lang w:val="ru-MO"/>
        </w:rPr>
        <w:t xml:space="preserve">Это позволит провести обоснованный отбор </w:t>
      </w:r>
      <w:proofErr w:type="spellStart"/>
      <w:r w:rsidRPr="006D4E63">
        <w:rPr>
          <w:lang w:val="ru-MO"/>
        </w:rPr>
        <w:t>пробиотических</w:t>
      </w:r>
      <w:proofErr w:type="spellEnd"/>
      <w:r w:rsidRPr="006D4E63">
        <w:rPr>
          <w:lang w:val="ru-MO"/>
        </w:rPr>
        <w:t xml:space="preserve"> бактерий, способных </w:t>
      </w:r>
      <w:proofErr w:type="spellStart"/>
      <w:r w:rsidRPr="006D4E63">
        <w:rPr>
          <w:lang w:val="ru-MO"/>
        </w:rPr>
        <w:t>оздоравливать</w:t>
      </w:r>
      <w:proofErr w:type="spellEnd"/>
      <w:r w:rsidRPr="006D4E63">
        <w:rPr>
          <w:lang w:val="ru-MO"/>
        </w:rPr>
        <w:t xml:space="preserve"> микрофлору кишечника и наделять ее широким спектром протекторных свойств, включая </w:t>
      </w:r>
      <w:proofErr w:type="spellStart"/>
      <w:r w:rsidRPr="006D4E63">
        <w:rPr>
          <w:lang w:val="ru-MO"/>
        </w:rPr>
        <w:t>антимутагенную</w:t>
      </w:r>
      <w:proofErr w:type="spellEnd"/>
      <w:r w:rsidRPr="006D4E63">
        <w:rPr>
          <w:lang w:val="ru-MO"/>
        </w:rPr>
        <w:t xml:space="preserve"> и </w:t>
      </w:r>
      <w:proofErr w:type="spellStart"/>
      <w:r w:rsidRPr="006D4E63">
        <w:rPr>
          <w:lang w:val="ru-MO"/>
        </w:rPr>
        <w:t>антикацерогенную</w:t>
      </w:r>
      <w:proofErr w:type="spellEnd"/>
      <w:r w:rsidRPr="006D4E63">
        <w:rPr>
          <w:lang w:val="ru-MO"/>
        </w:rPr>
        <w:t xml:space="preserve"> активности.</w:t>
      </w:r>
    </w:p>
    <w:p w:rsidR="002B5953" w:rsidRPr="006D4E63" w:rsidRDefault="002B5953" w:rsidP="002B5953">
      <w:pPr>
        <w:jc w:val="center"/>
        <w:rPr>
          <w:b/>
        </w:rPr>
      </w:pPr>
      <w:r w:rsidRPr="006D4E63">
        <w:rPr>
          <w:b/>
        </w:rPr>
        <w:t>Литература</w:t>
      </w:r>
    </w:p>
    <w:p w:rsidR="002B5953" w:rsidRPr="006D4E63" w:rsidRDefault="002B5953" w:rsidP="002B5953">
      <w:pPr>
        <w:pStyle w:val="a3"/>
        <w:spacing w:after="0"/>
        <w:jc w:val="both"/>
      </w:pPr>
      <w:r w:rsidRPr="006D4E63">
        <w:t>1.</w:t>
      </w:r>
      <w:r>
        <w:t xml:space="preserve"> </w:t>
      </w:r>
      <w:r w:rsidRPr="006D4E63">
        <w:t xml:space="preserve">Бондаренко В.М., </w:t>
      </w:r>
      <w:proofErr w:type="spellStart"/>
      <w:r w:rsidRPr="006D4E63">
        <w:t>Мацулевич</w:t>
      </w:r>
      <w:proofErr w:type="spellEnd"/>
      <w:r w:rsidRPr="006D4E63">
        <w:t xml:space="preserve"> Т.В. </w:t>
      </w:r>
      <w:proofErr w:type="spellStart"/>
      <w:r w:rsidRPr="006D4E63">
        <w:t>Дисбактериоз</w:t>
      </w:r>
      <w:proofErr w:type="spellEnd"/>
      <w:r w:rsidRPr="006D4E63">
        <w:t xml:space="preserve"> кишечника как клинико-лабораторный синдром: современное состояние проблемы. М.:Гэотар-Медиа.2007</w:t>
      </w:r>
      <w:r>
        <w:t xml:space="preserve">.- </w:t>
      </w:r>
      <w:r w:rsidRPr="006D4E63">
        <w:t>304</w:t>
      </w:r>
      <w:r>
        <w:t>с</w:t>
      </w:r>
      <w:r w:rsidRPr="006D4E63">
        <w:t>.</w:t>
      </w:r>
    </w:p>
    <w:p w:rsidR="002B5953" w:rsidRPr="006D4E63" w:rsidRDefault="002B5953" w:rsidP="002B5953">
      <w:pPr>
        <w:jc w:val="both"/>
        <w:rPr>
          <w:rFonts w:eastAsia="??"/>
          <w:lang w:eastAsia="ko-KR"/>
        </w:rPr>
      </w:pPr>
      <w:r w:rsidRPr="006D4E63">
        <w:rPr>
          <w:rFonts w:eastAsia="??"/>
          <w:lang w:eastAsia="ko-KR"/>
        </w:rPr>
        <w:t>2.</w:t>
      </w:r>
      <w:r>
        <w:rPr>
          <w:rFonts w:eastAsia="??"/>
          <w:lang w:eastAsia="ko-KR"/>
        </w:rPr>
        <w:t xml:space="preserve"> </w:t>
      </w:r>
      <w:r w:rsidRPr="006D4E63">
        <w:rPr>
          <w:rFonts w:eastAsia="??"/>
          <w:lang w:eastAsia="ko-KR"/>
        </w:rPr>
        <w:t xml:space="preserve">Воробьева Л.И., </w:t>
      </w:r>
      <w:proofErr w:type="spellStart"/>
      <w:r w:rsidRPr="006D4E63">
        <w:rPr>
          <w:rFonts w:eastAsia="??"/>
          <w:lang w:eastAsia="ko-KR"/>
        </w:rPr>
        <w:t>Абилев</w:t>
      </w:r>
      <w:proofErr w:type="spellEnd"/>
      <w:r w:rsidRPr="006D4E63">
        <w:rPr>
          <w:rFonts w:eastAsia="??"/>
          <w:lang w:eastAsia="ko-KR"/>
        </w:rPr>
        <w:t xml:space="preserve"> С.К. </w:t>
      </w:r>
      <w:proofErr w:type="spellStart"/>
      <w:r w:rsidRPr="006D4E63">
        <w:rPr>
          <w:rFonts w:eastAsia="??"/>
          <w:lang w:eastAsia="ko-KR"/>
        </w:rPr>
        <w:t>Антимутагенные</w:t>
      </w:r>
      <w:proofErr w:type="spellEnd"/>
      <w:r w:rsidRPr="006D4E63">
        <w:rPr>
          <w:rFonts w:eastAsia="??"/>
          <w:lang w:eastAsia="ko-KR"/>
        </w:rPr>
        <w:t xml:space="preserve"> свойства бактерий (обзор). Прикладная биохимия и микробиология. 2002,</w:t>
      </w:r>
      <w:r>
        <w:rPr>
          <w:rFonts w:eastAsia="??"/>
          <w:lang w:eastAsia="ko-KR"/>
        </w:rPr>
        <w:t xml:space="preserve"> </w:t>
      </w:r>
      <w:r w:rsidRPr="006D4E63">
        <w:rPr>
          <w:rFonts w:eastAsia="??"/>
          <w:lang w:eastAsia="ko-KR"/>
        </w:rPr>
        <w:t>38(2):115-127.</w:t>
      </w:r>
    </w:p>
    <w:p w:rsidR="002B5953" w:rsidRPr="002B5953" w:rsidRDefault="002B5953" w:rsidP="002B5953">
      <w:pPr>
        <w:jc w:val="both"/>
      </w:pPr>
      <w:r w:rsidRPr="006D4E63">
        <w:rPr>
          <w:rFonts w:eastAsia="??"/>
          <w:lang w:eastAsia="ko-KR"/>
        </w:rPr>
        <w:t>3.</w:t>
      </w:r>
      <w:r>
        <w:rPr>
          <w:rFonts w:eastAsia="??"/>
          <w:lang w:eastAsia="ko-KR"/>
        </w:rPr>
        <w:t xml:space="preserve"> </w:t>
      </w:r>
      <w:proofErr w:type="gramStart"/>
      <w:r w:rsidRPr="006D4E63">
        <w:t>Дурнев</w:t>
      </w:r>
      <w:proofErr w:type="gramEnd"/>
      <w:r w:rsidRPr="006D4E63">
        <w:t xml:space="preserve"> А.Д. Мутагены и антимутагены в продуктах питания. Генетика</w:t>
      </w:r>
      <w:r w:rsidRPr="002B5953">
        <w:t>, 1997, 2 (33): 65-176.</w:t>
      </w:r>
    </w:p>
    <w:p w:rsidR="002B5953" w:rsidRPr="002B5953" w:rsidRDefault="002B5953" w:rsidP="002B5953">
      <w:pPr>
        <w:jc w:val="both"/>
      </w:pPr>
      <w:r w:rsidRPr="006D4E63">
        <w:t>4.</w:t>
      </w:r>
      <w:r>
        <w:t xml:space="preserve"> </w:t>
      </w:r>
      <w:r w:rsidRPr="006D4E63">
        <w:t xml:space="preserve">Николаева Т.Н., Зорина В.В., Бондаренко В.М. Иммуномодулирующая и антиканцерогенная активность нормальной микрофлоры кишечника. </w:t>
      </w:r>
      <w:proofErr w:type="spellStart"/>
      <w:r w:rsidRPr="006D4E63">
        <w:t>Эксперим</w:t>
      </w:r>
      <w:proofErr w:type="spellEnd"/>
      <w:r w:rsidRPr="002B5953">
        <w:t xml:space="preserve">. </w:t>
      </w:r>
      <w:r w:rsidRPr="006D4E63">
        <w:t>клин</w:t>
      </w:r>
      <w:proofErr w:type="gramStart"/>
      <w:r w:rsidRPr="002B5953">
        <w:t>.</w:t>
      </w:r>
      <w:proofErr w:type="gramEnd"/>
      <w:r w:rsidRPr="002B5953">
        <w:t xml:space="preserve"> </w:t>
      </w:r>
      <w:proofErr w:type="spellStart"/>
      <w:proofErr w:type="gramStart"/>
      <w:r w:rsidRPr="006D4E63">
        <w:t>г</w:t>
      </w:r>
      <w:proofErr w:type="gramEnd"/>
      <w:r w:rsidRPr="006D4E63">
        <w:t>астроэнтерол</w:t>
      </w:r>
      <w:proofErr w:type="spellEnd"/>
      <w:r w:rsidRPr="002B5953">
        <w:t>. 2004, 4:54-59.</w:t>
      </w:r>
    </w:p>
    <w:p w:rsidR="002B5953" w:rsidRPr="00AB6C3D" w:rsidRDefault="002B5953" w:rsidP="002B5953">
      <w:pPr>
        <w:pStyle w:val="BodyText"/>
        <w:jc w:val="both"/>
        <w:rPr>
          <w:sz w:val="24"/>
          <w:szCs w:val="24"/>
        </w:rPr>
      </w:pPr>
      <w:r w:rsidRPr="006D4E63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spellStart"/>
      <w:r w:rsidRPr="006D4E63">
        <w:rPr>
          <w:sz w:val="24"/>
          <w:szCs w:val="24"/>
        </w:rPr>
        <w:t>Фонштейн</w:t>
      </w:r>
      <w:proofErr w:type="spellEnd"/>
      <w:r w:rsidRPr="006D4E63">
        <w:rPr>
          <w:sz w:val="24"/>
          <w:szCs w:val="24"/>
        </w:rPr>
        <w:t xml:space="preserve"> Л.М., </w:t>
      </w:r>
      <w:proofErr w:type="spellStart"/>
      <w:r w:rsidRPr="006D4E63">
        <w:rPr>
          <w:sz w:val="24"/>
          <w:szCs w:val="24"/>
        </w:rPr>
        <w:t>Абилев</w:t>
      </w:r>
      <w:proofErr w:type="spellEnd"/>
      <w:r w:rsidRPr="006D4E63">
        <w:rPr>
          <w:sz w:val="24"/>
          <w:szCs w:val="24"/>
        </w:rPr>
        <w:t xml:space="preserve"> С.К., </w:t>
      </w:r>
      <w:proofErr w:type="spellStart"/>
      <w:r w:rsidRPr="006D4E63">
        <w:rPr>
          <w:sz w:val="24"/>
          <w:szCs w:val="24"/>
        </w:rPr>
        <w:t>Бобринев</w:t>
      </w:r>
      <w:proofErr w:type="spellEnd"/>
      <w:r w:rsidRPr="006D4E63">
        <w:rPr>
          <w:sz w:val="24"/>
          <w:szCs w:val="24"/>
        </w:rPr>
        <w:t xml:space="preserve"> Е.В. и др. Методы первичного выявления генетической активности среды с помощью бактериальных тест – систем. Метод</w:t>
      </w:r>
      <w:r>
        <w:rPr>
          <w:sz w:val="24"/>
          <w:szCs w:val="24"/>
        </w:rPr>
        <w:t>ические у</w:t>
      </w:r>
      <w:r w:rsidRPr="006D4E63">
        <w:rPr>
          <w:sz w:val="24"/>
          <w:szCs w:val="24"/>
        </w:rPr>
        <w:t>казания. М.,  Наука.1985.</w:t>
      </w:r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t>6.</w:t>
      </w:r>
      <w:r>
        <w:t xml:space="preserve"> </w:t>
      </w:r>
      <w:proofErr w:type="spellStart"/>
      <w:r w:rsidRPr="006D4E63">
        <w:t>Шендеров</w:t>
      </w:r>
      <w:proofErr w:type="spellEnd"/>
      <w:r w:rsidRPr="006D4E63">
        <w:t xml:space="preserve"> Б.А. </w:t>
      </w:r>
      <w:proofErr w:type="spellStart"/>
      <w:r w:rsidRPr="006D4E63">
        <w:t>Микроэкологические</w:t>
      </w:r>
      <w:proofErr w:type="spellEnd"/>
      <w:r w:rsidRPr="006D4E63">
        <w:t xml:space="preserve"> аспекты канцерогенеза. Антибиотики</w:t>
      </w:r>
      <w:r w:rsidRPr="006D4E63">
        <w:rPr>
          <w:lang w:val="en-US"/>
        </w:rPr>
        <w:t xml:space="preserve"> </w:t>
      </w:r>
      <w:r w:rsidRPr="006D4E63">
        <w:t>и</w:t>
      </w:r>
      <w:r w:rsidRPr="006D4E63">
        <w:rPr>
          <w:lang w:val="en-US"/>
        </w:rPr>
        <w:t xml:space="preserve"> </w:t>
      </w:r>
      <w:r w:rsidRPr="006D4E63">
        <w:t>химиотерапия</w:t>
      </w:r>
      <w:r w:rsidRPr="006D4E63">
        <w:rPr>
          <w:lang w:val="en-US"/>
        </w:rPr>
        <w:t xml:space="preserve">. 1990,.35 </w:t>
      </w:r>
      <w:proofErr w:type="gramStart"/>
      <w:r w:rsidRPr="006D4E63">
        <w:rPr>
          <w:lang w:val="en-US"/>
        </w:rPr>
        <w:t xml:space="preserve">( </w:t>
      </w:r>
      <w:proofErr w:type="gramEnd"/>
      <w:r w:rsidRPr="006D4E63">
        <w:rPr>
          <w:lang w:val="en-US"/>
        </w:rPr>
        <w:t>3):165-170.</w:t>
      </w:r>
    </w:p>
    <w:p w:rsidR="002B5953" w:rsidRPr="006D4E63" w:rsidRDefault="002B5953" w:rsidP="002B5953">
      <w:pPr>
        <w:jc w:val="both"/>
        <w:rPr>
          <w:lang w:val="en-US"/>
        </w:rPr>
      </w:pPr>
      <w:r w:rsidRPr="006D4E63">
        <w:rPr>
          <w:lang w:val="en-US"/>
        </w:rPr>
        <w:t>7.</w:t>
      </w:r>
      <w:r w:rsidRPr="004D6561">
        <w:rPr>
          <w:lang w:val="en-US"/>
        </w:rPr>
        <w:t xml:space="preserve"> </w:t>
      </w:r>
      <w:r w:rsidRPr="006D4E63">
        <w:rPr>
          <w:lang w:val="en-US"/>
        </w:rPr>
        <w:t>Ames B.N. Mutagenesis and carcinogenesis: e</w:t>
      </w:r>
      <w:r>
        <w:rPr>
          <w:lang w:val="en-US"/>
        </w:rPr>
        <w:t>xo</w:t>
      </w:r>
      <w:r w:rsidRPr="006D4E63">
        <w:rPr>
          <w:lang w:val="en-US"/>
        </w:rPr>
        <w:t>genous and endogenous factors. Environ. Mol. Mutagen.1989, 14(16): 66-77.</w:t>
      </w:r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rPr>
          <w:lang w:val="en-US"/>
        </w:rPr>
        <w:t>8.</w:t>
      </w:r>
      <w:r w:rsidRPr="00A277D1">
        <w:rPr>
          <w:lang w:val="en-US"/>
        </w:rPr>
        <w:t xml:space="preserve"> </w:t>
      </w:r>
      <w:proofErr w:type="spellStart"/>
      <w:r w:rsidRPr="006D4E63">
        <w:rPr>
          <w:lang w:val="en-US"/>
        </w:rPr>
        <w:t>Gerniglia</w:t>
      </w:r>
      <w:proofErr w:type="spellEnd"/>
      <w:r w:rsidRPr="006D4E63">
        <w:rPr>
          <w:lang w:val="en-US"/>
        </w:rPr>
        <w:t xml:space="preserve"> C.E., Howard P.C., Fu P. et al. Metabolism of </w:t>
      </w:r>
      <w:proofErr w:type="spellStart"/>
      <w:r w:rsidRPr="006D4E63">
        <w:rPr>
          <w:lang w:val="en-US"/>
        </w:rPr>
        <w:t>nitropolycyclic</w:t>
      </w:r>
      <w:proofErr w:type="spellEnd"/>
      <w:r w:rsidRPr="006D4E63">
        <w:rPr>
          <w:lang w:val="en-US"/>
        </w:rPr>
        <w:t xml:space="preserve"> aromatic hydrocarbons by human intestinal </w:t>
      </w:r>
      <w:proofErr w:type="spellStart"/>
      <w:r w:rsidRPr="006D4E63">
        <w:rPr>
          <w:lang w:val="en-US"/>
        </w:rPr>
        <w:t>microflora</w:t>
      </w:r>
      <w:proofErr w:type="spellEnd"/>
      <w:r w:rsidRPr="006D4E63">
        <w:rPr>
          <w:lang w:val="en-US"/>
        </w:rPr>
        <w:t xml:space="preserve">. Bochem.Biophys.Res.Com. 1984, </w:t>
      </w:r>
      <w:smartTag w:uri="urn:schemas-microsoft-com:office:smarttags" w:element="PersonName">
        <w:r w:rsidRPr="006D4E63">
          <w:rPr>
            <w:lang w:val="en-US"/>
          </w:rPr>
          <w:t>12</w:t>
        </w:r>
      </w:smartTag>
      <w:r w:rsidRPr="006D4E63">
        <w:rPr>
          <w:lang w:val="en-US"/>
        </w:rPr>
        <w:t>3 (1):262-270.</w:t>
      </w:r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rPr>
          <w:lang w:val="en-US"/>
        </w:rPr>
        <w:t>9.</w:t>
      </w:r>
      <w:r w:rsidRPr="004D6561">
        <w:rPr>
          <w:lang w:val="en-US"/>
        </w:rPr>
        <w:t xml:space="preserve"> </w:t>
      </w:r>
      <w:proofErr w:type="spellStart"/>
      <w:r w:rsidRPr="006D4E63">
        <w:rPr>
          <w:lang w:val="en-US"/>
        </w:rPr>
        <w:t>Hosono</w:t>
      </w:r>
      <w:proofErr w:type="spellEnd"/>
      <w:r w:rsidRPr="006D4E63">
        <w:rPr>
          <w:lang w:val="en-US"/>
        </w:rPr>
        <w:t xml:space="preserve"> A., </w:t>
      </w:r>
      <w:proofErr w:type="spellStart"/>
      <w:r w:rsidRPr="006D4E63">
        <w:rPr>
          <w:lang w:val="en-US"/>
        </w:rPr>
        <w:t>Sagae</w:t>
      </w:r>
      <w:proofErr w:type="spellEnd"/>
      <w:r w:rsidRPr="006D4E63">
        <w:rPr>
          <w:lang w:val="en-US"/>
        </w:rPr>
        <w:t xml:space="preserve"> S., </w:t>
      </w:r>
      <w:proofErr w:type="spellStart"/>
      <w:r w:rsidRPr="006D4E63">
        <w:rPr>
          <w:lang w:val="en-US"/>
        </w:rPr>
        <w:t>Tokita</w:t>
      </w:r>
      <w:proofErr w:type="spellEnd"/>
      <w:r w:rsidRPr="006D4E63">
        <w:rPr>
          <w:lang w:val="en-US"/>
        </w:rPr>
        <w:t xml:space="preserve"> E. </w:t>
      </w:r>
      <w:proofErr w:type="spellStart"/>
      <w:r w:rsidRPr="006D4E63">
        <w:rPr>
          <w:lang w:val="en-US"/>
        </w:rPr>
        <w:t>Desmutagenic</w:t>
      </w:r>
      <w:proofErr w:type="spellEnd"/>
      <w:r w:rsidRPr="006D4E63">
        <w:rPr>
          <w:lang w:val="en-US"/>
        </w:rPr>
        <w:t xml:space="preserve"> effect of cultured milk on chemically induced mutagenesis in Escherichia celli </w:t>
      </w:r>
      <w:proofErr w:type="spellStart"/>
      <w:r w:rsidRPr="006D4E63">
        <w:rPr>
          <w:lang w:val="en-US"/>
        </w:rPr>
        <w:t>B/r</w:t>
      </w:r>
      <w:proofErr w:type="spellEnd"/>
      <w:r w:rsidRPr="006D4E63">
        <w:rPr>
          <w:lang w:val="en-US"/>
        </w:rPr>
        <w:t xml:space="preserve"> WP2 </w:t>
      </w:r>
      <w:proofErr w:type="spellStart"/>
      <w:r w:rsidRPr="006D4E63">
        <w:rPr>
          <w:lang w:val="en-US"/>
        </w:rPr>
        <w:t>trp</w:t>
      </w:r>
      <w:proofErr w:type="spellEnd"/>
      <w:r w:rsidRPr="006D4E63">
        <w:rPr>
          <w:vertAlign w:val="superscript"/>
          <w:lang w:val="en-US"/>
        </w:rPr>
        <w:t xml:space="preserve">- </w:t>
      </w:r>
      <w:proofErr w:type="spellStart"/>
      <w:r w:rsidRPr="006D4E63">
        <w:rPr>
          <w:lang w:val="en-US"/>
        </w:rPr>
        <w:t>hcr</w:t>
      </w:r>
      <w:proofErr w:type="spellEnd"/>
      <w:r w:rsidRPr="006D4E63">
        <w:rPr>
          <w:vertAlign w:val="superscript"/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Milchwissnscahaft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1986, 41(3)</w:t>
      </w:r>
      <w:r w:rsidRPr="006D4E63">
        <w:rPr>
          <w:lang w:val="en-US"/>
        </w:rPr>
        <w:t>: 142-145.</w:t>
      </w:r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rPr>
          <w:lang w:val="en-US"/>
        </w:rPr>
        <w:t>10.</w:t>
      </w:r>
      <w:r w:rsidRPr="004D6561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D4E63">
            <w:rPr>
              <w:lang w:val="en-US"/>
            </w:rPr>
            <w:t>Kingston</w:t>
          </w:r>
        </w:smartTag>
      </w:smartTag>
      <w:r w:rsidRPr="006D4E63">
        <w:rPr>
          <w:lang w:val="en-US"/>
        </w:rPr>
        <w:t xml:space="preserve"> D.G., Van Tassel R.L., Wilkins T.D. </w:t>
      </w:r>
      <w:proofErr w:type="gramStart"/>
      <w:r w:rsidRPr="006D4E63">
        <w:rPr>
          <w:lang w:val="en-US"/>
        </w:rPr>
        <w:t xml:space="preserve">The </w:t>
      </w:r>
      <w:proofErr w:type="spellStart"/>
      <w:r w:rsidRPr="006D4E63">
        <w:rPr>
          <w:lang w:val="en-US"/>
        </w:rPr>
        <w:t>fecapentaenes</w:t>
      </w:r>
      <w:proofErr w:type="spellEnd"/>
      <w:r w:rsidRPr="006D4E63">
        <w:rPr>
          <w:lang w:val="en-US"/>
        </w:rPr>
        <w:t>, potent mutagens from human feces.</w:t>
      </w:r>
      <w:proofErr w:type="gramEnd"/>
      <w:r w:rsidRPr="006D4E63">
        <w:rPr>
          <w:lang w:val="en-US"/>
        </w:rPr>
        <w:t xml:space="preserve"> Chem. Res. Toxicol.1990, 3: 391-400.</w:t>
      </w:r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proofErr w:type="gramStart"/>
      <w:r w:rsidRPr="006D4E63">
        <w:rPr>
          <w:lang w:val="en-US"/>
        </w:rPr>
        <w:t>11.</w:t>
      </w:r>
      <w:r w:rsidRPr="00A277D1">
        <w:rPr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6D4E63">
            <w:rPr>
              <w:lang w:val="en-US"/>
            </w:rPr>
            <w:t>Kuhnlein</w:t>
          </w:r>
        </w:smartTag>
        <w:proofErr w:type="spellEnd"/>
        <w:r w:rsidRPr="006D4E63">
          <w:rPr>
            <w:lang w:val="en-US"/>
          </w:rPr>
          <w:t xml:space="preserve"> </w:t>
        </w:r>
        <w:smartTag w:uri="urn:schemas-microsoft-com:office:smarttags" w:element="PlaceType">
          <w:r w:rsidRPr="006D4E63">
            <w:rPr>
              <w:u w:val="single"/>
              <w:lang w:val="en-US"/>
            </w:rPr>
            <w:t>U</w:t>
          </w:r>
          <w:r w:rsidRPr="006D4E63">
            <w:rPr>
              <w:lang w:val="en-US"/>
            </w:rPr>
            <w:t>.</w:t>
          </w:r>
        </w:smartTag>
      </w:smartTag>
      <w:r w:rsidRPr="006D4E63">
        <w:rPr>
          <w:lang w:val="en-US"/>
        </w:rPr>
        <w:t xml:space="preserve">, Bergstrom D., </w:t>
      </w:r>
      <w:proofErr w:type="spellStart"/>
      <w:r w:rsidRPr="006D4E63">
        <w:rPr>
          <w:lang w:val="en-US"/>
        </w:rPr>
        <w:t>Kuhnlein</w:t>
      </w:r>
      <w:proofErr w:type="spellEnd"/>
      <w:r w:rsidRPr="006D4E63">
        <w:rPr>
          <w:lang w:val="en-US"/>
        </w:rPr>
        <w:t xml:space="preserve"> H. Mutagens in feces from vegetarians and non vegetarians.</w:t>
      </w:r>
      <w:proofErr w:type="gramEnd"/>
      <w:r w:rsidRPr="006D4E63">
        <w:rPr>
          <w:lang w:val="en-US"/>
        </w:rPr>
        <w:t xml:space="preserve"> </w:t>
      </w:r>
      <w:proofErr w:type="spellStart"/>
      <w:proofErr w:type="gramStart"/>
      <w:r w:rsidRPr="006D4E63">
        <w:rPr>
          <w:lang w:val="en-US"/>
        </w:rPr>
        <w:t>Mut</w:t>
      </w:r>
      <w:proofErr w:type="spellEnd"/>
      <w:r w:rsidRPr="006D4E63">
        <w:rPr>
          <w:lang w:val="en-US"/>
        </w:rPr>
        <w:t>.</w:t>
      </w:r>
      <w:proofErr w:type="gramEnd"/>
      <w:r w:rsidRPr="006D4E63">
        <w:rPr>
          <w:lang w:val="en-US"/>
        </w:rPr>
        <w:t xml:space="preserve"> Res. 1981, 85(1):1-</w:t>
      </w:r>
      <w:smartTag w:uri="urn:schemas-microsoft-com:office:smarttags" w:element="PersonName">
        <w:r w:rsidRPr="006D4E63">
          <w:rPr>
            <w:lang w:val="en-US"/>
          </w:rPr>
          <w:t>12</w:t>
        </w:r>
      </w:smartTag>
      <w:r w:rsidRPr="006D4E63">
        <w:rPr>
          <w:lang w:val="en-US"/>
        </w:rPr>
        <w:t>.</w:t>
      </w:r>
    </w:p>
    <w:p w:rsidR="002B5953" w:rsidRPr="00A277D1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rPr>
          <w:lang w:val="en-US"/>
        </w:rPr>
        <w:t>12</w:t>
      </w:r>
      <w:proofErr w:type="gramStart"/>
      <w:r w:rsidRPr="006D4E63">
        <w:rPr>
          <w:lang w:val="en-US"/>
        </w:rPr>
        <w:t>.Moore</w:t>
      </w:r>
      <w:proofErr w:type="gramEnd"/>
      <w:r w:rsidRPr="006D4E63">
        <w:rPr>
          <w:lang w:val="en-US"/>
        </w:rPr>
        <w:t xml:space="preserve"> W.E., Moore L.H. Intestinal floras of populations that have a high risk of colon cancer. Appl. Environ. Microb.1995, 9</w:t>
      </w:r>
      <w:r w:rsidRPr="00A277D1">
        <w:rPr>
          <w:lang w:val="en-US"/>
        </w:rPr>
        <w:t>(61):3202-3207.</w:t>
      </w:r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rPr>
          <w:lang w:val="en-US"/>
        </w:rPr>
        <w:t>13.</w:t>
      </w:r>
      <w:r w:rsidRPr="00A277D1">
        <w:rPr>
          <w:lang w:val="en-US"/>
        </w:rPr>
        <w:t xml:space="preserve"> </w:t>
      </w:r>
      <w:r w:rsidRPr="006D4E63">
        <w:rPr>
          <w:lang w:val="en-US"/>
        </w:rPr>
        <w:t xml:space="preserve">Mower R.F., </w:t>
      </w:r>
      <w:proofErr w:type="spellStart"/>
      <w:r w:rsidRPr="006D4E63">
        <w:rPr>
          <w:lang w:val="en-US"/>
        </w:rPr>
        <w:t>Ichinotsubo</w:t>
      </w:r>
      <w:proofErr w:type="spellEnd"/>
      <w:r w:rsidRPr="006D4E63">
        <w:rPr>
          <w:lang w:val="en-US"/>
        </w:rPr>
        <w:t xml:space="preserve"> D., Wang L.W. et al. Fecal mutagens in two Japanese </w:t>
      </w:r>
      <w:proofErr w:type="gramStart"/>
      <w:r w:rsidRPr="006D4E63">
        <w:rPr>
          <w:lang w:val="en-US"/>
        </w:rPr>
        <w:t>population</w:t>
      </w:r>
      <w:proofErr w:type="gramEnd"/>
      <w:r w:rsidRPr="006D4E63">
        <w:rPr>
          <w:lang w:val="en-US"/>
        </w:rPr>
        <w:t xml:space="preserve"> with different colon canc</w:t>
      </w:r>
      <w:r>
        <w:rPr>
          <w:lang w:val="en-US"/>
        </w:rPr>
        <w:t>er risk. Cancer Res.1982, 42(3)</w:t>
      </w:r>
      <w:r w:rsidRPr="006D4E63">
        <w:rPr>
          <w:lang w:val="en-US"/>
        </w:rPr>
        <w:t>: 1164-1169.</w:t>
      </w:r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rPr>
          <w:lang w:val="en-US"/>
        </w:rPr>
        <w:t>14.</w:t>
      </w:r>
      <w:r w:rsidRPr="00A277D1">
        <w:rPr>
          <w:lang w:val="en-US"/>
        </w:rPr>
        <w:t xml:space="preserve"> </w:t>
      </w:r>
      <w:r w:rsidRPr="006D4E63">
        <w:rPr>
          <w:lang w:val="en-US"/>
        </w:rPr>
        <w:t xml:space="preserve">Reddy B.S. Possible mechanisms by which pro- and </w:t>
      </w:r>
      <w:proofErr w:type="spellStart"/>
      <w:r w:rsidRPr="006D4E63">
        <w:rPr>
          <w:lang w:val="en-US"/>
        </w:rPr>
        <w:t>prebiotics</w:t>
      </w:r>
      <w:proofErr w:type="spellEnd"/>
      <w:r w:rsidRPr="006D4E63">
        <w:rPr>
          <w:lang w:val="en-US"/>
        </w:rPr>
        <w:t xml:space="preserve"> influence colon carcinogenesis and tumors. J. </w:t>
      </w:r>
      <w:proofErr w:type="spellStart"/>
      <w:r w:rsidRPr="006D4E63">
        <w:rPr>
          <w:lang w:val="en-US"/>
        </w:rPr>
        <w:t>Nutr</w:t>
      </w:r>
      <w:proofErr w:type="spellEnd"/>
      <w:r w:rsidRPr="006D4E63">
        <w:rPr>
          <w:lang w:val="en-US"/>
        </w:rPr>
        <w:t xml:space="preserve">. </w:t>
      </w:r>
      <w:proofErr w:type="gramStart"/>
      <w:r w:rsidRPr="006D4E63">
        <w:rPr>
          <w:lang w:val="en-US"/>
        </w:rPr>
        <w:t>(Suppl.).</w:t>
      </w:r>
      <w:proofErr w:type="gramEnd"/>
      <w:r w:rsidRPr="006D4E63">
        <w:rPr>
          <w:lang w:val="en-US"/>
        </w:rPr>
        <w:t xml:space="preserve"> </w:t>
      </w:r>
      <w:proofErr w:type="gramStart"/>
      <w:r w:rsidRPr="006D4E63">
        <w:rPr>
          <w:lang w:val="en-US"/>
        </w:rPr>
        <w:t>1999, 129: 1478- 1482.</w:t>
      </w:r>
      <w:proofErr w:type="gramEnd"/>
    </w:p>
    <w:p w:rsidR="002B5953" w:rsidRPr="006D4E63" w:rsidRDefault="002B5953" w:rsidP="002B5953">
      <w:pPr>
        <w:jc w:val="both"/>
        <w:rPr>
          <w:lang w:val="en-US"/>
        </w:rPr>
      </w:pPr>
      <w:r w:rsidRPr="006D4E63">
        <w:rPr>
          <w:lang w:val="en-US"/>
        </w:rPr>
        <w:t>15.</w:t>
      </w:r>
      <w:r w:rsidRPr="00A277D1">
        <w:rPr>
          <w:lang w:val="en-US"/>
        </w:rPr>
        <w:t xml:space="preserve"> </w:t>
      </w:r>
      <w:proofErr w:type="spellStart"/>
      <w:r w:rsidRPr="006D4E63">
        <w:rPr>
          <w:lang w:val="en-US"/>
        </w:rPr>
        <w:t>Sigimura</w:t>
      </w:r>
      <w:proofErr w:type="spellEnd"/>
      <w:r w:rsidRPr="006D4E63">
        <w:rPr>
          <w:lang w:val="en-US"/>
        </w:rPr>
        <w:t xml:space="preserve"> T. Food ad source of complex mixtures and carcinogens. </w:t>
      </w:r>
      <w:proofErr w:type="gramStart"/>
      <w:r w:rsidRPr="006D4E63">
        <w:rPr>
          <w:lang w:val="en-US"/>
        </w:rPr>
        <w:t>WHO.</w:t>
      </w:r>
      <w:proofErr w:type="gramEnd"/>
      <w:r w:rsidRPr="006D4E63">
        <w:rPr>
          <w:lang w:val="en-US"/>
        </w:rPr>
        <w:t xml:space="preserve"> Int. Agency Res. Cancer.</w:t>
      </w:r>
      <w:r>
        <w:t xml:space="preserve"> </w:t>
      </w:r>
      <w:r w:rsidRPr="006D4E63">
        <w:rPr>
          <w:lang w:val="en-US"/>
        </w:rPr>
        <w:t>(</w:t>
      </w:r>
      <w:smartTag w:uri="urn:schemas-microsoft-com:office:smarttags" w:element="place">
        <w:r w:rsidRPr="006D4E63">
          <w:rPr>
            <w:lang w:val="en-US"/>
          </w:rPr>
          <w:t>Lyon</w:t>
        </w:r>
      </w:smartTag>
      <w:r w:rsidRPr="006D4E63">
        <w:rPr>
          <w:lang w:val="en-US"/>
        </w:rPr>
        <w:t xml:space="preserve">). </w:t>
      </w:r>
      <w:proofErr w:type="gramStart"/>
      <w:r w:rsidRPr="006D4E63">
        <w:rPr>
          <w:lang w:val="en-US"/>
        </w:rPr>
        <w:t>1990, P.399-407.</w:t>
      </w:r>
      <w:proofErr w:type="gramEnd"/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rPr>
          <w:lang w:val="en-US"/>
        </w:rPr>
        <w:lastRenderedPageBreak/>
        <w:t>16</w:t>
      </w:r>
      <w:proofErr w:type="gramStart"/>
      <w:r w:rsidRPr="006D4E63">
        <w:rPr>
          <w:lang w:val="en-US"/>
        </w:rPr>
        <w:t>.Tamura</w:t>
      </w:r>
      <w:proofErr w:type="gramEnd"/>
      <w:r w:rsidRPr="006D4E63">
        <w:rPr>
          <w:lang w:val="en-US"/>
        </w:rPr>
        <w:t xml:space="preserve"> G., Gold C., Ferro-</w:t>
      </w:r>
      <w:proofErr w:type="spellStart"/>
      <w:r w:rsidRPr="006D4E63">
        <w:rPr>
          <w:lang w:val="en-US"/>
        </w:rPr>
        <w:t>Luzzi</w:t>
      </w:r>
      <w:proofErr w:type="spellEnd"/>
      <w:r w:rsidRPr="006D4E63">
        <w:rPr>
          <w:lang w:val="en-US"/>
        </w:rPr>
        <w:t xml:space="preserve"> A., Ames B.N. </w:t>
      </w:r>
      <w:proofErr w:type="spellStart"/>
      <w:r w:rsidRPr="006D4E63">
        <w:rPr>
          <w:lang w:val="en-US"/>
        </w:rPr>
        <w:t>Fecalase</w:t>
      </w:r>
      <w:proofErr w:type="spellEnd"/>
      <w:r w:rsidRPr="006D4E63">
        <w:rPr>
          <w:lang w:val="en-US"/>
        </w:rPr>
        <w:t>: A model for activation of dietary glycosides to mutagens by intestinal flora. Proc. Natl. Acad. Sci. USA. 1980, 77(8): 4961-4965.</w:t>
      </w:r>
    </w:p>
    <w:p w:rsidR="002B5953" w:rsidRPr="006D4E63" w:rsidRDefault="002B5953" w:rsidP="002B5953">
      <w:pPr>
        <w:pStyle w:val="a3"/>
        <w:spacing w:after="0"/>
        <w:jc w:val="both"/>
        <w:rPr>
          <w:lang w:val="en-US"/>
        </w:rPr>
      </w:pPr>
      <w:r w:rsidRPr="006D4E63">
        <w:rPr>
          <w:lang w:val="en-US"/>
        </w:rPr>
        <w:t>17.</w:t>
      </w:r>
      <w:r w:rsidRPr="00A277D1">
        <w:rPr>
          <w:lang w:val="en-US"/>
        </w:rPr>
        <w:t xml:space="preserve"> </w:t>
      </w:r>
      <w:proofErr w:type="spellStart"/>
      <w:smartTag w:uri="urn:schemas-microsoft-com:office:smarttags" w:element="place">
        <w:smartTag w:uri="urn:schemas:contacts" w:element="Sn">
          <w:r w:rsidRPr="006D4E63">
            <w:rPr>
              <w:lang w:val="en-US"/>
            </w:rPr>
            <w:t>Wollowski</w:t>
          </w:r>
        </w:smartTag>
        <w:proofErr w:type="spellEnd"/>
        <w:r w:rsidRPr="006D4E63">
          <w:rPr>
            <w:lang w:val="en-US"/>
          </w:rPr>
          <w:t xml:space="preserve"> </w:t>
        </w:r>
        <w:smartTag w:uri="urn:schemas:contacts" w:element="Sn">
          <w:r w:rsidRPr="006D4E63">
            <w:rPr>
              <w:lang w:val="en-US"/>
            </w:rPr>
            <w:t>I.</w:t>
          </w:r>
        </w:smartTag>
      </w:smartTag>
      <w:r w:rsidRPr="006D4E63">
        <w:rPr>
          <w:lang w:val="en-US"/>
        </w:rPr>
        <w:t xml:space="preserve">, </w:t>
      </w:r>
      <w:proofErr w:type="spellStart"/>
      <w:r w:rsidRPr="006D4E63">
        <w:rPr>
          <w:lang w:val="en-US"/>
        </w:rPr>
        <w:t>Rechkemmer</w:t>
      </w:r>
      <w:proofErr w:type="spellEnd"/>
      <w:r w:rsidRPr="006D4E63">
        <w:rPr>
          <w:lang w:val="en-US"/>
        </w:rPr>
        <w:t xml:space="preserve"> G., Pool-</w:t>
      </w:r>
      <w:proofErr w:type="spellStart"/>
      <w:r w:rsidRPr="006D4E63">
        <w:rPr>
          <w:lang w:val="en-US"/>
        </w:rPr>
        <w:t>Zobel</w:t>
      </w:r>
      <w:proofErr w:type="spellEnd"/>
      <w:r w:rsidRPr="006D4E63">
        <w:rPr>
          <w:lang w:val="en-US"/>
        </w:rPr>
        <w:t xml:space="preserve"> B.L. Protective role of </w:t>
      </w:r>
      <w:proofErr w:type="spellStart"/>
      <w:r w:rsidRPr="006D4E63">
        <w:rPr>
          <w:lang w:val="en-US"/>
        </w:rPr>
        <w:t>probiotics</w:t>
      </w:r>
      <w:proofErr w:type="spellEnd"/>
      <w:r w:rsidRPr="006D4E63">
        <w:rPr>
          <w:lang w:val="en-US"/>
        </w:rPr>
        <w:t xml:space="preserve"> and </w:t>
      </w:r>
      <w:proofErr w:type="spellStart"/>
      <w:r w:rsidRPr="006D4E63">
        <w:rPr>
          <w:lang w:val="en-US"/>
        </w:rPr>
        <w:t>prebiotics</w:t>
      </w:r>
      <w:proofErr w:type="spellEnd"/>
      <w:r w:rsidRPr="006D4E63">
        <w:rPr>
          <w:lang w:val="en-US"/>
        </w:rPr>
        <w:t xml:space="preserve"> in colon canc</w:t>
      </w:r>
      <w:r>
        <w:rPr>
          <w:lang w:val="en-US"/>
        </w:rPr>
        <w:t xml:space="preserve">er. Am. J.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Nutr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2001, 73</w:t>
      </w:r>
      <w:r w:rsidRPr="006D4E63">
        <w:rPr>
          <w:lang w:val="en-US"/>
        </w:rPr>
        <w:t>: 451-455.</w:t>
      </w:r>
      <w:proofErr w:type="gramEnd"/>
    </w:p>
    <w:p w:rsidR="002B5953" w:rsidRDefault="002B5953" w:rsidP="002B5953">
      <w:pPr>
        <w:pStyle w:val="2"/>
        <w:ind w:left="0" w:firstLine="0"/>
        <w:jc w:val="both"/>
        <w:rPr>
          <w:szCs w:val="24"/>
        </w:rPr>
      </w:pPr>
      <w:r w:rsidRPr="006D4E63">
        <w:rPr>
          <w:bCs/>
          <w:szCs w:val="24"/>
          <w:lang w:val="en-US"/>
        </w:rPr>
        <w:t xml:space="preserve">18. </w:t>
      </w:r>
      <w:r w:rsidRPr="006D4E63">
        <w:rPr>
          <w:szCs w:val="24"/>
          <w:lang w:val="en-US"/>
        </w:rPr>
        <w:t xml:space="preserve">Zhang X.B., </w:t>
      </w:r>
      <w:proofErr w:type="spellStart"/>
      <w:r w:rsidRPr="006D4E63">
        <w:rPr>
          <w:szCs w:val="24"/>
          <w:lang w:val="en-US"/>
        </w:rPr>
        <w:t>Ohta</w:t>
      </w:r>
      <w:proofErr w:type="spellEnd"/>
      <w:r w:rsidRPr="006D4E63">
        <w:rPr>
          <w:szCs w:val="24"/>
          <w:lang w:val="en-US"/>
        </w:rPr>
        <w:t xml:space="preserve"> Y. </w:t>
      </w:r>
      <w:proofErr w:type="spellStart"/>
      <w:r w:rsidRPr="006D4E63">
        <w:rPr>
          <w:szCs w:val="24"/>
          <w:lang w:val="en-US"/>
        </w:rPr>
        <w:t>Antimutagenicity</w:t>
      </w:r>
      <w:proofErr w:type="spellEnd"/>
      <w:r w:rsidRPr="006D4E63">
        <w:rPr>
          <w:szCs w:val="24"/>
          <w:lang w:val="en-US"/>
        </w:rPr>
        <w:t xml:space="preserve"> and binding of lactic acid bacteria from a Chinese cheese to mutagenic </w:t>
      </w:r>
      <w:proofErr w:type="spellStart"/>
      <w:r w:rsidRPr="006D4E63">
        <w:rPr>
          <w:szCs w:val="24"/>
          <w:lang w:val="en-US"/>
        </w:rPr>
        <w:t>pyrolizates</w:t>
      </w:r>
      <w:proofErr w:type="spellEnd"/>
      <w:r w:rsidRPr="006D4E63">
        <w:rPr>
          <w:szCs w:val="24"/>
          <w:lang w:val="en-US"/>
        </w:rPr>
        <w:t>. J</w:t>
      </w:r>
      <w:r w:rsidRPr="002B5953">
        <w:rPr>
          <w:szCs w:val="24"/>
        </w:rPr>
        <w:t xml:space="preserve">. </w:t>
      </w:r>
      <w:r w:rsidRPr="006D4E63">
        <w:rPr>
          <w:szCs w:val="24"/>
          <w:lang w:val="en-US"/>
        </w:rPr>
        <w:t>Dairy</w:t>
      </w:r>
      <w:r w:rsidRPr="002B5953">
        <w:rPr>
          <w:szCs w:val="24"/>
        </w:rPr>
        <w:t xml:space="preserve"> </w:t>
      </w:r>
      <w:proofErr w:type="spellStart"/>
      <w:r w:rsidRPr="006D4E63">
        <w:rPr>
          <w:szCs w:val="24"/>
          <w:lang w:val="en-US"/>
        </w:rPr>
        <w:t>Scince</w:t>
      </w:r>
      <w:proofErr w:type="spellEnd"/>
      <w:r w:rsidRPr="002B5953">
        <w:rPr>
          <w:szCs w:val="24"/>
        </w:rPr>
        <w:t>, 1990, 73 (10):2702-2710.</w:t>
      </w:r>
    </w:p>
    <w:p w:rsidR="002B5953" w:rsidRDefault="002B5953" w:rsidP="002B5953">
      <w:pPr>
        <w:pStyle w:val="2"/>
        <w:spacing w:line="360" w:lineRule="auto"/>
        <w:ind w:left="0" w:firstLine="0"/>
        <w:jc w:val="center"/>
        <w:rPr>
          <w:b/>
          <w:szCs w:val="24"/>
        </w:rPr>
      </w:pPr>
    </w:p>
    <w:p w:rsidR="002B5953" w:rsidRDefault="002B5953" w:rsidP="002B5953">
      <w:pPr>
        <w:pStyle w:val="2"/>
        <w:spacing w:line="360" w:lineRule="auto"/>
        <w:ind w:left="0" w:firstLine="0"/>
        <w:jc w:val="center"/>
        <w:rPr>
          <w:b/>
          <w:szCs w:val="24"/>
        </w:rPr>
      </w:pPr>
      <w:r w:rsidRPr="004A3C6E">
        <w:rPr>
          <w:b/>
          <w:szCs w:val="24"/>
        </w:rPr>
        <w:t>Аннотация</w:t>
      </w:r>
    </w:p>
    <w:p w:rsidR="002B5953" w:rsidRPr="006D4E63" w:rsidRDefault="002B5953" w:rsidP="002B5953">
      <w:pPr>
        <w:ind w:firstLine="708"/>
        <w:jc w:val="both"/>
        <w:rPr>
          <w:lang w:bidi="he-IL"/>
        </w:rPr>
      </w:pPr>
      <w:r>
        <w:t>С помощью</w:t>
      </w:r>
      <w:r w:rsidRPr="006D4E63">
        <w:t xml:space="preserve"> бактериальной тест-систем</w:t>
      </w:r>
      <w:r>
        <w:t>ы</w:t>
      </w:r>
      <w:r w:rsidRPr="006D4E63">
        <w:t xml:space="preserve"> </w:t>
      </w:r>
      <w:proofErr w:type="spellStart"/>
      <w:r>
        <w:t>Эймса</w:t>
      </w:r>
      <w:proofErr w:type="spellEnd"/>
      <w:r>
        <w:t xml:space="preserve"> </w:t>
      </w:r>
      <w:r w:rsidRPr="006D4E63">
        <w:t xml:space="preserve">на штаммах </w:t>
      </w:r>
      <w:r w:rsidRPr="002E085F">
        <w:rPr>
          <w:i/>
          <w:lang w:val="en-US"/>
        </w:rPr>
        <w:t>Salmonella</w:t>
      </w:r>
      <w:r w:rsidRPr="002E085F">
        <w:rPr>
          <w:i/>
        </w:rPr>
        <w:t xml:space="preserve"> </w:t>
      </w:r>
      <w:proofErr w:type="spellStart"/>
      <w:r w:rsidRPr="002E085F">
        <w:rPr>
          <w:i/>
          <w:lang w:val="en-US"/>
        </w:rPr>
        <w:t>typhimurim</w:t>
      </w:r>
      <w:proofErr w:type="spellEnd"/>
      <w:r w:rsidRPr="006D4E63">
        <w:t xml:space="preserve"> </w:t>
      </w:r>
      <w:r w:rsidRPr="006D4E63">
        <w:rPr>
          <w:lang w:val="en-US"/>
        </w:rPr>
        <w:t>TA</w:t>
      </w:r>
      <w:r w:rsidRPr="006D4E63">
        <w:t xml:space="preserve"> 100 и Т</w:t>
      </w:r>
      <w:proofErr w:type="gramStart"/>
      <w:r w:rsidRPr="006D4E63">
        <w:rPr>
          <w:lang w:val="en-US"/>
        </w:rPr>
        <w:t>A</w:t>
      </w:r>
      <w:proofErr w:type="gramEnd"/>
      <w:r w:rsidRPr="006D4E63">
        <w:t xml:space="preserve"> 98 </w:t>
      </w:r>
      <w:r>
        <w:t>и</w:t>
      </w:r>
      <w:r w:rsidRPr="006D4E63">
        <w:rPr>
          <w:lang w:bidi="he-IL"/>
        </w:rPr>
        <w:t>сследована мутагенная активность фекальных экстрактов, полученных от 5</w:t>
      </w:r>
      <w:r w:rsidRPr="005D5D99">
        <w:rPr>
          <w:lang w:bidi="he-IL"/>
        </w:rPr>
        <w:t>2</w:t>
      </w:r>
      <w:r w:rsidRPr="006D4E63">
        <w:rPr>
          <w:lang w:bidi="he-IL"/>
        </w:rPr>
        <w:t xml:space="preserve"> человек, у которых предварительно </w:t>
      </w:r>
      <w:r>
        <w:rPr>
          <w:lang w:bidi="he-IL"/>
        </w:rPr>
        <w:t xml:space="preserve">бактериологическим методом </w:t>
      </w:r>
      <w:r w:rsidRPr="006D4E63">
        <w:rPr>
          <w:lang w:bidi="he-IL"/>
        </w:rPr>
        <w:t xml:space="preserve">был проанализирован качественный и количественный состав кишечного </w:t>
      </w:r>
      <w:proofErr w:type="spellStart"/>
      <w:r w:rsidRPr="006D4E63">
        <w:rPr>
          <w:lang w:bidi="he-IL"/>
        </w:rPr>
        <w:t>микробиоценоза</w:t>
      </w:r>
      <w:proofErr w:type="spellEnd"/>
      <w:r w:rsidRPr="006D4E63">
        <w:rPr>
          <w:lang w:bidi="he-IL"/>
        </w:rPr>
        <w:t>. Анализ микробных карт позволил разделить обследуемый контингент на две группы, первую, состоящую из 1</w:t>
      </w:r>
      <w:r w:rsidRPr="005D5D99">
        <w:rPr>
          <w:lang w:bidi="he-IL"/>
        </w:rPr>
        <w:t>2</w:t>
      </w:r>
      <w:r w:rsidRPr="006D4E63">
        <w:rPr>
          <w:lang w:bidi="he-IL"/>
        </w:rPr>
        <w:t xml:space="preserve"> человек, без выраженных отклонений от принятого стандарта содержания основных представителей резидентной микрофлоры, и вторую из 40 человек с выявленным снижением на 1-3 порядка популяционного уровня </w:t>
      </w:r>
      <w:proofErr w:type="spellStart"/>
      <w:r w:rsidRPr="006D4E63">
        <w:rPr>
          <w:lang w:bidi="he-IL"/>
        </w:rPr>
        <w:t>бифидобактерий</w:t>
      </w:r>
      <w:proofErr w:type="spellEnd"/>
      <w:r w:rsidRPr="006D4E63">
        <w:rPr>
          <w:lang w:bidi="he-IL"/>
        </w:rPr>
        <w:t xml:space="preserve">, </w:t>
      </w:r>
      <w:proofErr w:type="spellStart"/>
      <w:r w:rsidRPr="006D4E63">
        <w:rPr>
          <w:lang w:bidi="he-IL"/>
        </w:rPr>
        <w:t>лактобацилл</w:t>
      </w:r>
      <w:proofErr w:type="spellEnd"/>
      <w:r w:rsidRPr="006D4E63">
        <w:rPr>
          <w:lang w:bidi="he-IL"/>
        </w:rPr>
        <w:t xml:space="preserve"> и </w:t>
      </w:r>
      <w:r>
        <w:rPr>
          <w:lang w:bidi="he-IL"/>
        </w:rPr>
        <w:t>кишечной палочки</w:t>
      </w:r>
      <w:r w:rsidRPr="006D4E63">
        <w:rPr>
          <w:lang w:bidi="he-IL"/>
        </w:rPr>
        <w:t>.</w:t>
      </w:r>
    </w:p>
    <w:p w:rsidR="002B5953" w:rsidRPr="006D4E63" w:rsidRDefault="002B5953" w:rsidP="002B5953">
      <w:pPr>
        <w:pStyle w:val="2"/>
        <w:ind w:left="0" w:firstLine="0"/>
        <w:jc w:val="both"/>
        <w:rPr>
          <w:b/>
          <w:szCs w:val="24"/>
        </w:rPr>
      </w:pPr>
      <w:r w:rsidRPr="006D4E63">
        <w:rPr>
          <w:iCs/>
          <w:szCs w:val="24"/>
        </w:rPr>
        <w:t xml:space="preserve">Показано, что снижение на 2-3 раза логарифма стандартного количества </w:t>
      </w:r>
      <w:proofErr w:type="spellStart"/>
      <w:r w:rsidRPr="006D4E63">
        <w:rPr>
          <w:iCs/>
          <w:szCs w:val="24"/>
        </w:rPr>
        <w:t>бифидобактерий</w:t>
      </w:r>
      <w:proofErr w:type="spellEnd"/>
      <w:r w:rsidRPr="006D4E63">
        <w:rPr>
          <w:iCs/>
          <w:szCs w:val="24"/>
        </w:rPr>
        <w:t xml:space="preserve"> и </w:t>
      </w:r>
      <w:proofErr w:type="spellStart"/>
      <w:r w:rsidRPr="006D4E63">
        <w:rPr>
          <w:iCs/>
          <w:szCs w:val="24"/>
        </w:rPr>
        <w:t>лактобацилл</w:t>
      </w:r>
      <w:proofErr w:type="spellEnd"/>
      <w:r w:rsidRPr="006D4E63">
        <w:rPr>
          <w:iCs/>
          <w:szCs w:val="24"/>
        </w:rPr>
        <w:t xml:space="preserve"> в кишечнике приводит к повышению мутагенного фона экстрактов фекалий. </w:t>
      </w:r>
      <w:r w:rsidRPr="006D4E63">
        <w:rPr>
          <w:iCs/>
          <w:szCs w:val="24"/>
          <w:lang w:val="ru-MO"/>
        </w:rPr>
        <w:t xml:space="preserve">Связи между качественным и количественным составом </w:t>
      </w:r>
      <w:proofErr w:type="spellStart"/>
      <w:r w:rsidRPr="006D4E63">
        <w:rPr>
          <w:iCs/>
          <w:szCs w:val="24"/>
          <w:lang w:val="ru-MO"/>
        </w:rPr>
        <w:t>эшерихиозной</w:t>
      </w:r>
      <w:proofErr w:type="spellEnd"/>
      <w:r w:rsidRPr="006D4E63">
        <w:rPr>
          <w:iCs/>
          <w:szCs w:val="24"/>
          <w:lang w:val="ru-MO"/>
        </w:rPr>
        <w:t xml:space="preserve"> микрофлоры и мутагенной активностью экстрактов фекалий не установлено.</w:t>
      </w:r>
      <w:r w:rsidRPr="005D5D99">
        <w:rPr>
          <w:iCs/>
          <w:szCs w:val="24"/>
          <w:lang w:val="ru-MO"/>
        </w:rPr>
        <w:t xml:space="preserve"> </w:t>
      </w:r>
      <w:r>
        <w:rPr>
          <w:iCs/>
          <w:szCs w:val="24"/>
          <w:lang w:val="ru-MO"/>
        </w:rPr>
        <w:t>Ф</w:t>
      </w:r>
      <w:r w:rsidRPr="006D4E63">
        <w:rPr>
          <w:iCs/>
          <w:szCs w:val="24"/>
          <w:lang w:val="ru-MO"/>
        </w:rPr>
        <w:t>ерментативны</w:t>
      </w:r>
      <w:r>
        <w:rPr>
          <w:iCs/>
          <w:szCs w:val="24"/>
          <w:lang w:val="ru-MO"/>
        </w:rPr>
        <w:t>е</w:t>
      </w:r>
      <w:r w:rsidRPr="006D4E63">
        <w:rPr>
          <w:iCs/>
          <w:szCs w:val="24"/>
          <w:lang w:val="ru-MO"/>
        </w:rPr>
        <w:t xml:space="preserve"> экстракт</w:t>
      </w:r>
      <w:r>
        <w:rPr>
          <w:iCs/>
          <w:szCs w:val="24"/>
          <w:lang w:val="ru-MO"/>
        </w:rPr>
        <w:t>ы</w:t>
      </w:r>
      <w:r w:rsidRPr="006D4E63">
        <w:rPr>
          <w:iCs/>
          <w:szCs w:val="24"/>
          <w:lang w:val="ru-MO"/>
        </w:rPr>
        <w:t xml:space="preserve"> </w:t>
      </w:r>
      <w:proofErr w:type="spellStart"/>
      <w:r w:rsidRPr="006D4E63">
        <w:rPr>
          <w:iCs/>
          <w:szCs w:val="24"/>
          <w:lang w:val="ru-MO"/>
        </w:rPr>
        <w:t>фекалазы</w:t>
      </w:r>
      <w:proofErr w:type="spellEnd"/>
      <w:r w:rsidRPr="006D4E63">
        <w:rPr>
          <w:iCs/>
          <w:szCs w:val="24"/>
          <w:lang w:val="ru-MO"/>
        </w:rPr>
        <w:t>, полученн</w:t>
      </w:r>
      <w:r>
        <w:rPr>
          <w:iCs/>
          <w:szCs w:val="24"/>
          <w:lang w:val="ru-MO"/>
        </w:rPr>
        <w:t>ые</w:t>
      </w:r>
      <w:r w:rsidRPr="006D4E63">
        <w:rPr>
          <w:iCs/>
          <w:szCs w:val="24"/>
          <w:lang w:val="ru-MO"/>
        </w:rPr>
        <w:t xml:space="preserve"> из фекалий с высоким содержанием </w:t>
      </w:r>
      <w:proofErr w:type="spellStart"/>
      <w:r w:rsidRPr="006D4E63">
        <w:rPr>
          <w:iCs/>
          <w:szCs w:val="24"/>
          <w:lang w:val="ru-MO"/>
        </w:rPr>
        <w:t>бифидобактерий</w:t>
      </w:r>
      <w:proofErr w:type="spellEnd"/>
      <w:r w:rsidRPr="006D4E63">
        <w:rPr>
          <w:iCs/>
          <w:szCs w:val="24"/>
          <w:lang w:val="ru-MO"/>
        </w:rPr>
        <w:t xml:space="preserve"> и </w:t>
      </w:r>
      <w:proofErr w:type="spellStart"/>
      <w:r w:rsidRPr="006D4E63">
        <w:rPr>
          <w:iCs/>
          <w:szCs w:val="24"/>
          <w:lang w:val="ru-MO"/>
        </w:rPr>
        <w:t>лактобацилл</w:t>
      </w:r>
      <w:r>
        <w:rPr>
          <w:iCs/>
          <w:szCs w:val="24"/>
          <w:lang w:val="ru-MO"/>
        </w:rPr>
        <w:t>п</w:t>
      </w:r>
      <w:proofErr w:type="spellEnd"/>
      <w:r>
        <w:rPr>
          <w:iCs/>
          <w:szCs w:val="24"/>
          <w:lang w:val="ru-MO"/>
        </w:rPr>
        <w:t xml:space="preserve"> значительно</w:t>
      </w:r>
      <w:r w:rsidRPr="006D4E63">
        <w:rPr>
          <w:iCs/>
          <w:szCs w:val="24"/>
          <w:lang w:val="ru-MO"/>
        </w:rPr>
        <w:t xml:space="preserve"> сниж</w:t>
      </w:r>
      <w:r>
        <w:rPr>
          <w:iCs/>
          <w:szCs w:val="24"/>
          <w:lang w:val="ru-MO"/>
        </w:rPr>
        <w:t>али</w:t>
      </w:r>
      <w:r w:rsidRPr="006D4E63">
        <w:rPr>
          <w:iCs/>
          <w:szCs w:val="24"/>
          <w:lang w:val="ru-MO"/>
        </w:rPr>
        <w:t xml:space="preserve"> </w:t>
      </w:r>
      <w:r>
        <w:rPr>
          <w:iCs/>
          <w:szCs w:val="24"/>
          <w:lang w:val="ru-MO"/>
        </w:rPr>
        <w:t xml:space="preserve">выраженный </w:t>
      </w:r>
      <w:r w:rsidRPr="006D4E63">
        <w:rPr>
          <w:iCs/>
          <w:szCs w:val="24"/>
          <w:lang w:val="ru-MO"/>
        </w:rPr>
        <w:t>мутагенн</w:t>
      </w:r>
      <w:r>
        <w:rPr>
          <w:iCs/>
          <w:szCs w:val="24"/>
          <w:lang w:val="ru-MO"/>
        </w:rPr>
        <w:t>ый</w:t>
      </w:r>
      <w:r w:rsidRPr="006D4E63">
        <w:rPr>
          <w:iCs/>
          <w:szCs w:val="24"/>
          <w:lang w:val="ru-MO"/>
        </w:rPr>
        <w:t xml:space="preserve"> эффект </w:t>
      </w:r>
      <w:proofErr w:type="spellStart"/>
      <w:r w:rsidRPr="006D4E63">
        <w:rPr>
          <w:iCs/>
          <w:szCs w:val="24"/>
          <w:lang w:val="ru-MO"/>
        </w:rPr>
        <w:t>нитрозометилмочевины</w:t>
      </w:r>
      <w:proofErr w:type="spellEnd"/>
      <w:r w:rsidRPr="006D4E63">
        <w:rPr>
          <w:iCs/>
          <w:szCs w:val="24"/>
          <w:lang w:val="ru-MO"/>
        </w:rPr>
        <w:t xml:space="preserve"> и </w:t>
      </w:r>
      <w:proofErr w:type="spellStart"/>
      <w:r w:rsidRPr="006D4E63">
        <w:rPr>
          <w:iCs/>
          <w:szCs w:val="24"/>
          <w:lang w:val="ru-MO"/>
        </w:rPr>
        <w:t>нитрозогуанидина</w:t>
      </w:r>
      <w:proofErr w:type="spellEnd"/>
      <w:r>
        <w:rPr>
          <w:iCs/>
          <w:szCs w:val="24"/>
          <w:lang w:val="ru-MO"/>
        </w:rPr>
        <w:t>.</w:t>
      </w:r>
      <w:r w:rsidRPr="006D4E63">
        <w:rPr>
          <w:iCs/>
          <w:szCs w:val="24"/>
          <w:lang w:val="ru-MO"/>
        </w:rPr>
        <w:t xml:space="preserve"> </w:t>
      </w:r>
    </w:p>
    <w:p w:rsidR="002B5953" w:rsidRPr="005D5D99" w:rsidRDefault="002B5953" w:rsidP="002B5953">
      <w:pPr>
        <w:pStyle w:val="2"/>
        <w:spacing w:line="360" w:lineRule="auto"/>
        <w:ind w:left="0" w:firstLine="0"/>
        <w:jc w:val="both"/>
        <w:rPr>
          <w:szCs w:val="24"/>
        </w:rPr>
      </w:pPr>
    </w:p>
    <w:p w:rsidR="002B5953" w:rsidRPr="004A3C6E" w:rsidRDefault="002B5953" w:rsidP="002B5953">
      <w:pPr>
        <w:pStyle w:val="2"/>
        <w:spacing w:line="360" w:lineRule="auto"/>
        <w:ind w:left="0" w:firstLine="0"/>
        <w:jc w:val="center"/>
        <w:rPr>
          <w:b/>
          <w:szCs w:val="24"/>
        </w:rPr>
      </w:pPr>
    </w:p>
    <w:p w:rsidR="009F6791" w:rsidRDefault="009F6791"/>
    <w:sectPr w:rsidR="009F6791" w:rsidSect="00CD4148">
      <w:footerReference w:type="even" r:id="rId5"/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22" w:rsidRDefault="002B5953" w:rsidP="00297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422" w:rsidRDefault="002B5953" w:rsidP="002974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22" w:rsidRDefault="002B5953" w:rsidP="00297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297422" w:rsidRDefault="002B5953" w:rsidP="00297422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953"/>
    <w:rsid w:val="002B5953"/>
    <w:rsid w:val="009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:contacts" w:name="Sn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B5953"/>
    <w:pPr>
      <w:keepNext/>
      <w:ind w:firstLine="708"/>
      <w:jc w:val="both"/>
      <w:outlineLvl w:val="7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B5953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2B5953"/>
    <w:pPr>
      <w:autoSpaceDE w:val="0"/>
      <w:autoSpaceDN w:val="0"/>
      <w:ind w:left="720" w:firstLine="349"/>
    </w:pPr>
    <w:rPr>
      <w:szCs w:val="20"/>
      <w:lang w:eastAsia="kk-KZ"/>
    </w:rPr>
  </w:style>
  <w:style w:type="character" w:customStyle="1" w:styleId="20">
    <w:name w:val="Основной текст с отступом 2 Знак"/>
    <w:basedOn w:val="a0"/>
    <w:link w:val="2"/>
    <w:rsid w:val="002B5953"/>
    <w:rPr>
      <w:rFonts w:ascii="Times New Roman" w:eastAsia="Times New Roman" w:hAnsi="Times New Roman" w:cs="Times New Roman"/>
      <w:sz w:val="24"/>
      <w:szCs w:val="20"/>
      <w:lang w:eastAsia="kk-KZ"/>
    </w:rPr>
  </w:style>
  <w:style w:type="paragraph" w:customStyle="1" w:styleId="BodyText">
    <w:name w:val="Body Text"/>
    <w:basedOn w:val="a"/>
    <w:rsid w:val="002B5953"/>
    <w:rPr>
      <w:sz w:val="28"/>
      <w:szCs w:val="20"/>
      <w:lang w:eastAsia="kk-KZ"/>
    </w:rPr>
  </w:style>
  <w:style w:type="paragraph" w:styleId="a3">
    <w:name w:val="Body Text"/>
    <w:basedOn w:val="a"/>
    <w:link w:val="a4"/>
    <w:rsid w:val="002B5953"/>
    <w:pPr>
      <w:spacing w:after="120"/>
    </w:pPr>
  </w:style>
  <w:style w:type="character" w:customStyle="1" w:styleId="a4">
    <w:name w:val="Основной текст Знак"/>
    <w:basedOn w:val="a0"/>
    <w:link w:val="a3"/>
    <w:rsid w:val="002B5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5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5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176715176715189"/>
          <c:y val="3.2846715328467176E-2"/>
          <c:w val="0.8274428274428276"/>
          <c:h val="0.6751824817518246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50">
                <a:fgClr>
                  <a:srgbClr val="000000"/>
                </a:fgClr>
                <a:bgClr>
                  <a:srgbClr val="FFFF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DnDiag">
                <a:fgClr>
                  <a:srgbClr val="000000"/>
                </a:fgClr>
                <a:bgClr>
                  <a:srgbClr val="FFFF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80">
                <a:fgClr>
                  <a:srgbClr val="000000"/>
                </a:fgClr>
                <a:bgClr>
                  <a:srgbClr val="FFFF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ashVert">
                <a:fgClr>
                  <a:srgbClr val="000000"/>
                </a:fgClr>
                <a:bgClr>
                  <a:srgbClr val="FFFF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3333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C0C0C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5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Лист2!$C$88:$C$94</c:f>
              <c:strCache>
                <c:ptCount val="6"/>
                <c:pt idx="0">
                  <c:v>Спонтанный фон</c:v>
                </c:pt>
                <c:pt idx="1">
                  <c:v>Норма</c:v>
                </c:pt>
                <c:pt idx="2">
                  <c:v>Дефицит ЛБ</c:v>
                </c:pt>
                <c:pt idx="3">
                  <c:v>Дефицит ББ</c:v>
                </c:pt>
                <c:pt idx="4">
                  <c:v>Дефицит ББ и ЛБ</c:v>
                </c:pt>
                <c:pt idx="5">
                  <c:v>Дефицит КП</c:v>
                </c:pt>
              </c:strCache>
            </c:strRef>
          </c:cat>
          <c:val>
            <c:numRef>
              <c:f>Лист2!$D$88:$D$94</c:f>
              <c:numCache>
                <c:formatCode>General</c:formatCode>
                <c:ptCount val="7"/>
                <c:pt idx="0">
                  <c:v>105</c:v>
                </c:pt>
                <c:pt idx="1">
                  <c:v>160</c:v>
                </c:pt>
                <c:pt idx="2">
                  <c:v>505</c:v>
                </c:pt>
                <c:pt idx="3">
                  <c:v>450</c:v>
                </c:pt>
                <c:pt idx="4">
                  <c:v>580</c:v>
                </c:pt>
                <c:pt idx="5">
                  <c:v>250</c:v>
                </c:pt>
              </c:numCache>
            </c:numRef>
          </c:val>
        </c:ser>
        <c:shape val="box"/>
        <c:axId val="206594048"/>
        <c:axId val="206595584"/>
        <c:axId val="0"/>
      </c:bar3DChart>
      <c:catAx>
        <c:axId val="20659404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595584"/>
        <c:crosses val="autoZero"/>
        <c:auto val="1"/>
        <c:lblAlgn val="ctr"/>
        <c:lblOffset val="100"/>
        <c:tickLblSkip val="1"/>
        <c:tickMarkSkip val="1"/>
      </c:catAx>
      <c:valAx>
        <c:axId val="20659558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Среднее число гистидиновых ревертантов / чашку</a:t>
                </a:r>
              </a:p>
            </c:rich>
          </c:tx>
          <c:layout>
            <c:manualLayout>
              <c:xMode val="edge"/>
              <c:yMode val="edge"/>
              <c:x val="9.5634095634095723E-2"/>
              <c:y val="0.10583941605839413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594048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3257</Words>
  <Characters>18570</Characters>
  <Application>Microsoft Office Word</Application>
  <DocSecurity>0</DocSecurity>
  <Lines>154</Lines>
  <Paragraphs>43</Paragraphs>
  <ScaleCrop>false</ScaleCrop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a.zhubanova</dc:creator>
  <cp:keywords/>
  <dc:description/>
  <cp:lastModifiedBy>a.zhubanova</cp:lastModifiedBy>
  <cp:revision>2</cp:revision>
  <dcterms:created xsi:type="dcterms:W3CDTF">2012-06-05T08:25:00Z</dcterms:created>
  <dcterms:modified xsi:type="dcterms:W3CDTF">2012-06-05T08:27:00Z</dcterms:modified>
</cp:coreProperties>
</file>