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74" w:rsidRPr="00482A74" w:rsidRDefault="00482A74" w:rsidP="005B7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Ж.А. НУРШАИХОВА, Г.А. МАШИНБАЕВА</w:t>
      </w:r>
    </w:p>
    <w:p w:rsidR="00482A74" w:rsidRPr="00482A74" w:rsidRDefault="00482A74" w:rsidP="005B7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д.ф.н. профессор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>: zhanara26n@mail.ru1,</w:t>
      </w:r>
    </w:p>
    <w:p w:rsidR="00482A74" w:rsidRPr="00482A74" w:rsidRDefault="00482A74" w:rsidP="005B7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к.ф.н. доцент Казахский национальный университет им. аль-Фараби2, г.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>, Казахстан</w:t>
      </w:r>
    </w:p>
    <w:p w:rsidR="00482A74" w:rsidRDefault="00482A74" w:rsidP="005B7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ЛИНГВИСТИЧЕСКАЯ ВАЛЕНТНОСТЬ</w:t>
      </w:r>
    </w:p>
    <w:p w:rsidR="005B7B77" w:rsidRPr="00482A74" w:rsidRDefault="005B7B77" w:rsidP="005B7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В аннотируемой статье автор раскрывает понятие «валентности в языке», которая характеризуется 1)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по способности слова присоединяться к господствующему слову или присоединять зависимый элемент; 2) </w:t>
      </w:r>
      <w:proofErr w:type="gramStart"/>
      <w:r w:rsidRPr="00482A7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облигаторности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>, с различением обязательной и факультативной валентности; 3) по числу: одно-, двух-, трех</w:t>
      </w:r>
      <w:proofErr w:type="gramStart"/>
      <w:r w:rsidRPr="00482A74">
        <w:rPr>
          <w:rFonts w:ascii="Times New Roman" w:hAnsi="Times New Roman" w:cs="Times New Roman"/>
          <w:sz w:val="28"/>
          <w:szCs w:val="28"/>
        </w:rPr>
        <w:t>-,</w:t>
      </w:r>
      <w:proofErr w:type="gramEnd"/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поливалентные глаголы; 4) по синтаксической функции дополняющего компонента. В представленных автором моделях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наглядно продемонстрированы разные варианты валентности и способы их виртуального изображения.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Ключевые слова: лингвистическая валентность,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вербоцентрическая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 xml:space="preserve"> система, актанты,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сирконстанты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>,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Термин валентность (от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лат.valentia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 xml:space="preserve"> - сила) в настоящее время используется как способность слова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вступать в синтаксические связи с другими элементами [1-4].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Понятие было впервые введено в лингвистику С.Д.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Кацнельсоном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 xml:space="preserve"> [5].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Теньер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 xml:space="preserve"> же ввел термин валентность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A74">
        <w:rPr>
          <w:rFonts w:ascii="Times New Roman" w:hAnsi="Times New Roman" w:cs="Times New Roman"/>
          <w:sz w:val="28"/>
          <w:szCs w:val="28"/>
        </w:rPr>
        <w:t>для обозначения сочетаемости слов в предложении, относил его только к глаголу (в полном соответствии с</w:t>
      </w:r>
      <w:proofErr w:type="gramEnd"/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2A74">
        <w:rPr>
          <w:rFonts w:ascii="Times New Roman" w:hAnsi="Times New Roman" w:cs="Times New Roman"/>
          <w:sz w:val="28"/>
          <w:szCs w:val="28"/>
        </w:rPr>
        <w:t>вербоцентризмом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 xml:space="preserve"> его теории) и определял его как число актантов, которые может присоединять глагол.</w:t>
      </w:r>
      <w:proofErr w:type="gramEnd"/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A74">
        <w:rPr>
          <w:rFonts w:ascii="Times New Roman" w:hAnsi="Times New Roman" w:cs="Times New Roman"/>
          <w:sz w:val="28"/>
          <w:szCs w:val="28"/>
        </w:rPr>
        <w:t>Подобно тому, как существуют различные типы актантов (под актантами мы понимаем член предложения,</w:t>
      </w:r>
      <w:proofErr w:type="gramEnd"/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кроме субъекта, обозначающий лицо, предмет, участвующий в процессе, обозначенном глаголом): второй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актант, третий актант, ... шестой актант, так и свойства глаголов, управляющих этими актантами, различаются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в зависимости от того, управляют ли они одним, или несколькими актантами.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Мы представляем себе глагол в виде рисунка: солнце с лучами, где прямыми лучами показана связь </w:t>
      </w:r>
      <w:proofErr w:type="gramStart"/>
      <w:r w:rsidRPr="00482A7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актантами, а пунктирными - связь с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сирконстантами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>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Таким образом, к глаголу может присоединяться столько актантов, сколько существует падежей. Число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таких лучей, имеющихся у глагола, и, следовательно, число актантов, которыми он способен управлять, и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составляет сущность того, что называется валентностью глагола.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Не всегда модель может быть заполнена полностью: это зависит не только от того, сколько актантов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lastRenderedPageBreak/>
        <w:t>практически существует при глаголе, но и от желания говорящего использовать то или иное число актантов,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то есть зависит от желания частично или полностью выразить мысль. В таком случае некоторые валентности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могут оказаться свободными. Например, глагол работать: Я работаю в университете. Я работаю в университете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преподавателем. Я работаю над диссертацией. Я работаю в группе со студентами над новой лексикой. Я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много) работаю.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Сам по себе глагол работать является многовалентным, то есть могущим иметь при себе некоторое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A74">
        <w:rPr>
          <w:rFonts w:ascii="Times New Roman" w:hAnsi="Times New Roman" w:cs="Times New Roman"/>
          <w:sz w:val="28"/>
          <w:szCs w:val="28"/>
        </w:rPr>
        <w:t>количество актантов, которыми он управляет (кроме того не следует забывать о субъектной валентности,</w:t>
      </w:r>
      <w:proofErr w:type="gramEnd"/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A74">
        <w:rPr>
          <w:rFonts w:ascii="Times New Roman" w:hAnsi="Times New Roman" w:cs="Times New Roman"/>
          <w:sz w:val="28"/>
          <w:szCs w:val="28"/>
        </w:rPr>
        <w:t>присутствующей</w:t>
      </w:r>
      <w:proofErr w:type="gramEnd"/>
      <w:r w:rsidRPr="00482A74">
        <w:rPr>
          <w:rFonts w:ascii="Times New Roman" w:hAnsi="Times New Roman" w:cs="Times New Roman"/>
          <w:sz w:val="28"/>
          <w:szCs w:val="28"/>
        </w:rPr>
        <w:t xml:space="preserve"> в двусоставных предложениях).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В первом предложении обозначен один актант ̶ О6</w:t>
      </w:r>
      <w:proofErr w:type="gramStart"/>
      <w:r w:rsidRPr="00482A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82A74">
        <w:rPr>
          <w:rFonts w:ascii="Times New Roman" w:hAnsi="Times New Roman" w:cs="Times New Roman"/>
          <w:sz w:val="28"/>
          <w:szCs w:val="28"/>
        </w:rPr>
        <w:t xml:space="preserve"> Я работаю в университете; во втором ̶ 2 актанта ̶ О</w:t>
      </w:r>
      <w:proofErr w:type="gramStart"/>
      <w:r w:rsidRPr="00482A74"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и О5: Я работаю в университете преподавателем. В третьем предложении использован тот же актант (О5), что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и во втором, но в другом значении: Я работаю над диссертацией. Четвертое предложение наиболее полное ̶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при глаголе находится 3 актанта: Я работаю в группе со студентами над новой лексикой, где также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повторя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>-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 xml:space="preserve"> актант О5. В последнем предложении ̶ ни одного актанта: Я работаю. Но мы не можем назвать глагол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работать в данном предложении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авалентным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 xml:space="preserve"> только потому, что в нем отсутствуют актанты. Это как раз тот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самый случай, который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Теньер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 xml:space="preserve"> называет свободной валентностью.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Чтобы продемонстрировать наглядно последнюю мысль, мы используем для этого следующие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стеммы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>: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№ 5 (114) 2016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121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стемме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 xml:space="preserve"> 2 мы видим глагол с полной валентной нагрузкой, а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стемме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 xml:space="preserve"> 3 валентности оказались свободными.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Тем не менее, мы не сомневаемся в многовалентности глагола работать.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Используя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терминосистему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 xml:space="preserve"> Терьера,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авалентными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 xml:space="preserve"> мы определяем глаголы, не могущие иметь актантов,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безвалентные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 xml:space="preserve"> глаголы, то есть глаголы, лишенные всякой валентности, известные </w:t>
      </w:r>
      <w:proofErr w:type="gramStart"/>
      <w:r w:rsidRPr="00482A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2A74">
        <w:rPr>
          <w:rFonts w:ascii="Times New Roman" w:hAnsi="Times New Roman" w:cs="Times New Roman"/>
          <w:sz w:val="28"/>
          <w:szCs w:val="28"/>
        </w:rPr>
        <w:t xml:space="preserve"> традиционной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грамматике под названием </w:t>
      </w:r>
      <w:proofErr w:type="gramStart"/>
      <w:r w:rsidRPr="00482A74">
        <w:rPr>
          <w:rFonts w:ascii="Times New Roman" w:hAnsi="Times New Roman" w:cs="Times New Roman"/>
          <w:sz w:val="28"/>
          <w:szCs w:val="28"/>
        </w:rPr>
        <w:t>безличных</w:t>
      </w:r>
      <w:proofErr w:type="gramEnd"/>
      <w:r w:rsidRPr="00482A74">
        <w:rPr>
          <w:rFonts w:ascii="Times New Roman" w:hAnsi="Times New Roman" w:cs="Times New Roman"/>
          <w:sz w:val="28"/>
          <w:szCs w:val="28"/>
        </w:rPr>
        <w:t xml:space="preserve">. Отсутствие актантов у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безвалентных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 xml:space="preserve"> глаголов легко объяснимо, если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учесть, что они обозначают события, которые </w:t>
      </w:r>
      <w:proofErr w:type="gramStart"/>
      <w:r w:rsidRPr="00482A74">
        <w:rPr>
          <w:rFonts w:ascii="Times New Roman" w:hAnsi="Times New Roman" w:cs="Times New Roman"/>
          <w:sz w:val="28"/>
          <w:szCs w:val="28"/>
        </w:rPr>
        <w:t>происходят без участия каких бы то ни было</w:t>
      </w:r>
      <w:proofErr w:type="gramEnd"/>
      <w:r w:rsidRPr="00482A74">
        <w:rPr>
          <w:rFonts w:ascii="Times New Roman" w:hAnsi="Times New Roman" w:cs="Times New Roman"/>
          <w:sz w:val="28"/>
          <w:szCs w:val="28"/>
        </w:rPr>
        <w:t xml:space="preserve"> актантов: Светало.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Темнеет. Дождит.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Одновалентными глаголами в традиционной грамматике называются </w:t>
      </w:r>
      <w:proofErr w:type="gramStart"/>
      <w:r w:rsidRPr="00482A74">
        <w:rPr>
          <w:rFonts w:ascii="Times New Roman" w:hAnsi="Times New Roman" w:cs="Times New Roman"/>
          <w:sz w:val="28"/>
          <w:szCs w:val="28"/>
        </w:rPr>
        <w:t>непереходные</w:t>
      </w:r>
      <w:proofErr w:type="gramEnd"/>
      <w:r w:rsidRPr="00482A74">
        <w:rPr>
          <w:rFonts w:ascii="Times New Roman" w:hAnsi="Times New Roman" w:cs="Times New Roman"/>
          <w:sz w:val="28"/>
          <w:szCs w:val="28"/>
        </w:rPr>
        <w:t xml:space="preserve"> (интранзитивные)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глаголы, то есть глаголы, обозначающие замкнутость действия в сфере субъекта. Ребенок спит. Ребенок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падает. Ребенок лежит. Ребенок грустит. Нельзя вообразить себе, что каждый из этих процессов затрагивает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еще одно какое-либо слово, кроме ребенка. Невозможно спать, падать, лежать, грустить кого-либо или что-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либо [6-11].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A74">
        <w:rPr>
          <w:rFonts w:ascii="Times New Roman" w:hAnsi="Times New Roman" w:cs="Times New Roman"/>
          <w:sz w:val="28"/>
          <w:szCs w:val="28"/>
        </w:rPr>
        <w:t>Теньер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 xml:space="preserve"> в таких случаях называет субъект первым актантом, мы, опираясь на позиции </w:t>
      </w:r>
      <w:proofErr w:type="gramStart"/>
      <w:r w:rsidRPr="00482A74">
        <w:rPr>
          <w:rFonts w:ascii="Times New Roman" w:hAnsi="Times New Roman" w:cs="Times New Roman"/>
          <w:sz w:val="28"/>
          <w:szCs w:val="28"/>
        </w:rPr>
        <w:t>определенного</w:t>
      </w:r>
      <w:proofErr w:type="gramEnd"/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равенства субъекта и предиката, не считаем субъект актантом. Называя непереходные глаголы одновалентными,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мы исходим не из рассуждений, что субъект ̶ есть первый актант, а из синтаксической функциональности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дополняющего члена, роль которого в данном случае играет субъект, и из этих соображений оделяем глагол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субъектной валентностью. Мы не забываем, что субъект и предикат, называемые нами независимыми члена-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ми предложения, в то же время синтаксически контролируют друг друга в предложении. Однако мы не мо-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жем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 xml:space="preserve"> называть предложения с непереходными глаголами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авалентными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 xml:space="preserve"> только потому, что не считаем субъект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актантом.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Таким образом, кроме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авалентных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 xml:space="preserve"> существуют одновалентные (непереходные), дву</w:t>
      </w:r>
      <w:proofErr w:type="gramStart"/>
      <w:r w:rsidRPr="00482A74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482A74">
        <w:rPr>
          <w:rFonts w:ascii="Times New Roman" w:hAnsi="Times New Roman" w:cs="Times New Roman"/>
          <w:sz w:val="28"/>
          <w:szCs w:val="28"/>
        </w:rPr>
        <w:t xml:space="preserve"> (переходные) и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трехвалентные (многовалентные) глаголы. В этой трактовке понятие валентности сопоставимо с понятием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из логики предикатов об одно-, двух-, трехместных предикатах и связано с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вербоцентрической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 xml:space="preserve"> теорией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предложения [1-4].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К классу двухвалентных глаголов в традиционной грамматике относятся переходные глаголы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(транзитивные), и в таком предложении, как Преподаватель начинает </w:t>
      </w:r>
      <w:proofErr w:type="gramStart"/>
      <w:r w:rsidRPr="00482A74">
        <w:rPr>
          <w:rFonts w:ascii="Times New Roman" w:hAnsi="Times New Roman" w:cs="Times New Roman"/>
          <w:sz w:val="28"/>
          <w:szCs w:val="28"/>
        </w:rPr>
        <w:t>урок</w:t>
      </w:r>
      <w:proofErr w:type="gramEnd"/>
      <w:r w:rsidRPr="00482A74">
        <w:rPr>
          <w:rFonts w:ascii="Times New Roman" w:hAnsi="Times New Roman" w:cs="Times New Roman"/>
          <w:sz w:val="28"/>
          <w:szCs w:val="28"/>
        </w:rPr>
        <w:t xml:space="preserve"> прослеживается транзитивность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действия от преподавателя на урок, то есть глагол управляет прямым дополнением (О</w:t>
      </w:r>
      <w:proofErr w:type="gramStart"/>
      <w:r w:rsidRPr="00482A7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82A74">
        <w:rPr>
          <w:rFonts w:ascii="Times New Roman" w:hAnsi="Times New Roman" w:cs="Times New Roman"/>
          <w:sz w:val="28"/>
          <w:szCs w:val="28"/>
        </w:rPr>
        <w:t>).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Двухвалентные глаголы, обладая, с одной стороны, субъектной валентностью, с другой стороны,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демонстрируют наличие функционального обязательного прямого дополнения, то есть имеют направленность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субъекта на объект, в отличие от интранзитивных глаголов, обозначающих замкнутость действия в ареале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субъекта.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Преподаватель начинает урок.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Преподаватель стоит.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В первом предложении наблюдается двухвалентный глагол, показывающий переход действия от субъекта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Преподаватель к объекту урок. Во втором предложении мы имеем одновалентный глагол стоять, который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может обладать обстоятельственной валентностью, но может обойтись без нее, но ни в коем случае не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транспонироваться в прямой объект.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Здесь хотелось бы отметить, что называя глагол двухвалентным, мы имеем в виду, что глагол имеет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субъектную валентность и управляет прямым дополнением, и в русском языке ̶ это не 2-ой актант, а четвертый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Винительный падеж, то есть О</w:t>
      </w:r>
      <w:proofErr w:type="gramStart"/>
      <w:r w:rsidRPr="00482A7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82A74">
        <w:rPr>
          <w:rFonts w:ascii="Times New Roman" w:hAnsi="Times New Roman" w:cs="Times New Roman"/>
          <w:sz w:val="28"/>
          <w:szCs w:val="28"/>
        </w:rPr>
        <w:t>. Значит, двухвалентный глагол имеет следующую виртуальную модель: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Если одновалентные глаголы, имеющие контакт только с субъектом, не используются в </w:t>
      </w:r>
      <w:proofErr w:type="gramStart"/>
      <w:r w:rsidRPr="00482A74">
        <w:rPr>
          <w:rFonts w:ascii="Times New Roman" w:hAnsi="Times New Roman" w:cs="Times New Roman"/>
          <w:sz w:val="28"/>
          <w:szCs w:val="28"/>
        </w:rPr>
        <w:t>иностранных</w:t>
      </w:r>
      <w:proofErr w:type="gramEnd"/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A74">
        <w:rPr>
          <w:rFonts w:ascii="Times New Roman" w:hAnsi="Times New Roman" w:cs="Times New Roman"/>
          <w:sz w:val="28"/>
          <w:szCs w:val="28"/>
        </w:rPr>
        <w:t>языках</w:t>
      </w:r>
      <w:proofErr w:type="gramEnd"/>
      <w:r w:rsidRPr="00482A74">
        <w:rPr>
          <w:rFonts w:ascii="Times New Roman" w:hAnsi="Times New Roman" w:cs="Times New Roman"/>
          <w:sz w:val="28"/>
          <w:szCs w:val="28"/>
        </w:rPr>
        <w:t xml:space="preserve"> отличным от русского языка способом, то, сравнивая их с одновалентными глаголами родного языка,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Л.Н. Гумилев атындағы ЕҰУ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Хабаршысы</w:t>
      </w:r>
      <w:proofErr w:type="spellEnd"/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122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изучающий русский язык будет использовать их в основном правильно.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Двухвалентные глаголы могут употребляться в родном языке </w:t>
      </w:r>
      <w:proofErr w:type="gramStart"/>
      <w:r w:rsidRPr="00482A74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482A74">
        <w:rPr>
          <w:rFonts w:ascii="Times New Roman" w:hAnsi="Times New Roman" w:cs="Times New Roman"/>
          <w:sz w:val="28"/>
          <w:szCs w:val="28"/>
        </w:rPr>
        <w:t xml:space="preserve"> не так, как в русском, поскольку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они связаны в предложении с двумя словами, которые могут меняться местами при переводе. Поэтому и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количество ошибок в употреблении двухвалентных глаголов увеличивается.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То же можно сказать и о трехвалентных глаголах, добавив, что комбинации в использовании актантов и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субъектной валентности увеличиваются, соответственно увеличивая и количество разнообразных ошибок.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Отсюда становится понятным, насколько важно при прагматическом подходе к трехвалентным глаголам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усилить изучение этого рода глаголов.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Традиционная грамматика относит к трехвалентным глаголам глаголы речи и “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давания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>”. В предложении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A74">
        <w:rPr>
          <w:rFonts w:ascii="Times New Roman" w:hAnsi="Times New Roman" w:cs="Times New Roman"/>
          <w:sz w:val="28"/>
          <w:szCs w:val="28"/>
        </w:rPr>
        <w:t>Халимуша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 xml:space="preserve"> дает игрушку бабушке глагол </w:t>
      </w:r>
      <w:proofErr w:type="gramStart"/>
      <w:r w:rsidRPr="00482A74">
        <w:rPr>
          <w:rFonts w:ascii="Times New Roman" w:hAnsi="Times New Roman" w:cs="Times New Roman"/>
          <w:sz w:val="28"/>
          <w:szCs w:val="28"/>
        </w:rPr>
        <w:t>дает</w:t>
      </w:r>
      <w:proofErr w:type="gramEnd"/>
      <w:r w:rsidRPr="00482A74">
        <w:rPr>
          <w:rFonts w:ascii="Times New Roman" w:hAnsi="Times New Roman" w:cs="Times New Roman"/>
          <w:sz w:val="28"/>
          <w:szCs w:val="28"/>
        </w:rPr>
        <w:t xml:space="preserve"> обладает субъектной валентностью: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Халимуша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>, имеет при себе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прямой актант (О</w:t>
      </w:r>
      <w:proofErr w:type="gramStart"/>
      <w:r w:rsidRPr="00482A7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82A74">
        <w:rPr>
          <w:rFonts w:ascii="Times New Roman" w:hAnsi="Times New Roman" w:cs="Times New Roman"/>
          <w:sz w:val="28"/>
          <w:szCs w:val="28"/>
        </w:rPr>
        <w:t>) ̶ игрушку, и третий актант (О3) ̶ бабушке, то есть является трехвалентным глаголом. Что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демонстрируется следующей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стеммой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 xml:space="preserve"> 5: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Кроме того отметим следующее, называя глагол трехвалентным, мы имеем в виду, что глагол имеет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субъектную валентность и управляет прямым дополнением (О</w:t>
      </w:r>
      <w:proofErr w:type="gramStart"/>
      <w:r w:rsidRPr="00482A7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82A74">
        <w:rPr>
          <w:rFonts w:ascii="Times New Roman" w:hAnsi="Times New Roman" w:cs="Times New Roman"/>
          <w:sz w:val="28"/>
          <w:szCs w:val="28"/>
        </w:rPr>
        <w:t xml:space="preserve">) и 3-им актантом (О3). Таким образом,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трехва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>-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лентный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 xml:space="preserve"> глагол имеет следующую виртуальную модель, общую для всех трехвалентных глаголов [13]: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В предложении Я </w:t>
      </w:r>
      <w:proofErr w:type="gramStart"/>
      <w:r w:rsidRPr="00482A74">
        <w:rPr>
          <w:rFonts w:ascii="Times New Roman" w:hAnsi="Times New Roman" w:cs="Times New Roman"/>
          <w:sz w:val="28"/>
          <w:szCs w:val="28"/>
        </w:rPr>
        <w:t>говорила это внучке используется</w:t>
      </w:r>
      <w:proofErr w:type="gramEnd"/>
      <w:r w:rsidRPr="00482A74">
        <w:rPr>
          <w:rFonts w:ascii="Times New Roman" w:hAnsi="Times New Roman" w:cs="Times New Roman"/>
          <w:sz w:val="28"/>
          <w:szCs w:val="28"/>
        </w:rPr>
        <w:t xml:space="preserve"> глагол речи, который может продемонстрировать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свою трехвалентную структуру той же моделью: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Трехвалентные глаголы именуются также как и двухвалентные переходными глаголами, однако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обнаруживают ряд особенностей, которые обусловлены именно их трехвалентным характером. В связи </w:t>
      </w:r>
      <w:proofErr w:type="gramStart"/>
      <w:r w:rsidRPr="00482A7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этим хотелось бы заострить внимание на различиях в их использовании в плане прагматики, так как практика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показывает, что при изучении русского языка основная доля ошибок приходится на смешение в использовании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прямого и косвенного объектов (сказать друга, меня; увидеть студенту, девушке и т.п.).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Сюда же относится путаница с глаголами просить / спрашивать. Во многих европейских языках их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>-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пользуют с Дательным падежом, то есть в качестве трехвалентных глаголов, поскольку они являются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глаго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>-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лами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 xml:space="preserve"> речи.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Для различения значений этих глаголов можно использовать следующий прием: отталкиваться от значений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̶ «чтобы иметь» и «чтобы знать» и соответственно с этими значениями использовать глаголы просить и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спрашивать, то есть просить, «чтобы иметь», а спрашивать, «чтобы знать», подчеркнув при этом, что </w:t>
      </w:r>
      <w:proofErr w:type="gramStart"/>
      <w:r w:rsidRPr="00482A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2A74">
        <w:rPr>
          <w:rFonts w:ascii="Times New Roman" w:hAnsi="Times New Roman" w:cs="Times New Roman"/>
          <w:sz w:val="28"/>
          <w:szCs w:val="28"/>
        </w:rPr>
        <w:t xml:space="preserve"> рус-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A74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2A74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482A74">
        <w:rPr>
          <w:rFonts w:ascii="Times New Roman" w:hAnsi="Times New Roman" w:cs="Times New Roman"/>
          <w:sz w:val="28"/>
          <w:szCs w:val="28"/>
        </w:rPr>
        <w:t xml:space="preserve"> названные глаголы не управляют Дательным падежом.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2A74">
        <w:rPr>
          <w:rFonts w:ascii="Times New Roman" w:hAnsi="Times New Roman" w:cs="Times New Roman"/>
          <w:sz w:val="28"/>
          <w:szCs w:val="28"/>
        </w:rPr>
        <w:t>Пример</w:t>
      </w:r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2A74">
        <w:rPr>
          <w:rFonts w:ascii="Times New Roman" w:hAnsi="Times New Roman" w:cs="Times New Roman"/>
          <w:sz w:val="28"/>
          <w:szCs w:val="28"/>
        </w:rPr>
        <w:t>из</w:t>
      </w:r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Теньера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[12]: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Alfred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demande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82A74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renseignement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a Charles </w:t>
      </w:r>
      <w:r w:rsidRPr="00482A74">
        <w:rPr>
          <w:rFonts w:ascii="Times New Roman" w:hAnsi="Times New Roman" w:cs="Times New Roman"/>
          <w:sz w:val="28"/>
          <w:szCs w:val="28"/>
        </w:rPr>
        <w:t>и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Alfred </w:t>
      </w:r>
      <w:proofErr w:type="spellStart"/>
      <w:proofErr w:type="gramStart"/>
      <w:r w:rsidRPr="00482A74">
        <w:rPr>
          <w:rFonts w:ascii="Times New Roman" w:hAnsi="Times New Roman" w:cs="Times New Roman"/>
          <w:sz w:val="28"/>
          <w:szCs w:val="28"/>
          <w:lang w:val="en-US"/>
        </w:rPr>
        <w:t>donne</w:t>
      </w:r>
      <w:proofErr w:type="spellEnd"/>
      <w:proofErr w:type="gram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renseignement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a Charles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наглядно демонстрирует нам эту разницу. Если в первом предложении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Альфред просит у Шарля сведения, то во втором примере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Альфред дает Шарлю сведения.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№ 5 (114) 2016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123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В русском варианте мы видим разницу в управлении словом Шарль: в первом случае ̶ это Родительный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падеж, во втором случае ̶ Дательный. То есть во втором примере мы ясно видим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трехвалентность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 xml:space="preserve"> глагола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давать (сюда входит субъектная валентность, прямое дополнение (О</w:t>
      </w:r>
      <w:proofErr w:type="gramStart"/>
      <w:r w:rsidRPr="00482A7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82A74">
        <w:rPr>
          <w:rFonts w:ascii="Times New Roman" w:hAnsi="Times New Roman" w:cs="Times New Roman"/>
          <w:sz w:val="28"/>
          <w:szCs w:val="28"/>
        </w:rPr>
        <w:t>) и третий актант, совпадающий в рус-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A74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2A74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482A74">
        <w:rPr>
          <w:rFonts w:ascii="Times New Roman" w:hAnsi="Times New Roman" w:cs="Times New Roman"/>
          <w:sz w:val="28"/>
          <w:szCs w:val="28"/>
        </w:rPr>
        <w:t xml:space="preserve"> с Дательным падежом (О3). Это однозначно и с французским эквивалентом этой фразы.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Но во французском варианте обе фразы можно продемонстрировать одной структурной моделью,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виртуальная </w:t>
      </w:r>
      <w:proofErr w:type="spellStart"/>
      <w:proofErr w:type="gramStart"/>
      <w:r w:rsidRPr="00482A74">
        <w:rPr>
          <w:rFonts w:ascii="Times New Roman" w:hAnsi="Times New Roman" w:cs="Times New Roman"/>
          <w:sz w:val="28"/>
          <w:szCs w:val="28"/>
        </w:rPr>
        <w:t>стемма</w:t>
      </w:r>
      <w:proofErr w:type="spellEnd"/>
      <w:proofErr w:type="gramEnd"/>
      <w:r w:rsidRPr="00482A74">
        <w:rPr>
          <w:rFonts w:ascii="Times New Roman" w:hAnsi="Times New Roman" w:cs="Times New Roman"/>
          <w:sz w:val="28"/>
          <w:szCs w:val="28"/>
        </w:rPr>
        <w:t xml:space="preserve"> которых будет полностью совпадать. То есть в данном случае используется одна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актантная модель и при прямом переводе это будет смотреться таким образом: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Перевод дан точно по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стемме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 xml:space="preserve"> и по логике рассуждений ̶ глаголы речи и «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давания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>» ̶ трехвалентны. И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именно в этом месте обучаемые чаще всего допускают ошибки, что связано с интерференцией родного языка,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то есть они переносят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трехвалентность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 xml:space="preserve"> глаголов просить и спрашивать в родном языке </w:t>
      </w:r>
      <w:proofErr w:type="gramStart"/>
      <w:r w:rsidRPr="00482A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82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2A74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482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двухвалентность</w:t>
      </w:r>
      <w:proofErr w:type="spellEnd"/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в русском языке. Следовательно, из прагматических соображений, необходимо усилить при </w:t>
      </w:r>
      <w:proofErr w:type="gramStart"/>
      <w:r w:rsidRPr="00482A74">
        <w:rPr>
          <w:rFonts w:ascii="Times New Roman" w:hAnsi="Times New Roman" w:cs="Times New Roman"/>
          <w:sz w:val="28"/>
          <w:szCs w:val="28"/>
        </w:rPr>
        <w:t>лексической</w:t>
      </w:r>
      <w:proofErr w:type="gramEnd"/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подаче названных глаголов разницу в управлении между русскими глаголами просить / спрашивать и давать,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чтобы избежать интерференции.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Кроме того, необходимо обратить внимание на следующие глаголы, которые в некоторых языках также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считаются трехвалентными, а в русском языке из этого списка выпадают, для предупреждения интерференции: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а) глаголы речи: оговорить, утверждать, отрицать, заверять, удостоверять, назначать, рекомендовать,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упоминать, соглашаться, молчать, утаивать, признавать, разоблачать, изобличать, распространять;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б) глаголы «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давания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>»: расточать, отбирать, похищать, красть.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К сказанному можно добавить, что к глаголам речи и глаголам «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давания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>» относится также ряд других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глаголов, вносящих дополнительные оттенки в значение основных глаголов. Так, наряду с глаголом говорить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A74">
        <w:rPr>
          <w:rFonts w:ascii="Times New Roman" w:hAnsi="Times New Roman" w:cs="Times New Roman"/>
          <w:sz w:val="28"/>
          <w:szCs w:val="28"/>
        </w:rPr>
        <w:t xml:space="preserve">существует итеративный глагол повторять, интенсивные глаголы утверждать и доказывать,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диминутивные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 xml:space="preserve"> (в</w:t>
      </w:r>
      <w:proofErr w:type="gramEnd"/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2A74">
        <w:rPr>
          <w:rFonts w:ascii="Times New Roman" w:hAnsi="Times New Roman" w:cs="Times New Roman"/>
          <w:sz w:val="28"/>
          <w:szCs w:val="28"/>
        </w:rPr>
        <w:t>антонимичном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 xml:space="preserve"> значении к «интенсивный») глаголы намекать и подсказывать и т.п.</w:t>
      </w:r>
      <w:proofErr w:type="gramEnd"/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Следующее замечание по поводу трехвалентных глаголов относится к формам пассива. Поскольку в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A74">
        <w:rPr>
          <w:rFonts w:ascii="Times New Roman" w:hAnsi="Times New Roman" w:cs="Times New Roman"/>
          <w:sz w:val="28"/>
          <w:szCs w:val="28"/>
        </w:rPr>
        <w:t>некоторых языках возможна замена субъекта в пассиве второму и даже третьему актанту в активе (в частности,</w:t>
      </w:r>
      <w:proofErr w:type="gramEnd"/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в английском), то такие моменты уточняются, но вряд на начальном этапе обучения, поскольку для первого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уровня важно уяснить наличие глагольной валентности и правильно заучить связь того или иного глагола </w:t>
      </w:r>
      <w:proofErr w:type="gramStart"/>
      <w:r w:rsidRPr="00482A7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теми или иными актантами. Однако в информативном плане предлагаем следующий пример: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Mother gives the doll to your daughter. </w:t>
      </w:r>
      <w:r w:rsidRPr="00482A74">
        <w:rPr>
          <w:rFonts w:ascii="Times New Roman" w:hAnsi="Times New Roman" w:cs="Times New Roman"/>
          <w:sz w:val="28"/>
          <w:szCs w:val="28"/>
        </w:rPr>
        <w:t>̶ Мать дает куклу своей дочери.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The doll is given by mother to your daughter. </w:t>
      </w:r>
      <w:r w:rsidRPr="00482A74">
        <w:rPr>
          <w:rFonts w:ascii="Times New Roman" w:hAnsi="Times New Roman" w:cs="Times New Roman"/>
          <w:sz w:val="28"/>
          <w:szCs w:val="28"/>
        </w:rPr>
        <w:t>̶ Кукла дается матерью ее дочери.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The daughter is given the doll by your mother. </w:t>
      </w:r>
      <w:r w:rsidRPr="00482A74">
        <w:rPr>
          <w:rFonts w:ascii="Times New Roman" w:hAnsi="Times New Roman" w:cs="Times New Roman"/>
          <w:sz w:val="28"/>
          <w:szCs w:val="28"/>
        </w:rPr>
        <w:t>̶ Кукла дается дочери ее матерью. -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из которого видно, каким образом переход от актива к пассиву затрагивает кроме субъекта </w:t>
      </w:r>
      <w:proofErr w:type="gramStart"/>
      <w:r w:rsidRPr="00482A74">
        <w:rPr>
          <w:rFonts w:ascii="Times New Roman" w:hAnsi="Times New Roman" w:cs="Times New Roman"/>
          <w:sz w:val="28"/>
          <w:szCs w:val="28"/>
        </w:rPr>
        <w:t>прямое</w:t>
      </w:r>
      <w:proofErr w:type="gramEnd"/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дополнение (О</w:t>
      </w:r>
      <w:proofErr w:type="gramStart"/>
      <w:r w:rsidRPr="00482A7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82A74">
        <w:rPr>
          <w:rFonts w:ascii="Times New Roman" w:hAnsi="Times New Roman" w:cs="Times New Roman"/>
          <w:sz w:val="28"/>
          <w:szCs w:val="28"/>
        </w:rPr>
        <w:t>) и третий актант (О3).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В английском языке это наглядно демонстрируется приведенным примером, где предложение может иметь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пассивную форму как для прямого дополнения (О</w:t>
      </w:r>
      <w:proofErr w:type="gramStart"/>
      <w:r w:rsidRPr="00482A7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82A74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doll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 xml:space="preserve"> становится субъектом, а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mother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 xml:space="preserve"> ̶ объектом,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так и для третьего актанта, где уже Дательный падеж (О3):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daughter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 xml:space="preserve"> меняется синтаксической функцией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с субъектом.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В русском языке аналога третьему английскому предложению нет, то есть во втором и третьем предложении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пассивная конструкция в русском языке передается одинаково: прямое дополнение (О</w:t>
      </w:r>
      <w:proofErr w:type="gramStart"/>
      <w:r w:rsidRPr="00482A7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82A74">
        <w:rPr>
          <w:rFonts w:ascii="Times New Roman" w:hAnsi="Times New Roman" w:cs="Times New Roman"/>
          <w:sz w:val="28"/>
          <w:szCs w:val="28"/>
        </w:rPr>
        <w:t xml:space="preserve">) берет на себя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синтак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>-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A74">
        <w:rPr>
          <w:rFonts w:ascii="Times New Roman" w:hAnsi="Times New Roman" w:cs="Times New Roman"/>
          <w:sz w:val="28"/>
          <w:szCs w:val="28"/>
        </w:rPr>
        <w:t>сическую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 xml:space="preserve"> функцию субъекта, субъект переходит в О5, а третий актант остается неизменным во всех трех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A74">
        <w:rPr>
          <w:rFonts w:ascii="Times New Roman" w:hAnsi="Times New Roman" w:cs="Times New Roman"/>
          <w:sz w:val="28"/>
          <w:szCs w:val="28"/>
        </w:rPr>
        <w:t>позициях</w:t>
      </w:r>
      <w:proofErr w:type="gramEnd"/>
      <w:r w:rsidRPr="00482A74">
        <w:rPr>
          <w:rFonts w:ascii="Times New Roman" w:hAnsi="Times New Roman" w:cs="Times New Roman"/>
          <w:sz w:val="28"/>
          <w:szCs w:val="28"/>
        </w:rPr>
        <w:t>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В данной работе нами перечислены следующие варианты валентности глагола: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авалентные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 xml:space="preserve"> (безличные);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A74">
        <w:rPr>
          <w:rFonts w:ascii="Times New Roman" w:hAnsi="Times New Roman" w:cs="Times New Roman"/>
          <w:sz w:val="28"/>
          <w:szCs w:val="28"/>
        </w:rPr>
        <w:t>одновалентные</w:t>
      </w:r>
      <w:proofErr w:type="gramEnd"/>
      <w:r w:rsidRPr="00482A74">
        <w:rPr>
          <w:rFonts w:ascii="Times New Roman" w:hAnsi="Times New Roman" w:cs="Times New Roman"/>
          <w:sz w:val="28"/>
          <w:szCs w:val="28"/>
        </w:rPr>
        <w:t xml:space="preserve"> (непереходные, обладающие субъектной валентностью ̶ N);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двухвалентные (переходные, управляющие прямым дополнением ̶ О</w:t>
      </w:r>
      <w:proofErr w:type="gramStart"/>
      <w:r w:rsidRPr="00482A7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82A74">
        <w:rPr>
          <w:rFonts w:ascii="Times New Roman" w:hAnsi="Times New Roman" w:cs="Times New Roman"/>
          <w:sz w:val="28"/>
          <w:szCs w:val="28"/>
        </w:rPr>
        <w:t>);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трехвалентные (переходные, управляющие глаголами «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давания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>» и некоторыми глаголами речи ̶ О3).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Однако, по мнению Терьера в частности [12], считается вероятным, что в языке простые глагольные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формы имеют три валентности. И в то же время он считает, что все возрастающая сложность актантной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Л.Н. Гумилев атындағы ЕҰУ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Хабаршысы</w:t>
      </w:r>
      <w:proofErr w:type="spellEnd"/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124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системы глагола находится в прямой зависимости от прогресса человеческого разума, который порождает все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более и более сложные актантные структуры. Поэтому он ставит вопрос о возможном существовании наряду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с трехвалентными глаголами глаголов четырехвалентных, выдвигая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глоттогенетическую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 xml:space="preserve"> гипотезу о том, что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глагольная валентность в языке развивается в сторону все большего увеличения числа актантов.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В случае с русским языком и в плане того, что мы любой сложный момент грамматики рассматриваем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с сугубо прагматической точки зрения, хотелось бы добавить, что нами рассматривается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поливалентность</w:t>
      </w:r>
      <w:proofErr w:type="spellEnd"/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русского глагола как факт его существования в русском языке.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Если исходить из теории валентности глагола, следует обратить внимание на то, что европейские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исследователи, в частности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Теньер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>, Буше [12 и 4]</w:t>
      </w:r>
      <w:proofErr w:type="gramStart"/>
      <w:r w:rsidRPr="00482A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2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2A7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82A74">
        <w:rPr>
          <w:rFonts w:ascii="Times New Roman" w:hAnsi="Times New Roman" w:cs="Times New Roman"/>
          <w:sz w:val="28"/>
          <w:szCs w:val="28"/>
        </w:rPr>
        <w:t>вухвалентными глаголами называют переходные глаголы,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управляющие прямым дополнением. Мы не отходим от этой традиции, проблема в сбое нумерации: сам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термин предполагает существование двух элементов, подчиненных глаголу ̶ это субъект, в данном случае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A74">
        <w:rPr>
          <w:rFonts w:ascii="Times New Roman" w:hAnsi="Times New Roman" w:cs="Times New Roman"/>
          <w:sz w:val="28"/>
          <w:szCs w:val="28"/>
        </w:rPr>
        <w:t>рассматриваемый</w:t>
      </w:r>
      <w:proofErr w:type="gramEnd"/>
      <w:r w:rsidRPr="00482A74">
        <w:rPr>
          <w:rFonts w:ascii="Times New Roman" w:hAnsi="Times New Roman" w:cs="Times New Roman"/>
          <w:sz w:val="28"/>
          <w:szCs w:val="28"/>
        </w:rPr>
        <w:t xml:space="preserve"> нами элементом субъектной валентности, и прямое дополнение, которое в русском языке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называется Винительным падежом и нумеруется четвертым номером ̶ О</w:t>
      </w:r>
      <w:proofErr w:type="gramStart"/>
      <w:r w:rsidRPr="00482A7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82A74">
        <w:rPr>
          <w:rFonts w:ascii="Times New Roman" w:hAnsi="Times New Roman" w:cs="Times New Roman"/>
          <w:sz w:val="28"/>
          <w:szCs w:val="28"/>
        </w:rPr>
        <w:t>, называясь четвертым актантом. В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то время как у автора термина данный актант идет под номером 2.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Трехвалентные глаголы, имея при себе 1)субъектную валентность (N) и 2)прямое дополнение (О</w:t>
      </w:r>
      <w:proofErr w:type="gramStart"/>
      <w:r w:rsidRPr="00482A7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82A7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распо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>-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лагают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 xml:space="preserve"> также глаголами речи и «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давания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>», управляющими третьим актантом, что соответствует и русскому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языку, третий актант которого управляется глаголами тех же значений.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Однако синтаксические потенции русского глагола шире в связи с более развитой актантной системой,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поэтому актанты О</w:t>
      </w:r>
      <w:proofErr w:type="gramStart"/>
      <w:r w:rsidRPr="00482A7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82A74">
        <w:rPr>
          <w:rFonts w:ascii="Times New Roman" w:hAnsi="Times New Roman" w:cs="Times New Roman"/>
          <w:sz w:val="28"/>
          <w:szCs w:val="28"/>
        </w:rPr>
        <w:t>, О5, О6 со всей гаммой их значений выпадают из обоймы валентности, обозначенной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A74">
        <w:rPr>
          <w:rFonts w:ascii="Times New Roman" w:hAnsi="Times New Roman" w:cs="Times New Roman"/>
          <w:sz w:val="28"/>
          <w:szCs w:val="28"/>
        </w:rPr>
        <w:t>Теньером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 xml:space="preserve">. Тут возможно говорить о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поливалентности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 xml:space="preserve"> русского глагола, так как глаголы со значением обладания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(О</w:t>
      </w:r>
      <w:proofErr w:type="gramStart"/>
      <w:r w:rsidRPr="00482A7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82A74">
        <w:rPr>
          <w:rFonts w:ascii="Times New Roman" w:hAnsi="Times New Roman" w:cs="Times New Roman"/>
          <w:sz w:val="28"/>
          <w:szCs w:val="28"/>
        </w:rPr>
        <w:t>), совместности действия (О5), объекта мысли (О6) (нами названы только по одному значению названных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актантов) оказываются вне плана обозначения валентности. Можно, конечно, используя современную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терми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>-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нологию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 xml:space="preserve">, именовать управление подобного типа актантами </w:t>
      </w:r>
      <w:proofErr w:type="gramStart"/>
      <w:r w:rsidRPr="00482A74">
        <w:rPr>
          <w:rFonts w:ascii="Times New Roman" w:hAnsi="Times New Roman" w:cs="Times New Roman"/>
          <w:sz w:val="28"/>
          <w:szCs w:val="28"/>
        </w:rPr>
        <w:t>объектной</w:t>
      </w:r>
      <w:proofErr w:type="gramEnd"/>
      <w:r w:rsidRPr="00482A74">
        <w:rPr>
          <w:rFonts w:ascii="Times New Roman" w:hAnsi="Times New Roman" w:cs="Times New Roman"/>
          <w:sz w:val="28"/>
          <w:szCs w:val="28"/>
        </w:rPr>
        <w:t>, обстоятельственной, предикативной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валентностью. Но это вызывает необходимость углубиться в синтаксическую семантику предложения, что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усложняет унификацию подачи теоретического материала и прагматику. В силу </w:t>
      </w:r>
      <w:proofErr w:type="gramStart"/>
      <w:r w:rsidRPr="00482A74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482A74">
        <w:rPr>
          <w:rFonts w:ascii="Times New Roman" w:hAnsi="Times New Roman" w:cs="Times New Roman"/>
          <w:sz w:val="28"/>
          <w:szCs w:val="28"/>
        </w:rPr>
        <w:t xml:space="preserve"> термин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поливалентность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 xml:space="preserve"> нам кажется ближе.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A74">
        <w:rPr>
          <w:rFonts w:ascii="Times New Roman" w:hAnsi="Times New Roman" w:cs="Times New Roman"/>
          <w:sz w:val="28"/>
          <w:szCs w:val="28"/>
        </w:rPr>
        <w:t>Таким образом, например, глагол читать мы называем поливалентным глаголом: что? (кого?) (вторая</w:t>
      </w:r>
      <w:proofErr w:type="gramEnd"/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валентность или четвертый актант ̶ О</w:t>
      </w:r>
      <w:proofErr w:type="gramStart"/>
      <w:r w:rsidRPr="00482A7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82A74">
        <w:rPr>
          <w:rFonts w:ascii="Times New Roman" w:hAnsi="Times New Roman" w:cs="Times New Roman"/>
          <w:sz w:val="28"/>
          <w:szCs w:val="28"/>
        </w:rPr>
        <w:t>), кому? (третья валентность или третий актант ̶ О3), о чем? о ком?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A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поливалентность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>, то есть это значит, что кроме прямого дополнения и третьего актанта глагол управляет и</w:t>
      </w:r>
      <w:proofErr w:type="gramEnd"/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другими актантами).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При практическом применении для адаптации понятия валентности на занятиях используются вопросы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типа: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Сколько вопросов можно задать от этого глагола?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Какие падежи (О</w:t>
      </w:r>
      <w:proofErr w:type="gramStart"/>
      <w:r w:rsidRPr="00482A7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82A74">
        <w:rPr>
          <w:rFonts w:ascii="Times New Roman" w:hAnsi="Times New Roman" w:cs="Times New Roman"/>
          <w:sz w:val="28"/>
          <w:szCs w:val="28"/>
        </w:rPr>
        <w:t>,3,4,5,6,) можно поставить после этого глагола?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Как можно ответить на эти вопросы?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Составьте полное предложение с этим глаголом.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В современном языкознании в отличие от теории Терьера [12] распространено более широкое понимание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A74">
        <w:rPr>
          <w:rFonts w:ascii="Times New Roman" w:hAnsi="Times New Roman" w:cs="Times New Roman"/>
          <w:sz w:val="28"/>
          <w:szCs w:val="28"/>
        </w:rPr>
        <w:t>валентности как общей сочетательной способности слов (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Кацнельсон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 xml:space="preserve"> [5] и единиц иных уровней.</w:t>
      </w:r>
      <w:proofErr w:type="gramEnd"/>
      <w:r w:rsidRPr="00482A74">
        <w:rPr>
          <w:rFonts w:ascii="Times New Roman" w:hAnsi="Times New Roman" w:cs="Times New Roman"/>
          <w:sz w:val="28"/>
          <w:szCs w:val="28"/>
        </w:rPr>
        <w:t xml:space="preserve"> Различаются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специфичные для каждого языка сочетательные потенции частей речи, отражающие грамматические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закономерности сочетаемости слов, и лексическая валентность, связанная с семантикой слова.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В нашей практической работе мы не отказываемся от современного видения валентности, поскольку,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обучая языку, нельзя не учитывать особенностей и других слов, кроме глагола, притягивать к себе актанты.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Валентность характеризуется следующим образом: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1. По способности слова присоединяться к господствующему слову или присоединять зависимый элемент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валентность определяется соответственно как пассивная или активная.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2. По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облигаторности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 xml:space="preserve"> валентности различаются обязательная и факультативная (соотносительно с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силь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>-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2A74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 xml:space="preserve"> и слабым управлением) валентность.</w:t>
      </w:r>
      <w:proofErr w:type="gramEnd"/>
      <w:r w:rsidRPr="00482A74">
        <w:rPr>
          <w:rFonts w:ascii="Times New Roman" w:hAnsi="Times New Roman" w:cs="Times New Roman"/>
          <w:sz w:val="28"/>
          <w:szCs w:val="28"/>
        </w:rPr>
        <w:t xml:space="preserve"> Слово открывает в предложении ряд позиций, из которых одни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заполняются обязательно, а другие ̶ нет. К примеру: В этом университете я работаю преподавателем, ̶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глагол в данном случае обладает облигаторной и факультативной валентностью. То есть “преподавателем” ̶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обязательная, а “в университете” ̶ факультативная валентность.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A74">
        <w:rPr>
          <w:rFonts w:ascii="Times New Roman" w:hAnsi="Times New Roman" w:cs="Times New Roman"/>
          <w:sz w:val="28"/>
          <w:szCs w:val="28"/>
        </w:rPr>
        <w:t>Добавим, что обязательной валентностью обладают глаголы неполной предикации (иметь, ставить, давать,</w:t>
      </w:r>
      <w:proofErr w:type="gramEnd"/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A74">
        <w:rPr>
          <w:rFonts w:ascii="Times New Roman" w:hAnsi="Times New Roman" w:cs="Times New Roman"/>
          <w:sz w:val="28"/>
          <w:szCs w:val="28"/>
        </w:rPr>
        <w:t>делать, держать, находиться и т.д.) и их узкие синонимы (представить, оказать, осуществить и др.).</w:t>
      </w:r>
      <w:proofErr w:type="gramEnd"/>
      <w:r w:rsidRPr="00482A74">
        <w:rPr>
          <w:rFonts w:ascii="Times New Roman" w:hAnsi="Times New Roman" w:cs="Times New Roman"/>
          <w:sz w:val="28"/>
          <w:szCs w:val="28"/>
        </w:rPr>
        <w:t xml:space="preserve"> Среди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существительных обязательную валентность имеют имена действия (приезд отца), качества (красота пейзажа),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A74">
        <w:rPr>
          <w:rFonts w:ascii="Times New Roman" w:hAnsi="Times New Roman" w:cs="Times New Roman"/>
          <w:sz w:val="28"/>
          <w:szCs w:val="28"/>
        </w:rPr>
        <w:t>относительные (отец Марии), категориальные (тип, пример, результат), параметрические (происхождение</w:t>
      </w:r>
      <w:proofErr w:type="gramEnd"/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языка, высота дома, цвет платья) [5].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3. Валентность имеет число, например, одно-, двух-, трех-, поливалентные глаголы.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82A74">
        <w:rPr>
          <w:rFonts w:ascii="Times New Roman" w:hAnsi="Times New Roman" w:cs="Times New Roman"/>
          <w:sz w:val="28"/>
          <w:szCs w:val="28"/>
        </w:rPr>
        <w:t>По синтаксической функции дополняющего члена различаются субъектная (Я работаю.), объектная (Он</w:t>
      </w:r>
      <w:proofErr w:type="gramEnd"/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№ 5 (114) 2016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125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читал журнал), обстоятельственная (Я работаю в университете) и предикативная (Он будет преподавателем)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валентности.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Литература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1 БЭС. Языкознание. - М.: БРЭ, 1998. - С.79.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2 Б.А Абрамов. Синтаксические потенции глагола, НДВШ. ФН. 1966. - №3.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3 М.Д.Степанова,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Г.Хельбиг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>. Части речи и проблема валентности в современном немецком языке. - М., 1978.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4 W.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Busse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Klasse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Transitivitat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Valenz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Munch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>, 1974.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С.Д.Кацнельсон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>. О грамматической категории. “Вестник ЛГУ”, 1948. - №2.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А.А.Потебня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>. Из записок по русской грамматике, т. 4. - М.. 1977.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7 В.В.Виноградов. Русский язык. Грамматическое учение о слове. - М., 1972. - 2 изд.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С.Д.Кацнельсон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>. Типология языка и речевое мышление. - Л., 1972.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Б.Ю.Норман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>. Переходность, залог, возвратность. - Минск, 1972.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>10 А.В.Бондарко. Теория морфологических категорий - Л., 1976.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11 Ю.С.Степанов. Вид, залог, переходность. - М.: Известия АН CCCP, 1977, сер.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ЛиЯ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>, т. 36, №2.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Теньер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 xml:space="preserve"> Л. Основы структурного синтаксиса. - М. Прогресс, 1988. - 250 </w:t>
      </w:r>
      <w:proofErr w:type="gramStart"/>
      <w:r w:rsidRPr="00482A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82A74">
        <w:rPr>
          <w:rFonts w:ascii="Times New Roman" w:hAnsi="Times New Roman" w:cs="Times New Roman"/>
          <w:sz w:val="28"/>
          <w:szCs w:val="28"/>
        </w:rPr>
        <w:t>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74">
        <w:rPr>
          <w:rFonts w:ascii="Times New Roman" w:hAnsi="Times New Roman" w:cs="Times New Roman"/>
          <w:sz w:val="28"/>
          <w:szCs w:val="28"/>
        </w:rPr>
        <w:t xml:space="preserve">13 Нуршаихова, Ж. Структурный синтаксис: взгляд из прагматики: монография / Ж.А. Нуршаихова. –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Munich</w:t>
      </w:r>
      <w:proofErr w:type="spellEnd"/>
      <w:r w:rsidRPr="00482A7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Lambert</w:t>
      </w:r>
      <w:proofErr w:type="spellEnd"/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2A74">
        <w:rPr>
          <w:rFonts w:ascii="Times New Roman" w:hAnsi="Times New Roman" w:cs="Times New Roman"/>
          <w:sz w:val="28"/>
          <w:szCs w:val="28"/>
          <w:lang w:val="en-US"/>
        </w:rPr>
        <w:t>Academic Publishing – 2013.</w:t>
      </w:r>
      <w:proofErr w:type="gram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– 276 </w:t>
      </w:r>
      <w:r w:rsidRPr="00482A74">
        <w:rPr>
          <w:rFonts w:ascii="Times New Roman" w:hAnsi="Times New Roman" w:cs="Times New Roman"/>
          <w:sz w:val="28"/>
          <w:szCs w:val="28"/>
        </w:rPr>
        <w:t>с</w:t>
      </w:r>
      <w:r w:rsidRPr="00482A74">
        <w:rPr>
          <w:rFonts w:ascii="Times New Roman" w:hAnsi="Times New Roman" w:cs="Times New Roman"/>
          <w:sz w:val="28"/>
          <w:szCs w:val="28"/>
          <w:lang w:val="en-US"/>
        </w:rPr>
        <w:t>. – (ISBN 978-3-659-47853-6).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Referenses</w:t>
      </w:r>
      <w:proofErr w:type="spellEnd"/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2A74">
        <w:rPr>
          <w:rFonts w:ascii="Times New Roman" w:hAnsi="Times New Roman" w:cs="Times New Roman"/>
          <w:sz w:val="28"/>
          <w:szCs w:val="28"/>
          <w:lang w:val="en-US"/>
        </w:rPr>
        <w:t>1 BES.</w:t>
      </w:r>
      <w:proofErr w:type="gram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82A74">
        <w:rPr>
          <w:rFonts w:ascii="Times New Roman" w:hAnsi="Times New Roman" w:cs="Times New Roman"/>
          <w:sz w:val="28"/>
          <w:szCs w:val="28"/>
          <w:lang w:val="en-US"/>
        </w:rPr>
        <w:t>Yazyikoznanie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- M.: BRE, 1998. - S.79.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2 B.A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Abramov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82A74">
        <w:rPr>
          <w:rFonts w:ascii="Times New Roman" w:hAnsi="Times New Roman" w:cs="Times New Roman"/>
          <w:sz w:val="28"/>
          <w:szCs w:val="28"/>
          <w:lang w:val="en-US"/>
        </w:rPr>
        <w:t>Sintaksicheskie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potentsii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glagola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NDVSh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>. FN. 1966.</w:t>
      </w:r>
      <w:proofErr w:type="gram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82A74">
        <w:rPr>
          <w:rFonts w:ascii="Times New Roman" w:hAnsi="Times New Roman" w:cs="Times New Roman"/>
          <w:sz w:val="28"/>
          <w:szCs w:val="28"/>
          <w:lang w:val="en-US"/>
        </w:rPr>
        <w:t>- №3.</w:t>
      </w:r>
      <w:proofErr w:type="gramEnd"/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M.D.Stepanova</w:t>
      </w:r>
      <w:proofErr w:type="spellEnd"/>
      <w:proofErr w:type="gram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G.Helbig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482A74">
        <w:rPr>
          <w:rFonts w:ascii="Times New Roman" w:hAnsi="Times New Roman" w:cs="Times New Roman"/>
          <w:sz w:val="28"/>
          <w:szCs w:val="28"/>
          <w:lang w:val="en-US"/>
        </w:rPr>
        <w:t>Chasti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rechi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problema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valentnosti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sovremennom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nemetskom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yazyike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– M., 1978.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4 W.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Busse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Klasse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Transitivitat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Valenz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>. - Munch, 1974.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S.D.Katsnelson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grammaticheskoy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kategorii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>. “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Vestnik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LGU”, 1948, №2.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6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A.A.Potebnya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82A74">
        <w:rPr>
          <w:rFonts w:ascii="Times New Roman" w:hAnsi="Times New Roman" w:cs="Times New Roman"/>
          <w:sz w:val="28"/>
          <w:szCs w:val="28"/>
          <w:lang w:val="en-US"/>
        </w:rPr>
        <w:t>Iz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zapisok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russkoy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grammatike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>, t. 4.</w:t>
      </w:r>
      <w:proofErr w:type="gram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82A74">
        <w:rPr>
          <w:rFonts w:ascii="Times New Roman" w:hAnsi="Times New Roman" w:cs="Times New Roman"/>
          <w:sz w:val="28"/>
          <w:szCs w:val="28"/>
          <w:lang w:val="en-US"/>
        </w:rPr>
        <w:t>M..</w:t>
      </w:r>
      <w:proofErr w:type="gram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1977.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7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V.V.Vinogradov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82A74">
        <w:rPr>
          <w:rFonts w:ascii="Times New Roman" w:hAnsi="Times New Roman" w:cs="Times New Roman"/>
          <w:sz w:val="28"/>
          <w:szCs w:val="28"/>
          <w:lang w:val="en-US"/>
        </w:rPr>
        <w:t>Russkiy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yazyik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82A74">
        <w:rPr>
          <w:rFonts w:ascii="Times New Roman" w:hAnsi="Times New Roman" w:cs="Times New Roman"/>
          <w:sz w:val="28"/>
          <w:szCs w:val="28"/>
          <w:lang w:val="en-US"/>
        </w:rPr>
        <w:t>Grammaticheskoe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uchenie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slove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- M., 1972. - 2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izd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S.D.Katsnelson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82A74">
        <w:rPr>
          <w:rFonts w:ascii="Times New Roman" w:hAnsi="Times New Roman" w:cs="Times New Roman"/>
          <w:sz w:val="28"/>
          <w:szCs w:val="28"/>
          <w:lang w:val="en-US"/>
        </w:rPr>
        <w:t>Tipologiya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yazyika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rechevoe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myishlenie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- L., 1972.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9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B.Yu.Norman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82A74">
        <w:rPr>
          <w:rFonts w:ascii="Times New Roman" w:hAnsi="Times New Roman" w:cs="Times New Roman"/>
          <w:sz w:val="28"/>
          <w:szCs w:val="28"/>
          <w:lang w:val="en-US"/>
        </w:rPr>
        <w:t>Perehodnost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zalog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vozvratnost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- Minsk, 1972.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10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A.V.Bondarko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82A74">
        <w:rPr>
          <w:rFonts w:ascii="Times New Roman" w:hAnsi="Times New Roman" w:cs="Times New Roman"/>
          <w:sz w:val="28"/>
          <w:szCs w:val="28"/>
          <w:lang w:val="en-US"/>
        </w:rPr>
        <w:t>Teoriya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morfologicheskih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kategoriy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- L., 1976.</w:t>
      </w:r>
      <w:proofErr w:type="gramEnd"/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11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Yu.S.Stepanov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82A74">
        <w:rPr>
          <w:rFonts w:ascii="Times New Roman" w:hAnsi="Times New Roman" w:cs="Times New Roman"/>
          <w:sz w:val="28"/>
          <w:szCs w:val="28"/>
          <w:lang w:val="en-US"/>
        </w:rPr>
        <w:t>Vid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zalog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perehodnost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- M.: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Izvestiya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82A74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CCCP, 1977, ser.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LiYa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>, t. 36, №2.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12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Tenyer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L.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Osnovyi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strukturnogo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sintaksisa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- M. Progress, 1988. - 250 s.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13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Nurshaikhova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Zh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Strukturnyj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sintaksis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vzgljad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iz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pragmatiki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monografija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Zh.A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482A74">
        <w:rPr>
          <w:rFonts w:ascii="Times New Roman" w:hAnsi="Times New Roman" w:cs="Times New Roman"/>
          <w:sz w:val="28"/>
          <w:szCs w:val="28"/>
          <w:lang w:val="en-US"/>
        </w:rPr>
        <w:t>Nurshaihova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– Munich: Lambert Academic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2A74">
        <w:rPr>
          <w:rFonts w:ascii="Times New Roman" w:hAnsi="Times New Roman" w:cs="Times New Roman"/>
          <w:sz w:val="28"/>
          <w:szCs w:val="28"/>
          <w:lang w:val="en-US"/>
        </w:rPr>
        <w:t>Publishing – 2013.</w:t>
      </w:r>
      <w:proofErr w:type="gram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– 276 s. – (ISBN 978-3-659-47853-6).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2A74">
        <w:rPr>
          <w:rFonts w:ascii="Times New Roman" w:hAnsi="Times New Roman" w:cs="Times New Roman"/>
          <w:sz w:val="28"/>
          <w:szCs w:val="28"/>
        </w:rPr>
        <w:t>Нұршайықова</w:t>
      </w:r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2A74">
        <w:rPr>
          <w:rFonts w:ascii="Times New Roman" w:hAnsi="Times New Roman" w:cs="Times New Roman"/>
          <w:sz w:val="28"/>
          <w:szCs w:val="28"/>
        </w:rPr>
        <w:t>Ж</w:t>
      </w:r>
      <w:r w:rsidRPr="00482A7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82A74">
        <w:rPr>
          <w:rFonts w:ascii="Times New Roman" w:hAnsi="Times New Roman" w:cs="Times New Roman"/>
          <w:sz w:val="28"/>
          <w:szCs w:val="28"/>
        </w:rPr>
        <w:t>Ә</w:t>
      </w:r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Машинбаева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2A74">
        <w:rPr>
          <w:rFonts w:ascii="Times New Roman" w:hAnsi="Times New Roman" w:cs="Times New Roman"/>
          <w:sz w:val="28"/>
          <w:szCs w:val="28"/>
        </w:rPr>
        <w:t>Г</w:t>
      </w:r>
      <w:r w:rsidRPr="00482A7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82A74">
        <w:rPr>
          <w:rFonts w:ascii="Times New Roman" w:hAnsi="Times New Roman" w:cs="Times New Roman"/>
          <w:sz w:val="28"/>
          <w:szCs w:val="28"/>
        </w:rPr>
        <w:t>Ә</w:t>
      </w:r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82A74">
        <w:rPr>
          <w:rFonts w:ascii="Times New Roman" w:hAnsi="Times New Roman" w:cs="Times New Roman"/>
          <w:sz w:val="28"/>
          <w:szCs w:val="28"/>
        </w:rPr>
        <w:t>Лингвистикалық</w:t>
      </w:r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валенттілік</w:t>
      </w:r>
      <w:proofErr w:type="spellEnd"/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Аннотацияланып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2A74">
        <w:rPr>
          <w:rFonts w:ascii="Times New Roman" w:hAnsi="Times New Roman" w:cs="Times New Roman"/>
          <w:sz w:val="28"/>
          <w:szCs w:val="28"/>
        </w:rPr>
        <w:t>отырған</w:t>
      </w:r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2A74">
        <w:rPr>
          <w:rFonts w:ascii="Times New Roman" w:hAnsi="Times New Roman" w:cs="Times New Roman"/>
          <w:sz w:val="28"/>
          <w:szCs w:val="28"/>
        </w:rPr>
        <w:t>мақалада</w:t>
      </w:r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тілдегі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валенттілік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482A74">
        <w:rPr>
          <w:rFonts w:ascii="Times New Roman" w:hAnsi="Times New Roman" w:cs="Times New Roman"/>
          <w:sz w:val="28"/>
          <w:szCs w:val="28"/>
        </w:rPr>
        <w:t>ұғымы</w:t>
      </w:r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1) </w:t>
      </w:r>
      <w:r w:rsidRPr="00482A74">
        <w:rPr>
          <w:rFonts w:ascii="Times New Roman" w:hAnsi="Times New Roman" w:cs="Times New Roman"/>
          <w:sz w:val="28"/>
          <w:szCs w:val="28"/>
        </w:rPr>
        <w:t>қабілеттілігі</w:t>
      </w:r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2A74">
        <w:rPr>
          <w:rFonts w:ascii="Times New Roman" w:hAnsi="Times New Roman" w:cs="Times New Roman"/>
          <w:sz w:val="28"/>
          <w:szCs w:val="28"/>
        </w:rPr>
        <w:t>сөздер</w:t>
      </w:r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2A74">
        <w:rPr>
          <w:rFonts w:ascii="Times New Roman" w:hAnsi="Times New Roman" w:cs="Times New Roman"/>
          <w:sz w:val="28"/>
          <w:szCs w:val="28"/>
        </w:rPr>
        <w:t>сөзбен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2A74">
        <w:rPr>
          <w:rFonts w:ascii="Times New Roman" w:hAnsi="Times New Roman" w:cs="Times New Roman"/>
          <w:sz w:val="28"/>
          <w:szCs w:val="28"/>
        </w:rPr>
        <w:t>тіркесе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2A74">
        <w:rPr>
          <w:rFonts w:ascii="Times New Roman" w:hAnsi="Times New Roman" w:cs="Times New Roman"/>
          <w:sz w:val="28"/>
          <w:szCs w:val="28"/>
        </w:rPr>
        <w:t>өзіне</w:t>
      </w:r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2A74">
        <w:rPr>
          <w:rFonts w:ascii="Times New Roman" w:hAnsi="Times New Roman" w:cs="Times New Roman"/>
          <w:sz w:val="28"/>
          <w:szCs w:val="28"/>
        </w:rPr>
        <w:t>тәуелді</w:t>
      </w:r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элементті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тіркестіре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; 2) </w:t>
      </w:r>
      <w:r w:rsidRPr="00482A74">
        <w:rPr>
          <w:rFonts w:ascii="Times New Roman" w:hAnsi="Times New Roman" w:cs="Times New Roman"/>
          <w:sz w:val="28"/>
          <w:szCs w:val="28"/>
        </w:rPr>
        <w:t>облигаторлығы</w:t>
      </w:r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2A74">
        <w:rPr>
          <w:rFonts w:ascii="Times New Roman" w:hAnsi="Times New Roman" w:cs="Times New Roman"/>
          <w:sz w:val="28"/>
          <w:szCs w:val="28"/>
        </w:rPr>
        <w:t>және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2A74">
        <w:rPr>
          <w:rFonts w:ascii="Times New Roman" w:hAnsi="Times New Roman" w:cs="Times New Roman"/>
          <w:sz w:val="28"/>
          <w:szCs w:val="28"/>
        </w:rPr>
        <w:t>факультативті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валенттілік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ажыратылады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; 3) </w:t>
      </w:r>
      <w:r w:rsidRPr="00482A74">
        <w:rPr>
          <w:rFonts w:ascii="Times New Roman" w:hAnsi="Times New Roman" w:cs="Times New Roman"/>
          <w:sz w:val="28"/>
          <w:szCs w:val="28"/>
        </w:rPr>
        <w:t>саны</w:t>
      </w:r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482A7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82A74">
        <w:rPr>
          <w:rFonts w:ascii="Times New Roman" w:hAnsi="Times New Roman" w:cs="Times New Roman"/>
          <w:sz w:val="28"/>
          <w:szCs w:val="28"/>
        </w:rPr>
        <w:t>үш</w:t>
      </w:r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82A74">
        <w:rPr>
          <w:rFonts w:ascii="Times New Roman" w:hAnsi="Times New Roman" w:cs="Times New Roman"/>
          <w:sz w:val="28"/>
          <w:szCs w:val="28"/>
        </w:rPr>
        <w:t>көпвалентті</w:t>
      </w:r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етістік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; 4)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сондай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2A74">
        <w:rPr>
          <w:rFonts w:ascii="Times New Roman" w:hAnsi="Times New Roman" w:cs="Times New Roman"/>
          <w:sz w:val="28"/>
          <w:szCs w:val="28"/>
        </w:rPr>
        <w:t>ақ</w:t>
      </w:r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2A74">
        <w:rPr>
          <w:rFonts w:ascii="Times New Roman" w:hAnsi="Times New Roman" w:cs="Times New Roman"/>
          <w:sz w:val="28"/>
          <w:szCs w:val="28"/>
        </w:rPr>
        <w:t>толықтырушы</w:t>
      </w:r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2A74">
        <w:rPr>
          <w:rFonts w:ascii="Times New Roman" w:hAnsi="Times New Roman" w:cs="Times New Roman"/>
          <w:sz w:val="28"/>
          <w:szCs w:val="28"/>
        </w:rPr>
        <w:t>компоненттің</w:t>
      </w:r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синтаксистік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2A74">
        <w:rPr>
          <w:rFonts w:ascii="Times New Roman" w:hAnsi="Times New Roman" w:cs="Times New Roman"/>
          <w:sz w:val="28"/>
          <w:szCs w:val="28"/>
        </w:rPr>
        <w:t>қызметі</w:t>
      </w:r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2A74">
        <w:rPr>
          <w:rFonts w:ascii="Times New Roman" w:hAnsi="Times New Roman" w:cs="Times New Roman"/>
          <w:sz w:val="28"/>
          <w:szCs w:val="28"/>
        </w:rPr>
        <w:t>қарастырылады</w:t>
      </w:r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82A74">
        <w:rPr>
          <w:rFonts w:ascii="Times New Roman" w:hAnsi="Times New Roman" w:cs="Times New Roman"/>
          <w:sz w:val="28"/>
          <w:szCs w:val="28"/>
        </w:rPr>
        <w:t>Автор</w:t>
      </w:r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модельдерде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2A74">
        <w:rPr>
          <w:rFonts w:ascii="Times New Roman" w:hAnsi="Times New Roman" w:cs="Times New Roman"/>
          <w:sz w:val="28"/>
          <w:szCs w:val="28"/>
        </w:rPr>
        <w:t>валенттіліктің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2A74">
        <w:rPr>
          <w:rFonts w:ascii="Times New Roman" w:hAnsi="Times New Roman" w:cs="Times New Roman"/>
          <w:sz w:val="28"/>
          <w:szCs w:val="28"/>
        </w:rPr>
        <w:t>түрлі</w:t>
      </w:r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варианттарын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2A74">
        <w:rPr>
          <w:rFonts w:ascii="Times New Roman" w:hAnsi="Times New Roman" w:cs="Times New Roman"/>
          <w:sz w:val="28"/>
          <w:szCs w:val="28"/>
        </w:rPr>
        <w:t>және</w:t>
      </w:r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вертуалды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2A74">
        <w:rPr>
          <w:rFonts w:ascii="Times New Roman" w:hAnsi="Times New Roman" w:cs="Times New Roman"/>
          <w:sz w:val="28"/>
          <w:szCs w:val="28"/>
        </w:rPr>
        <w:t>түрде</w:t>
      </w:r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2A74">
        <w:rPr>
          <w:rFonts w:ascii="Times New Roman" w:hAnsi="Times New Roman" w:cs="Times New Roman"/>
          <w:sz w:val="28"/>
          <w:szCs w:val="28"/>
        </w:rPr>
        <w:t>көрсетудің</w:t>
      </w:r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жолдарын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2A74">
        <w:rPr>
          <w:rFonts w:ascii="Times New Roman" w:hAnsi="Times New Roman" w:cs="Times New Roman"/>
          <w:sz w:val="28"/>
          <w:szCs w:val="28"/>
        </w:rPr>
        <w:t>ұсынады</w:t>
      </w:r>
      <w:r w:rsidRPr="00482A7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2A74">
        <w:rPr>
          <w:rFonts w:ascii="Times New Roman" w:hAnsi="Times New Roman" w:cs="Times New Roman"/>
          <w:sz w:val="28"/>
          <w:szCs w:val="28"/>
        </w:rPr>
        <w:t>Түйін</w:t>
      </w:r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2A74">
        <w:rPr>
          <w:rFonts w:ascii="Times New Roman" w:hAnsi="Times New Roman" w:cs="Times New Roman"/>
          <w:sz w:val="28"/>
          <w:szCs w:val="28"/>
        </w:rPr>
        <w:t>сөздер</w:t>
      </w:r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82A74">
        <w:rPr>
          <w:rFonts w:ascii="Times New Roman" w:hAnsi="Times New Roman" w:cs="Times New Roman"/>
          <w:sz w:val="28"/>
          <w:szCs w:val="28"/>
        </w:rPr>
        <w:t>лингвистикалық</w:t>
      </w:r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валенттілік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82A74">
        <w:rPr>
          <w:rFonts w:ascii="Times New Roman" w:hAnsi="Times New Roman" w:cs="Times New Roman"/>
          <w:sz w:val="28"/>
          <w:szCs w:val="28"/>
        </w:rPr>
        <w:t>вербоцентрикалық</w:t>
      </w:r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2A74">
        <w:rPr>
          <w:rFonts w:ascii="Times New Roman" w:hAnsi="Times New Roman" w:cs="Times New Roman"/>
          <w:sz w:val="28"/>
          <w:szCs w:val="28"/>
        </w:rPr>
        <w:t>жүйе</w:t>
      </w:r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актанттар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сирконстанттар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82A74">
        <w:rPr>
          <w:rFonts w:ascii="Times New Roman" w:hAnsi="Times New Roman" w:cs="Times New Roman"/>
          <w:sz w:val="28"/>
          <w:szCs w:val="28"/>
        </w:rPr>
        <w:t>виртуалды</w:t>
      </w:r>
      <w:proofErr w:type="spellEnd"/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2A74">
        <w:rPr>
          <w:rFonts w:ascii="Times New Roman" w:hAnsi="Times New Roman" w:cs="Times New Roman"/>
          <w:sz w:val="28"/>
          <w:szCs w:val="28"/>
        </w:rPr>
        <w:t>стемма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Nurshaikhova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Zh.A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Mashinbayeva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G.A. Linguistic valence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2A74">
        <w:rPr>
          <w:rFonts w:ascii="Times New Roman" w:hAnsi="Times New Roman" w:cs="Times New Roman"/>
          <w:sz w:val="28"/>
          <w:szCs w:val="28"/>
          <w:lang w:val="en-US"/>
        </w:rPr>
        <w:t>In the annotated article the author reveals the concept of “valence in language”, which is characterized by: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482A74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ability of a word to join the dominant word or add a dependent element; 2) obligatory, with the distinction of mandatory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2A74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optional valence; 3) the number: single, double, triple and multi-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valent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verbs; 4) syntactic function of the supplementing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2A74">
        <w:rPr>
          <w:rFonts w:ascii="Times New Roman" w:hAnsi="Times New Roman" w:cs="Times New Roman"/>
          <w:sz w:val="28"/>
          <w:szCs w:val="28"/>
          <w:lang w:val="en-US"/>
        </w:rPr>
        <w:t>component</w:t>
      </w:r>
      <w:proofErr w:type="gramEnd"/>
      <w:r w:rsidRPr="00482A7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82A74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2A74">
        <w:rPr>
          <w:rFonts w:ascii="Times New Roman" w:hAnsi="Times New Roman" w:cs="Times New Roman"/>
          <w:sz w:val="28"/>
          <w:szCs w:val="28"/>
          <w:lang w:val="en-US"/>
        </w:rPr>
        <w:t>In the models presented by the author clearly demonstrated different options of valence and methods for their virtual imaging.</w:t>
      </w:r>
    </w:p>
    <w:p w:rsidR="000562A2" w:rsidRPr="00482A74" w:rsidRDefault="00482A74" w:rsidP="005B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Keywords: linguistic valence,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verbocentric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 system,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actants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82A74">
        <w:rPr>
          <w:rFonts w:ascii="Times New Roman" w:hAnsi="Times New Roman" w:cs="Times New Roman"/>
          <w:sz w:val="28"/>
          <w:szCs w:val="28"/>
          <w:lang w:val="en-US"/>
        </w:rPr>
        <w:t>syrconstants</w:t>
      </w:r>
      <w:proofErr w:type="spellEnd"/>
      <w:r w:rsidRPr="00482A74">
        <w:rPr>
          <w:rFonts w:ascii="Times New Roman" w:hAnsi="Times New Roman" w:cs="Times New Roman"/>
          <w:sz w:val="28"/>
          <w:szCs w:val="28"/>
          <w:lang w:val="en-US"/>
        </w:rPr>
        <w:t>, virtual stemma.</w:t>
      </w:r>
    </w:p>
    <w:sectPr w:rsidR="000562A2" w:rsidRPr="00482A74" w:rsidSect="0005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2A74"/>
    <w:rsid w:val="000562A2"/>
    <w:rsid w:val="00482A74"/>
    <w:rsid w:val="005B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3359</Words>
  <Characters>19147</Characters>
  <Application>Microsoft Office Word</Application>
  <DocSecurity>0</DocSecurity>
  <Lines>159</Lines>
  <Paragraphs>44</Paragraphs>
  <ScaleCrop>false</ScaleCrop>
  <Company>Reanimator Extreme Edition</Company>
  <LinksUpToDate>false</LinksUpToDate>
  <CharactersWithSpaces>22462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</dc:creator>
  <cp:keywords/>
  <dc:description/>
  <cp:lastModifiedBy>Мухтар</cp:lastModifiedBy>
  <cp:revision>3</cp:revision>
  <dcterms:created xsi:type="dcterms:W3CDTF">2017-05-12T15:29:00Z</dcterms:created>
  <dcterms:modified xsi:type="dcterms:W3CDTF">2017-05-12T15:30:00Z</dcterms:modified>
</cp:coreProperties>
</file>