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4" w:rsidRPr="00482A74" w:rsidRDefault="00482A74" w:rsidP="005B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Ж.А. НУРШАИХОВА, Г.А. МАШИНБАЕВА</w:t>
      </w:r>
    </w:p>
    <w:p w:rsidR="00482A74" w:rsidRPr="00482A74" w:rsidRDefault="00482A74" w:rsidP="005B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д.ф.н. профессор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: zhanara26n@mail.ru1,</w:t>
      </w:r>
    </w:p>
    <w:p w:rsidR="00482A74" w:rsidRPr="00482A74" w:rsidRDefault="00482A74" w:rsidP="005B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к.ф.н. доцент Казахский национальный университет им. аль-Фараби2, г.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Казахстан</w:t>
      </w:r>
    </w:p>
    <w:p w:rsidR="00482A74" w:rsidRDefault="00482A74" w:rsidP="005B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ЛИНГВИСТИЧЕСКАЯ ВАЛЕНТНОСТЬ</w:t>
      </w:r>
    </w:p>
    <w:p w:rsidR="005B7B77" w:rsidRPr="00482A74" w:rsidRDefault="005B7B77" w:rsidP="005B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аннотируемой статье автор раскрывает понятие «валентности в языке», которая характеризуется 1)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по способности слова присоединяться к господствующему слову или присоединять зависимый элемент; 2)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облигаторности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с различением обязательной и факультативной валентности; 3) по числу: одно-, двух-, трех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-,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поливалентные глаголы; 4) по синтаксической функции дополняющего компонента. В представленных автором моделях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наглядно продемонстрированы разные варианты валентности и способы их виртуального изображения.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Ключевые слова: лингвистическая валентность,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вербоцентрическая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система, актанты,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сирконстанты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Термин валентность (от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лат.valentia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- сила) в настоящее время используется как способность слова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вступать в синтаксические связи с другими элементами [1-4].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Понятие было впервые введено в лингвистику С.Д.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Кацнельсоном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[5].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же ввел термин валентность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для обозначения сочетаемости слов в предложении, относил его только к глаголу (в полном соответствии с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</w:rPr>
        <w:t>вербоцентризмом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его теории) и определял его как число актантов, которые может присоединять глагол.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Подобно тому, как существуют различные типы актантов (под актантами мы понимаем член предложения,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кроме субъекта, обозначающий лицо, предмет, участвующий в процессе, обозначенном глаголом): второй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актант, третий актант, ... шестой актант, так и свойства глаголов, управляющих этими актантами, различаются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зависимости от того, управляют ли они одним, или несколькими актантами.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Мы представляем себе глагол в виде рисунка: солнце с лучами, где прямыми лучами показана связь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актантами, а пунктирными - связь с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сирконстантами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Таким образом, к глаголу может присоединяться столько актантов, сколько существует падежей. Число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таких лучей, имеющихся у глагола, и, следовательно, число актантов, которыми он способен управлять, 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составляет сущность того, что называется валентностью глагола.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Не всегда модель может быть заполнена полностью: это зависит не только от того, сколько актантов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lastRenderedPageBreak/>
        <w:t>практически существует при глаголе, но и от желания говорящего использовать то или иное число актантов,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то есть зависит от желания частично или полностью выразить мысль. В таком случае некоторые валентности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могут оказаться свободными. Например, глагол работать: Я работаю в университете. Я работаю в университете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преподавателем. Я работаю над диссертацией. Я работаю в группе со студентами над новой лексикой. Я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много) работаю.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Сам по себе глагол работать является многовалентным, то есть могущим иметь при себе некоторое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количество актантов, которыми он управляет (кроме того не следует забывать о субъектной валентности,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присутствующей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в двусоставных предложениях).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первом предложении обозначен один актант ̶ О6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Я работаю в университете; во втором ̶ 2 актанта ̶ 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и О5: Я работаю в университете преподавателем. В третьем предложении использован тот же актант (О5), что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и во втором, но в другом значении: Я работаю над диссертацией. Четвертое предложение наиболее полное ̶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при глаголе находится 3 актанта: Я работаю в группе со студентами над новой лексикой, где также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повторя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актант О5. В последнем предложении ̶ ни одного актанта: Я работаю. Но мы не можем назвать глагол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работать в данном предложении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авалентным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только потому, что в нем отсутствуют актанты. Это как раз тот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самый случай, который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называет свободной валентностью.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Чтобы продемонстрировать наглядно последнюю мысль, мы используем для этого следующие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стеммы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№ 5 (114) 2016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121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стемме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2 мы видим глагол с полной валентной нагрузкой, а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стемме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3 валентности оказались свободными.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Тем не менее, мы не сомневаемся в многовалентности глагола работать.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терминосистему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Терьера,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авалентными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мы определяем глаголы, не могущие иметь актантов,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безвалентные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глаголы, то есть глаголы, лишенные всякой валентности, известные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традиционной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грамматике под названием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безличных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. Отсутствие актантов у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безвалентных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глаголов легко объяснимо, если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учесть, что они обозначают события, которые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происходят без участия каких бы то ни было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актантов: Светало.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Темнеет. Дождит.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Одновалентными глаголами в традиционной грамматике называются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непереходные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(интранзитивные)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глаголы, то есть глаголы, обозначающие замкнутость действия в сфере субъекта. Ребенок спит. Ребенок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падает. Ребенок лежит. Ребенок грустит. Нельзя вообразить себе, что каждый из этих процессов затрагивает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еще одно какое-либо слово, кроме ребенка. Невозможно спать, падать, лежать, грустить кого-либо или что-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либо [6-11].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в таких случаях называет субъект первым актантом, мы, опираясь на позиции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равенства субъекта и предиката, не считаем субъект актантом. Называя непереходные глаголы одновалентными,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мы исходим не из рассуждений, что субъект ̶ есть первый актант, а из синтаксической функциональности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дополняющего члена, роль которого в данном случае играет субъект, и из этих соображений оделяем глагол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субъектной валентностью. Мы не забываем, что субъект и предикат, называемые нами независимыми члена-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ми предложения, в то же время синтаксически контролируют друг друга в предложении. Однако мы не мо-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называть предложения с непереходными глаголами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авалентными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только потому, что не считаем субъект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актантом.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Таким образом, кроме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авалентных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существуют одновалентные (непереходные), дву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(переходные) 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трехвалентные (многовалентные) глаголы. В этой трактовке понятие валентности сопоставимо с понятием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из логики предикатов об одно-, двух-, трехместных предикатах и связано с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вербоцентрической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теорией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предложения [1-4].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 классу двухвалентных глаголов в традиционной грамматике относятся переходные глаголы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(транзитивные), и в таком предложении, как Преподаватель начинает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прослеживается транзитивность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действия от преподавателя на урок, то есть глагол управляет прямым дополнением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Двухвалентные глаголы, обладая, с одной стороны, субъектной валентностью, с другой стороны,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демонстрируют наличие функционального обязательного прямого дополнения, то есть имеют направленность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субъекта на объект, в отличие от интранзитивных глаголов, обозначающих замкнутость действия в ареале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субъекта.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Преподаватель начинает урок.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Преподаватель стоит.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первом предложении наблюдается двухвалентный глагол, показывающий переход действия от субъекта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Преподаватель к объекту урок. Во втором предложении мы имеем одновалентный глагол стоять, который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может обладать обстоятельственной валентностью, но может обойтись без нее, но ни в коем случае не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транспонироваться в прямой объект.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Здесь хотелось бы отметить, что называя глагол двухвалентным, мы имеем в виду, что глагол имеет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субъектную валентность и управляет прямым дополнением, и в русском языке ̶ это не 2-ой актант, а четвертый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Винительный падеж, то есть 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. Значит, двухвалентный глагол имеет следующую виртуальную модель: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Если одновалентные глаголы, имеющие контакт только с субъектом, не используются в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отличным от русского языка способом, то, сравнивая их с одновалентными глаголами родного языка,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Л.Н. Гумилев атындағы ЕҰУ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Хабаршысы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122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изучающий русский язык будет использовать их в основном правильно.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Двухвалентные глаголы могут употребляться в родном языке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не так, как в русском, поскольку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они связаны в предложении с двумя словами, которые могут меняться местами при переводе. Поэтому 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количество ошибок в употреблении двухвалентных глаголов увеличивается.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То же можно сказать и о трехвалентных глаголах, добавив, что комбинации в использовании актантов 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субъектной валентности увеличиваются, соответственно увеличивая и количество разнообразных ошибок.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Отсюда становится понятным, насколько важно при прагматическом подходе к трехвалентным глаголам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усилить изучение этого рода глаголов.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Традиционная грамматика относит к трехвалентным глаголам глаголы речи и “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давания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”. В предложении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Халимуша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дает игрушку бабушке глагол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обладает субъектной валентностью: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Халимуша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имеет при себе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прямой актант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 ̶ игрушку, и третий актант (О3) ̶ бабушке, то есть является трехвалентным глаголом. Что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демонстрируется следующей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стеммой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Кроме того отметим следующее, называя глагол трехвалентным, мы имеем в виду, что глагол имеет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субъектную валентность и управляет прямым дополнением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) и 3-им актантом (О3). Таким образом,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трехва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лентный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глагол имеет следующую виртуальную модель, общую для всех трехвалентных глаголов [13]: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В предложении Я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говорила это внучке используется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глагол речи, который может продемонстрировать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свою трехвалентную структуру той же моделью: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Трехвалентные глаголы именуются также как и двухвалентные переходными глаголами, однако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обнаруживают ряд особенностей, которые обусловлены именно их трехвалентным характером. В связи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этим хотелось бы заострить внимание на различиях в их использовании в плане прагматики, так как практика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показывает, что при изучении русского языка основная доля ошибок приходится на смешение в использовании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прямого и косвенного объектов (сказать друга, меня; увидеть студенту, девушке и т.п.).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Сюда же относится путаница с глаголами просить / спрашивать. Во многих европейских языках их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пользуют с Дательным падежом, то есть в качестве трехвалентных глаголов, поскольку они являются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глаго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лами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Для различения значений этих глаголов можно использовать следующий прием: отталкиваться от значений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̶ «чтобы иметь» и «чтобы знать» и соответственно с этими значениями использовать глаголы просить 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спрашивать, то есть просить, «чтобы иметь», а спрашивать, «чтобы знать», подчеркнув при этом, что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рус-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названные глаголы не управляют Дательным падежом.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</w:rPr>
        <w:t>Пример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из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[12]: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Alfred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demande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renseignement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a Charles </w:t>
      </w:r>
      <w:r w:rsidRPr="00482A74">
        <w:rPr>
          <w:rFonts w:ascii="Times New Roman" w:hAnsi="Times New Roman" w:cs="Times New Roman"/>
          <w:sz w:val="28"/>
          <w:szCs w:val="28"/>
        </w:rPr>
        <w:t>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Alfred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donne</w:t>
      </w:r>
      <w:proofErr w:type="spellEnd"/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renseignement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a Charles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наглядно демонстрирует нам эту разницу. Если в первом предложении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Альфред просит у Шарля сведения, то во втором примере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Альфред дает Шарлю сведения.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№ 5 (114) 2016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123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русском варианте мы видим разницу в управлении словом Шарль: в первом случае ̶ это Родительный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падеж, во втором случае ̶ Дательный. То есть во втором примере мы ясно видим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трехвалентность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давать (сюда входит субъектная валентность, прямое дополнение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 и третий актант, совпадающий в рус-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с Дательным падежом (О3). Это однозначно и с французским эквивалентом этой фразы.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Но во французском варианте обе фразы можно продемонстрировать одной структурной моделью,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виртуальная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</w:rPr>
        <w:t>стемма</w:t>
      </w:r>
      <w:proofErr w:type="spellEnd"/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которых будет полностью совпадать. То есть в данном случае используется одна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актантная модель и при прямом переводе это будет смотреться таким образом: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Перевод дан точно по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стемме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и по логике рассуждений ̶ глаголы речи и «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давания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» ̶ трехвалентны. 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именно в этом месте обучаемые чаще всего допускают ошибки, что связано с интерференцией родного языка,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то есть они переносят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трехвалентность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глаголов просить и спрашивать в родном языке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двухвалентность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в русском языке. Следовательно, из прагматических соображений, необходимо усилить при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лексической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подаче названных глаголов разницу в управлении между русскими глаголами просить / спрашивать и давать,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чтобы избежать интерференции.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Кроме того, необходимо обратить внимание на следующие глаголы, которые в некоторых языках также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считаются трехвалентными, а в русском языке из этого списка выпадают, для предупреждения интерференции: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а) глаголы речи: оговорить, утверждать, отрицать, заверять, удостоверять, назначать, рекомендовать,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упоминать, соглашаться, молчать, утаивать, признавать, разоблачать, изобличать, распространять;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б) глаголы «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давания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»: расточать, отбирать, похищать, красть.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 сказанному можно добавить, что к глаголам речи и глаголам «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давания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» относится также ряд других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глаголов, вносящих дополнительные оттенки в значение основных глаголов. Так, наряду с глаголом говорить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 xml:space="preserve">существует итеративный глагол повторять, интенсивные глаголы утверждать и доказывать,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диминутивные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</w:rPr>
        <w:t>антонимичном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значении к «интенсивный») глаголы намекать и подсказывать и т.п.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Следующее замечание по поводу трехвалентных глаголов относится к формам пассива. Поскольку в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некоторых языках возможна замена субъекта в пассиве второму и даже третьему актанту в активе (в частности,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английском), то такие моменты уточняются, но вряд на начальном этапе обучения, поскольку для первого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уровня важно уяснить наличие глагольной валентности и правильно заучить связь того или иного глагола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теми или иными актантами. Однако в информативном плане предлагаем следующий пример: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Mother gives the doll to your daughter. </w:t>
      </w:r>
      <w:r w:rsidRPr="00482A74">
        <w:rPr>
          <w:rFonts w:ascii="Times New Roman" w:hAnsi="Times New Roman" w:cs="Times New Roman"/>
          <w:sz w:val="28"/>
          <w:szCs w:val="28"/>
        </w:rPr>
        <w:t>̶ Мать дает куклу своей дочери.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The doll is given by mother to your daughter. </w:t>
      </w:r>
      <w:r w:rsidRPr="00482A74">
        <w:rPr>
          <w:rFonts w:ascii="Times New Roman" w:hAnsi="Times New Roman" w:cs="Times New Roman"/>
          <w:sz w:val="28"/>
          <w:szCs w:val="28"/>
        </w:rPr>
        <w:t>̶ Кукла дается матерью ее дочери.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The daughter is given the doll by your mother. </w:t>
      </w:r>
      <w:r w:rsidRPr="00482A74">
        <w:rPr>
          <w:rFonts w:ascii="Times New Roman" w:hAnsi="Times New Roman" w:cs="Times New Roman"/>
          <w:sz w:val="28"/>
          <w:szCs w:val="28"/>
        </w:rPr>
        <w:t>̶ Кукла дается дочери ее матерью. 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из которого видно, каким образом переход от актива к пассиву затрагивает кроме субъекта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прямое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дополнение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 и третий актант (О3).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английском языке это наглядно демонстрируется приведенным примером, где предложение может иметь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пассивную форму как для прямого дополнения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doll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становится субъектом, а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̶ объектом,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так и для третьего актанта, где уже Дательный падеж (О3):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меняется синтаксической функцией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 субъектом.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русском языке аналога третьему английскому предложению нет, то есть во втором и третьем предложении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пассивная конструкция в русском языке передается одинаково: прямое дополнение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) берет на себя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синтак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сическую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функцию субъекта, субъект переходит в О5, а третий актант остается неизменным во всех трех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позициях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данной работе нами перечислены следующие варианты валентности глагола: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авалентные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(безличные);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одновалентные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(непереходные, обладающие субъектной валентностью ̶ N);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двухвалентные (переходные, управляющие прямым дополнением ̶ 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);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трехвалентные (переходные, управляющие глаголами «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давания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» и некоторыми глаголами речи ̶ О3).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Однако, по мнению Терьера в частности [12], считается вероятным, что в языке простые глагольные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формы имеют три валентности. И в то же время он считает, что все возрастающая сложность актантной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Л.Н. Гумилев атындағы ЕҰУ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Хабаршысы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124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системы глагола находится в прямой зависимости от прогресса человеческого разума, который порождает все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более и более сложные актантные структуры. Поэтому он ставит вопрос о возможном существовании наряду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с трехвалентными глаголами глаголов четырехвалентных, выдвигая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глоттогенетическую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гипотезу о том, что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глагольная валентность в языке развивается в сторону все большего увеличения числа актантов.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случае с русским языком и в плане того, что мы любой сложный момент грамматики рассматриваем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с сугубо прагматической точки зрения, хотелось бы добавить, что нами рассматривается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поливалентность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русского глагола как факт его существования в русском языке.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Если исходить из теории валентности глагола, следует обратить внимание на то, что европейские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исследователи, в частности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Буше [12 и 4]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вухвалентными глаголами называют переходные глаголы,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управляющие прямым дополнением. Мы не отходим от этой традиции, проблема в сбое нумерации: сам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термин предполагает существование двух элементов, подчиненных глаголу ̶ это субъект, в данном случае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рассматриваемый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нами элементом субъектной валентности, и прямое дополнение, которое в русском языке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называется Винительным падежом и нумеруется четвертым номером ̶ 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, называясь четвертым актантом. В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то время как у автора термина данный актант идет под номером 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Трехвалентные глаголы, имея при себе 1)субъектную валентность (N) и 2)прямое дополнение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лагают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также глаголами речи и «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давания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», управляющими третьим актантом, что соответствует и русскому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языку, третий актант которого управляется глаголами тех же значений.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Однако синтаксические потенции русского глагола шире в связи с более развитой актантной системой,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поэтому актанты 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, О5, О6 со всей гаммой их значений выпадают из обоймы валентности, обозначенной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Теньером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. Тут возможно говорить о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поливалентности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русского глагола, так как глаголы со значением обладания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), совместности действия (О5), объекта мысли (О6) (нами названы только по одному значению названных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актантов) оказываются вне плана обозначения валентности. Можно, конечно, используя современную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терми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нологию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, именовать управление подобного типа актантами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объектной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, обстоятельственной, предикативной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валентностью. Но это вызывает необходимость углубиться в синтаксическую семантику предложения, что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усложняет унификацию подачи теоретического материала и прагматику. В силу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термин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поливалентность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нам кажется ближе.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Таким образом, например, глагол читать мы называем поливалентным глаголом: что? (кого?) (вторая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валентность или четвертый актант ̶ 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), кому? (третья валентность или третий актант ̶ О3), о чем? о ком?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поливалентность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то есть это значит, что кроме прямого дополнения и третьего актанта глагол управляет и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другими актантами).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При практическом применении для адаптации понятия валентности на занятиях используются вопросы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типа: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Сколько вопросов можно задать от этого глагола?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Какие падежи (О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,3,4,5,6,) можно поставить после этого глагола?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Как можно ответить на эти вопросы?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Составьте полное предложение с этим глаголом.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современном языкознании в отличие от теории Терьера [12] распространено более широкое понимание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валентности как общей сочетательной способности слов (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Кацнельсон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[5] и единиц иных уровней.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Различаются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специфичные для каждого языка сочетательные потенции частей речи, отражающие грамматические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закономерности сочетаемости слов, и лексическая валентность, связанная с семантикой слова.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 нашей практической работе мы не отказываемся от современного видения валентности, поскольку,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обучая языку, нельзя не учитывать особенностей и других слов, кроме глагола, притягивать к себе актанты.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Валентность характеризуется следующим образом: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1. По способности слова присоединяться к господствующему слову или присоединять зависимый элемент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валентность определяется соответственно как пассивная или активная.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2. По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облигаторности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валентности различаются обязательная и факультативная (соотносительно с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и слабым управлением) валентность.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Слово открывает в предложении ряд позиций, из которых одни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заполняются обязательно, а другие ̶ нет. К примеру: В этом университете я работаю преподавателем, ̶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глагол в данном случае обладает облигаторной и факультативной валентностью. То есть “преподавателем” ̶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обязательная, а “в университете” ̶ факультативная валентность.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Добавим, что обязательной валентностью обладают глаголы неполной предикации (иметь, ставить, давать,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делать, держать, находиться и т.д.) и их узкие синонимы (представить, оказать, осуществить и др.).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 xml:space="preserve"> Среди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существительных обязательную валентность имеют имена действия (приезд отца), качества (красота пейзажа),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</w:rPr>
        <w:t>относительные (отец Марии), категориальные (тип, пример, результат), параметрические (происхождение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языка, высота дома, цвет платья) [5].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3. Валентность имеет число, например, одно-, двух-, трех-, поливалентные глаголы.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По синтаксической функции дополняющего члена различаются субъектная (Я работаю.), объектная (Он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№ 5 (114) 2016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125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читал журнал), обстоятельственная (Я работаю в университете) и предикативная (Он будет преподавателем)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валентности.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Литература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 БЭС. Языкознание. - М.: БРЭ, 1998. - С.79.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2 Б.А Абрамов. Синтаксические потенции глагола, НДВШ. ФН. 1966. - №3.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3 М.Д.Степанова,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Г.Хельбиг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. Части речи и проблема валентности в современном немецком языке. - М., 1978.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4 W.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Busse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Transitivitat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Valenz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Munch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1974.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С.Д.Кацнельсон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. О грамматической категории. “Вестник ЛГУ”, 1948. - №2.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А.А.Потебня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. Из записок по русской грамматике, т. 4. - М.. 1977.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7 В.В.Виноградов. Русский язык. Грамматическое учение о слове. - М., 1972. - 2 изд.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С.Д.Кацнельсон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. Типология языка и речевое мышление. - Л., 1972.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Б.Ю.Норман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. Переходность, залог, возвратность. - Минск, 1972.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>10 А.В.Бондарко. Теория морфологических категорий - Л., 1976.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11 Ю.С.Степанов. Вид, залог, переходность. - М.: Известия АН CCCP, 1977, сер.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ЛиЯ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>, т. 36, №2.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Теньер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 Л. Основы структурного синтаксиса. - М. Прогресс, 1988. - 250 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2A74">
        <w:rPr>
          <w:rFonts w:ascii="Times New Roman" w:hAnsi="Times New Roman" w:cs="Times New Roman"/>
          <w:sz w:val="28"/>
          <w:szCs w:val="28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74">
        <w:rPr>
          <w:rFonts w:ascii="Times New Roman" w:hAnsi="Times New Roman" w:cs="Times New Roman"/>
          <w:sz w:val="28"/>
          <w:szCs w:val="28"/>
        </w:rPr>
        <w:t xml:space="preserve">13 Нуршаихова, Ж. Структурный синтаксис: взгляд из прагматики: монография / Ж.А. Нуршаихова. –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Munich</w:t>
      </w:r>
      <w:proofErr w:type="spellEnd"/>
      <w:r w:rsidRPr="00482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Lambert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Academic Publishing – 2013.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– 276 </w:t>
      </w:r>
      <w:r w:rsidRPr="00482A74">
        <w:rPr>
          <w:rFonts w:ascii="Times New Roman" w:hAnsi="Times New Roman" w:cs="Times New Roman"/>
          <w:sz w:val="28"/>
          <w:szCs w:val="28"/>
        </w:rPr>
        <w:t>с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>. – (ISBN 978-3-659-47853-6).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Referenses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1 BES.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Yazyikoznanie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M.: BRE, 1998. - S.79.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2 B.A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Abramov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Sintaksicheskie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potentsii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glagola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NDVSh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 FN. 1966.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- №3.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M.D.Stepanova</w:t>
      </w:r>
      <w:proofErr w:type="spellEnd"/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G.Helbig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Chasti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rechi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problema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valentnosti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sovremennom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nemetskom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yazyike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– M., 1978.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4 W.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Busse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Transitivitat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Valenz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 - Munch, 1974.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S.D.Katsnelson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grammaticheskoy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kategorii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 “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LGU”, 1948, №2.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A.A.Potebnya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zapisok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russkoy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grammatike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, t. 4.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M..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1977.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V.V.Vinogradov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Russkiy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yazyik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Grammaticheskoe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uchenie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slove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M., 1972. - 2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izd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S.D.Katsnelson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Tipologiya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yazyika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rechevoe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myishlenie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L., 1972.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B.Yu.Norman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Perehodnost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zalog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vozvratnost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Minsk, 1972.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A.V.Bondarko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Teoriya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morfologicheskih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kategoriy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L., 1976.</w:t>
      </w:r>
      <w:proofErr w:type="gram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Yu.S.Stepanov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Vid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zalog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perehodnost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M.: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Izvestiya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CCCP, 1977, ser.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LiYa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, t. 36, №2.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Tenyer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Osnovyi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strukturnogo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sintaksisa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- M. Progress, 1988. - 250 s.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Nurshaikhova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Strukturnyj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sintaksis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vzgljad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pragmatiki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monografija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Zh.A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Nurshaihova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– Munich: Lambert Academic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Publishing – 2013.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– 276 s. – (ISBN 978-3-659-47853-6).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</w:rPr>
        <w:t>Нұршайықова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Ж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82A74">
        <w:rPr>
          <w:rFonts w:ascii="Times New Roman" w:hAnsi="Times New Roman" w:cs="Times New Roman"/>
          <w:sz w:val="28"/>
          <w:szCs w:val="28"/>
        </w:rPr>
        <w:t>Ә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Машинбаева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Г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82A74">
        <w:rPr>
          <w:rFonts w:ascii="Times New Roman" w:hAnsi="Times New Roman" w:cs="Times New Roman"/>
          <w:sz w:val="28"/>
          <w:szCs w:val="28"/>
        </w:rPr>
        <w:t>Ә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82A74">
        <w:rPr>
          <w:rFonts w:ascii="Times New Roman" w:hAnsi="Times New Roman" w:cs="Times New Roman"/>
          <w:sz w:val="28"/>
          <w:szCs w:val="28"/>
        </w:rPr>
        <w:t>Лингвистикалық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валенттілік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Аннотацияланып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отырған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мақалада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тілдегі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валенттілік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482A74">
        <w:rPr>
          <w:rFonts w:ascii="Times New Roman" w:hAnsi="Times New Roman" w:cs="Times New Roman"/>
          <w:sz w:val="28"/>
          <w:szCs w:val="28"/>
        </w:rPr>
        <w:t>ұғымы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1) </w:t>
      </w:r>
      <w:r w:rsidRPr="00482A74">
        <w:rPr>
          <w:rFonts w:ascii="Times New Roman" w:hAnsi="Times New Roman" w:cs="Times New Roman"/>
          <w:sz w:val="28"/>
          <w:szCs w:val="28"/>
        </w:rPr>
        <w:t>қабілеттілігі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сөздер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сөзбен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тіркесе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өзіне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тәуелді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элементті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тіркестіре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r w:rsidRPr="00482A74">
        <w:rPr>
          <w:rFonts w:ascii="Times New Roman" w:hAnsi="Times New Roman" w:cs="Times New Roman"/>
          <w:sz w:val="28"/>
          <w:szCs w:val="28"/>
        </w:rPr>
        <w:t>облигаторлығы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және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факультативті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валенттілік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ажыратылады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r w:rsidRPr="00482A74">
        <w:rPr>
          <w:rFonts w:ascii="Times New Roman" w:hAnsi="Times New Roman" w:cs="Times New Roman"/>
          <w:sz w:val="28"/>
          <w:szCs w:val="28"/>
        </w:rPr>
        <w:t>саны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82A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82A74">
        <w:rPr>
          <w:rFonts w:ascii="Times New Roman" w:hAnsi="Times New Roman" w:cs="Times New Roman"/>
          <w:sz w:val="28"/>
          <w:szCs w:val="28"/>
        </w:rPr>
        <w:t>үш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82A74">
        <w:rPr>
          <w:rFonts w:ascii="Times New Roman" w:hAnsi="Times New Roman" w:cs="Times New Roman"/>
          <w:sz w:val="28"/>
          <w:szCs w:val="28"/>
        </w:rPr>
        <w:t>көпвалентті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етістік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; 4)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</w:rPr>
        <w:t>ақ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толықтырушы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компоненттің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синтаксистік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қызметі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қарастырылады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82A74">
        <w:rPr>
          <w:rFonts w:ascii="Times New Roman" w:hAnsi="Times New Roman" w:cs="Times New Roman"/>
          <w:sz w:val="28"/>
          <w:szCs w:val="28"/>
        </w:rPr>
        <w:t>Автор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модельдерде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валенттіліктің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</w:rPr>
        <w:t>түрлі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варианттарын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және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вертуалды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түрде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көрсетудің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ұсынады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</w:rPr>
        <w:t>Түйін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сөздер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82A74">
        <w:rPr>
          <w:rFonts w:ascii="Times New Roman" w:hAnsi="Times New Roman" w:cs="Times New Roman"/>
          <w:sz w:val="28"/>
          <w:szCs w:val="28"/>
        </w:rPr>
        <w:t>лингвистикалық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валенттілік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82A74">
        <w:rPr>
          <w:rFonts w:ascii="Times New Roman" w:hAnsi="Times New Roman" w:cs="Times New Roman"/>
          <w:sz w:val="28"/>
          <w:szCs w:val="28"/>
        </w:rPr>
        <w:t>вербоцентрикалық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2A74">
        <w:rPr>
          <w:rFonts w:ascii="Times New Roman" w:hAnsi="Times New Roman" w:cs="Times New Roman"/>
          <w:sz w:val="28"/>
          <w:szCs w:val="28"/>
        </w:rPr>
        <w:t>жүйе</w:t>
      </w: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актанттар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сирконстанттар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</w:rPr>
        <w:t>стемма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Nurshaikhova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Zh.A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Mashinbayeva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G.A. Linguistic valence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>In the annotated article the author reveals the concept of “valence in language”, which is characterized by: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ability of a word to join the dominant word or add a dependent element; 2) obligatory, with the distinction of mandatory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optional valence; 3) the number: single, double, triple and multi-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valent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verbs; 4) syntactic function of the supplementing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2A74">
        <w:rPr>
          <w:rFonts w:ascii="Times New Roman" w:hAnsi="Times New Roman" w:cs="Times New Roman"/>
          <w:sz w:val="28"/>
          <w:szCs w:val="28"/>
          <w:lang w:val="en-US"/>
        </w:rPr>
        <w:t>component</w:t>
      </w:r>
      <w:proofErr w:type="gramEnd"/>
      <w:r w:rsidRPr="00482A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2A74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>In the models presented by the author clearly demonstrated different options of valence and methods for their virtual imaging.</w:t>
      </w:r>
    </w:p>
    <w:p w:rsidR="000562A2" w:rsidRPr="00482A74" w:rsidRDefault="00482A74" w:rsidP="005B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Keywords: linguistic valence,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verbocentric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 system,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actants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2A74">
        <w:rPr>
          <w:rFonts w:ascii="Times New Roman" w:hAnsi="Times New Roman" w:cs="Times New Roman"/>
          <w:sz w:val="28"/>
          <w:szCs w:val="28"/>
          <w:lang w:val="en-US"/>
        </w:rPr>
        <w:t>syrconstants</w:t>
      </w:r>
      <w:proofErr w:type="spellEnd"/>
      <w:r w:rsidRPr="00482A74">
        <w:rPr>
          <w:rFonts w:ascii="Times New Roman" w:hAnsi="Times New Roman" w:cs="Times New Roman"/>
          <w:sz w:val="28"/>
          <w:szCs w:val="28"/>
          <w:lang w:val="en-US"/>
        </w:rPr>
        <w:t>, virtual stemma.</w:t>
      </w:r>
    </w:p>
    <w:sectPr w:rsidR="000562A2" w:rsidRPr="00482A74" w:rsidSect="0005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2A74"/>
    <w:rsid w:val="000562A2"/>
    <w:rsid w:val="00482A74"/>
    <w:rsid w:val="005B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3359</Words>
  <Characters>19147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3</cp:revision>
  <dcterms:created xsi:type="dcterms:W3CDTF">2017-05-12T15:29:00Z</dcterms:created>
  <dcterms:modified xsi:type="dcterms:W3CDTF">2017-05-12T15:30:00Z</dcterms:modified>
</cp:coreProperties>
</file>