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1" w:rsidRDefault="00C82A31" w:rsidP="00C82A31">
      <w:pPr>
        <w:shd w:val="clear" w:color="auto" w:fill="E5E5E5"/>
        <w:spacing w:before="100" w:beforeAutospacing="1" w:after="100" w:afterAutospacing="1" w:line="240" w:lineRule="auto"/>
        <w:outlineLvl w:val="1"/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en-US"/>
        </w:rPr>
      </w:pPr>
    </w:p>
    <w:p w:rsidR="00C82A31" w:rsidRDefault="00C82A31" w:rsidP="00C82A31">
      <w:pPr>
        <w:shd w:val="clear" w:color="auto" w:fill="E5E5E5"/>
        <w:spacing w:before="100" w:beforeAutospacing="1" w:after="100" w:afterAutospacing="1" w:line="240" w:lineRule="auto"/>
        <w:outlineLvl w:val="1"/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en-US"/>
        </w:rPr>
      </w:pPr>
    </w:p>
    <w:p w:rsidR="00C82A31" w:rsidRDefault="00C82A31" w:rsidP="00C82A31">
      <w:pPr>
        <w:shd w:val="clear" w:color="auto" w:fill="E5E5E5"/>
        <w:spacing w:before="100" w:beforeAutospacing="1" w:after="100" w:afterAutospacing="1" w:line="240" w:lineRule="auto"/>
        <w:outlineLvl w:val="1"/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en-US"/>
        </w:rPr>
      </w:pPr>
      <w:r>
        <w:rPr>
          <w:rFonts w:ascii="Verdana" w:hAnsi="Verdana"/>
          <w:b/>
          <w:bCs/>
          <w:noProof/>
          <w:color w:val="333333"/>
          <w:sz w:val="14"/>
          <w:szCs w:val="14"/>
          <w:shd w:val="clear" w:color="auto" w:fill="E5E5E5"/>
          <w:lang w:eastAsia="ru-RU"/>
        </w:rPr>
        <w:drawing>
          <wp:inline distT="0" distB="0" distL="0" distR="0">
            <wp:extent cx="2857500" cy="895350"/>
            <wp:effectExtent l="19050" t="0" r="0" b="0"/>
            <wp:docPr id="5" name="Рисунок 5" descr="C:\Users\Buken\Downloads\kaz_adi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ken\Downloads\kaz_adib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31" w:rsidRPr="00334A6C" w:rsidRDefault="00C82A31" w:rsidP="00C82A31">
      <w:pPr>
        <w:shd w:val="clear" w:color="auto" w:fill="E5E5E5"/>
        <w:spacing w:before="100" w:beforeAutospacing="1" w:after="100" w:afterAutospacing="1" w:line="240" w:lineRule="auto"/>
        <w:outlineLvl w:val="1"/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kk-KZ"/>
        </w:rPr>
      </w:pPr>
      <w:r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en-US"/>
        </w:rPr>
        <w:t xml:space="preserve">27 </w:t>
      </w:r>
      <w:r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kk-KZ"/>
        </w:rPr>
        <w:t>сәуір-3 мамыр, Жұма, 2012 жыл</w:t>
      </w:r>
    </w:p>
    <w:p w:rsidR="00C82A31" w:rsidRDefault="00C82A31" w:rsidP="00C82A31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9999"/>
          <w:sz w:val="36"/>
          <w:szCs w:val="36"/>
          <w:lang w:val="en-US" w:eastAsia="ru-RU"/>
        </w:rPr>
      </w:pPr>
      <w:r w:rsidRPr="00C82A31">
        <w:rPr>
          <w:rStyle w:val="a3"/>
          <w:rFonts w:ascii="Verdana" w:hAnsi="Verdana"/>
          <w:color w:val="333333"/>
          <w:sz w:val="14"/>
          <w:szCs w:val="14"/>
          <w:shd w:val="clear" w:color="auto" w:fill="E5E5E5"/>
          <w:lang w:val="en-US"/>
        </w:rPr>
        <w:t>№ 17 (3285)</w:t>
      </w:r>
    </w:p>
    <w:p w:rsidR="00C82A31" w:rsidRPr="00C82A31" w:rsidRDefault="00C82A31" w:rsidP="00C82A31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9999"/>
          <w:sz w:val="36"/>
          <w:szCs w:val="36"/>
          <w:lang w:val="en-US" w:eastAsia="ru-RU"/>
        </w:rPr>
      </w:pPr>
      <w:r w:rsidRPr="00334A6C">
        <w:rPr>
          <w:rFonts w:ascii="Arial" w:eastAsia="Times New Roman" w:hAnsi="Arial" w:cs="Arial"/>
          <w:b/>
          <w:bCs/>
          <w:color w:val="009999"/>
          <w:sz w:val="36"/>
          <w:szCs w:val="36"/>
          <w:lang w:eastAsia="ru-RU"/>
        </w:rPr>
        <w:t>Қазақ</w:t>
      </w:r>
      <w:r w:rsidRPr="00C82A31">
        <w:rPr>
          <w:rFonts w:ascii="Arial" w:eastAsia="Times New Roman" w:hAnsi="Arial" w:cs="Arial"/>
          <w:b/>
          <w:bCs/>
          <w:color w:val="009999"/>
          <w:sz w:val="36"/>
          <w:szCs w:val="36"/>
          <w:lang w:val="en-US" w:eastAsia="ru-RU"/>
        </w:rPr>
        <w:t xml:space="preserve"> </w:t>
      </w:r>
      <w:r w:rsidRPr="00334A6C">
        <w:rPr>
          <w:rFonts w:ascii="Arial" w:eastAsia="Times New Roman" w:hAnsi="Arial" w:cs="Arial"/>
          <w:b/>
          <w:bCs/>
          <w:color w:val="009999"/>
          <w:sz w:val="36"/>
          <w:szCs w:val="36"/>
          <w:lang w:eastAsia="ru-RU"/>
        </w:rPr>
        <w:t>қаламындағы</w:t>
      </w:r>
      <w:r w:rsidRPr="00C82A31">
        <w:rPr>
          <w:rFonts w:ascii="Arial" w:eastAsia="Times New Roman" w:hAnsi="Arial" w:cs="Arial"/>
          <w:b/>
          <w:bCs/>
          <w:color w:val="009999"/>
          <w:sz w:val="36"/>
          <w:szCs w:val="36"/>
          <w:lang w:val="en-US" w:eastAsia="ru-RU"/>
        </w:rPr>
        <w:t xml:space="preserve"> </w:t>
      </w:r>
      <w:r w:rsidRPr="00334A6C">
        <w:rPr>
          <w:rFonts w:ascii="Arial" w:eastAsia="Times New Roman" w:hAnsi="Arial" w:cs="Arial"/>
          <w:b/>
          <w:bCs/>
          <w:color w:val="009999"/>
          <w:sz w:val="36"/>
          <w:szCs w:val="36"/>
          <w:lang w:eastAsia="ru-RU"/>
        </w:rPr>
        <w:t>пейзаж</w:t>
      </w:r>
    </w:p>
    <w:p w:rsidR="00C82A31" w:rsidRPr="00334A6C" w:rsidRDefault="00C82A31" w:rsidP="00C8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700" cy="1816100"/>
            <wp:effectExtent l="19050" t="0" r="0" b="0"/>
            <wp:docPr id="1" name="Рисунок 1" descr="http://www.writers.kz/medialibrary/images/495800_1645376385_s640x480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ters.kz/medialibrary/images/495800_1645376385_s640x480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31" w:rsidRPr="00334A6C" w:rsidRDefault="00C82A31" w:rsidP="00C82A31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Табиғаттың сұлулығын ұ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лт</w:t>
      </w:r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қа бөле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алмаймыз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.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Алайда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, оны ә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р</w:t>
      </w:r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ұлт өзінің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таным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түсінігіне қарай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ерекше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қабылдап,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болмыс-бітіміне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сай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әдемілеп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суреттейді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. «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Сексен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көл Көкшетаудың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саясында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, Әрқайсы алтын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кесе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аясында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». Бұл Сәкен Сейфуллиннің әйгілі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поэмасынан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алынған, көлдің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орналасуын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қазақы ұғыммен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жеткізген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бі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р</w:t>
      </w:r>
      <w:proofErr w:type="spellEnd"/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ғана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мысал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. ХІХ-ХХ ғасырда өмі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р</w:t>
      </w:r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сүрген қазақ қаламгерлерінде мұндай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мысалдар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сан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алуан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. Ал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кейінгі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жылдары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қазақ жазушыларының шығармаларында пейзаж қалай кө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р</w:t>
      </w:r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ініп жүр. Осы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жайында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әдебиетші қауымға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сауал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жолдадық...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  <w:t xml:space="preserve">1.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өзімізді табиғ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ат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етене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жақын халық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есептейміз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Табиғаттың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суретін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сөзбен салған қаламгерлеріміз де аз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Өмі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сүру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салтымыз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басқа арнаға бұрылғалы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табиғатты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шынайы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сезінуден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оған сүйсінуден жырақтап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секілдіміз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Сіздіңше,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кейінгі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қаламгерлеріміз табиғатты қаншалықты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сезіні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қаншалықты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суреттей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жүр?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  <w:t xml:space="preserve">2. Қаламгердің табиғатты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шебер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суреттеуі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оның оқырмандарының да табиғатқа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сүйіспеншілігін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оятары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хақ. Бұл тұрғыда қаламгерлеріміздің оқырманды табиғат сұлулығына тамсандырған қандай шығармаларын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атар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ед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іңіз?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752600"/>
            <wp:effectExtent l="19050" t="0" r="0" b="0"/>
            <wp:wrapSquare wrapText="bothSides"/>
            <wp:docPr id="2" name="Рисунок 2" descr="http://www.writers.kz/medialibrary/images/495710_2012218545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riters.kz/medialibrary/images/495710_2012218545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Жолдасбек</w:t>
      </w:r>
      <w:proofErr w:type="spell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 Мәмбетов, </w:t>
      </w:r>
      <w:r w:rsidRPr="00334A6C">
        <w:rPr>
          <w:rFonts w:ascii="Verdana" w:eastAsia="Times New Roman" w:hAnsi="Verdana" w:cs="Arial"/>
          <w:b/>
          <w:bCs/>
          <w:color w:val="333333"/>
          <w:sz w:val="14"/>
          <w:szCs w:val="14"/>
          <w:lang w:eastAsia="ru-RU"/>
        </w:rPr>
        <w:br/>
      </w:r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әл-Фараби атындағы ҚазҰ</w:t>
      </w:r>
      <w:proofErr w:type="gram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У-ды</w:t>
      </w:r>
      <w:proofErr w:type="gramEnd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 xml:space="preserve">ң </w:t>
      </w:r>
      <w:proofErr w:type="spellStart"/>
      <w:r w:rsidRPr="00334A6C">
        <w:rPr>
          <w:rFonts w:ascii="Verdana" w:eastAsia="Times New Roman" w:hAnsi="Verdana" w:cs="Arial"/>
          <w:b/>
          <w:bCs/>
          <w:color w:val="333333"/>
          <w:sz w:val="14"/>
          <w:lang w:eastAsia="ru-RU"/>
        </w:rPr>
        <w:t>доценті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  <w:t>1. Шығармашылық өнерден пейзаж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дың </w:t>
      </w:r>
      <w:proofErr w:type="spellStart"/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тыс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қалуы,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расында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да, соңғы жылдардағы шығармаларда айқын байқалады. Оның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басты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себептерін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заман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ыңғайына сәйкес кеңқұлашты эпикалық жанрдың көлемі жағынан қысқарып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кетуімен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де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байланыс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тыру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ға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болатын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сияқты. Бұл құбылысты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шетелдік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ғалымдар өткен ғасырдың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жет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пі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сінші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жылдары-ақ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бай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қаған.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ұның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себебін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ғы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лыми-техникалық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прогреспен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байланыс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тыр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болатын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Яғни, ғылым қаншалықты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дамып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адам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өмі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і жеңілдеген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сайын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уақыт та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тапшы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бола түседі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Сондықтан ХІХ-ХХ ғасырлардағыдай көлемді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романдарды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оқып жүрген ұрпақты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кездестіру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қиын.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Мысалы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қазіргі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жастар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кітап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қуды уақытты босқа өткізу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қабылдайды.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тек асығыс-үсігіс, үзіп-жұлып, атүсті қарап шы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ға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ды. Өйткені, басқа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қпараттар тасқыны олардың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жайланып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кітап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оқуы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на мұрша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бере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тін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Мәселен, оқырман ұшаққа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мінерде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сатып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алған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газеттегі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әңгімені ұшақта отырған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екі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сағат мөлшерінде оқып шығып, түс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кенде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тастап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жүре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береді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Сондықтан қаламгердің де соған қарай ың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ғай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ла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нуына тура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келеді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Қысқа, нақты, тез жазылған шығармалар ғана оқылады. Кө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лем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ді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туындыны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тек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арнайы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мамандар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мысалы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филологтар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журналистер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тағы да 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бас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қа қажетсінген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адамдар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ғана оқуы мүм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кін. Ғылыми-техникалық прогресс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ілгерілеген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сайын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адамдар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табиғат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тан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алыстап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барады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Та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биғатты кө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іп,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тамашалау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түгілі, оқуға уақыт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тапшы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болатын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кезеңге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келдік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Бірақ бұған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жазушыларды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кінәлай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маймыз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тек сұ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раныс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жауап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берушілер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ғана. Меніңше, көркем шы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ғармада табиғат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суретін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жасайық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дегенменен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өмі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тіршілік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ағымы оған мүмкіндік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берер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  <w:t xml:space="preserve">2. Әрине, қазір көркем шығармаларды оқып жүрміз.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олардың барлығын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пост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мо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дернисті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бағыттағы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жазушылар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дейміз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Бірақ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постмодернист па, модернист па, әлде баяғы реалист па оны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талдап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нақты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жауап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жатқандар өте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сирек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Мысалы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постмодернизм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туралы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марқұм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ақытжан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Майтанов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біраз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тал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даулар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жасап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газеттерге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жариялап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жүрді.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Ол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кісінің көзі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кеткен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соң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талдау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саябырлап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қалды.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Дидар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Амантай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Лира Қоныс, Аягүл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Мантаева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сынды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қаламгерлердің әңгі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мес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ін оқып отырсаңыз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бір-екі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беттен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аспайды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...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  <w:t xml:space="preserve">Біздің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факультетке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Санкт-Петербургтен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келген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профессорлар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жазушы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өзі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жазатын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оқиғаны тә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пт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іштеп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суреттеуі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міндетті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құбылысты көріп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өзіне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керек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жерін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ғана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ойын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жеткізсе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жетіп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жатыр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дейді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Постмодернистік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бағытқа нақты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берілген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анықтама жоқ. Оны анықтау мүмкін 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емес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Осы уақытқа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дейін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реалис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тік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бағытта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келдік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Ал қазі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шетелдік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жазушылардан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тыс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қала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алмаймыз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. Сондықтан да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Жапонияда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Еуропада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Англияда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жазылып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жатқан шығар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>малар</w:t>
      </w:r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softHyphen/>
        <w:t xml:space="preserve">дың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болмыс-бітімі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бірте-бірте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бізге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де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ені</w:t>
      </w:r>
      <w:proofErr w:type="gram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</w:t>
      </w:r>
      <w:proofErr w:type="spellEnd"/>
      <w:proofErr w:type="gram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келеді</w:t>
      </w:r>
      <w:proofErr w:type="spellEnd"/>
      <w:r w:rsidRPr="00334A6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</w:t>
      </w:r>
      <w:r w:rsidRPr="00334A6C">
        <w:rPr>
          <w:rFonts w:ascii="Arial" w:eastAsia="Times New Roman" w:hAnsi="Arial" w:cs="Arial"/>
          <w:color w:val="333333"/>
          <w:sz w:val="12"/>
          <w:lang w:eastAsia="ru-RU"/>
        </w:rPr>
        <w:t> </w:t>
      </w:r>
    </w:p>
    <w:p w:rsidR="00C82A31" w:rsidRPr="00AB1017" w:rsidRDefault="00C82A31" w:rsidP="00C82A31"/>
    <w:p w:rsidR="00C82A31" w:rsidRPr="00AB1017" w:rsidRDefault="00C82A31" w:rsidP="00C82A31"/>
    <w:p w:rsidR="00C82A31" w:rsidRPr="00AB1017" w:rsidRDefault="00C82A31" w:rsidP="00C82A31"/>
    <w:p w:rsidR="00EC1C38" w:rsidRPr="00C82A31" w:rsidRDefault="00EC1C38">
      <w:pPr>
        <w:rPr>
          <w:lang w:val="en-US"/>
        </w:rPr>
      </w:pPr>
    </w:p>
    <w:sectPr w:rsidR="00EC1C38" w:rsidRPr="00C82A31" w:rsidSect="00EC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2A31"/>
    <w:rsid w:val="000313A7"/>
    <w:rsid w:val="00C82A31"/>
    <w:rsid w:val="00E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A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Buken</dc:creator>
  <cp:keywords/>
  <dc:description/>
  <cp:lastModifiedBy>Buken</cp:lastModifiedBy>
  <cp:revision>2</cp:revision>
  <dcterms:created xsi:type="dcterms:W3CDTF">2012-06-06T13:26:00Z</dcterms:created>
  <dcterms:modified xsi:type="dcterms:W3CDTF">2012-06-06T13:26:00Z</dcterms:modified>
</cp:coreProperties>
</file>